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9" w:rsidRDefault="00830829" w:rsidP="00867569">
      <w:pPr>
        <w:pStyle w:val="Datum"/>
      </w:pPr>
      <w:r>
        <w:t>01.04.2015</w:t>
      </w:r>
    </w:p>
    <w:p w:rsidR="00830829" w:rsidRDefault="00830829" w:rsidP="008B3970">
      <w:pPr>
        <w:pStyle w:val="Podtitulek"/>
      </w:pPr>
      <w:bookmarkStart w:id="0" w:name="_GoBack"/>
      <w:bookmarkEnd w:id="0"/>
    </w:p>
    <w:p w:rsidR="008B3970" w:rsidRPr="008B3970" w:rsidRDefault="00F566FC" w:rsidP="008A10CA">
      <w:pPr>
        <w:pStyle w:val="Nzev"/>
      </w:pPr>
      <w:r>
        <w:t>N</w:t>
      </w:r>
      <w:r w:rsidR="00830829">
        <w:t>otification of government deficit and debt - 2014</w:t>
      </w:r>
    </w:p>
    <w:p w:rsidR="008A10CA" w:rsidRDefault="008A10CA" w:rsidP="002F294F">
      <w:pPr>
        <w:pStyle w:val="Perex"/>
      </w:pPr>
    </w:p>
    <w:p w:rsidR="002F294F" w:rsidRPr="008A10CA" w:rsidRDefault="00F3305A" w:rsidP="002F294F">
      <w:pPr>
        <w:pStyle w:val="Perex"/>
      </w:pPr>
      <w:r>
        <w:t xml:space="preserve">For </w:t>
      </w:r>
      <w:r w:rsidR="009266AF" w:rsidRPr="008A10CA">
        <w:t xml:space="preserve">2014, Czech government deficit </w:t>
      </w:r>
      <w:r w:rsidR="002F294F" w:rsidRPr="008A10CA">
        <w:t xml:space="preserve">has </w:t>
      </w:r>
      <w:r>
        <w:t>been revised downward</w:t>
      </w:r>
      <w:r w:rsidR="002F294F" w:rsidRPr="008A10CA">
        <w:t xml:space="preserve">; the level of government indebtedness has </w:t>
      </w:r>
      <w:r>
        <w:t>increased due to revision</w:t>
      </w:r>
    </w:p>
    <w:p w:rsidR="002F294F" w:rsidRPr="008A10CA" w:rsidRDefault="002C37B6" w:rsidP="002F294F">
      <w:r w:rsidRPr="008A10CA">
        <w:t xml:space="preserve">In 2014, the Czech government deficit was </w:t>
      </w:r>
      <w:r w:rsidR="00F3305A">
        <w:rPr>
          <w:b/>
        </w:rPr>
        <w:t>83.0</w:t>
      </w:r>
      <w:r w:rsidRPr="008A10CA">
        <w:rPr>
          <w:b/>
        </w:rPr>
        <w:t xml:space="preserve"> billion CZK</w:t>
      </w:r>
      <w:r w:rsidRPr="008A10CA">
        <w:rPr>
          <w:rFonts w:cs="Arial"/>
        </w:rPr>
        <w:t>;</w:t>
      </w:r>
      <w:r w:rsidRPr="008A10CA">
        <w:t xml:space="preserve"> </w:t>
      </w:r>
      <w:r w:rsidR="004A7837" w:rsidRPr="008A10CA">
        <w:t xml:space="preserve">expressed as a percentage of GDP, government deficit has reached the level of </w:t>
      </w:r>
      <w:r w:rsidR="00F3305A">
        <w:rPr>
          <w:b/>
        </w:rPr>
        <w:t>1.95</w:t>
      </w:r>
      <w:r w:rsidR="004A7837" w:rsidRPr="008A10CA">
        <w:rPr>
          <w:b/>
        </w:rPr>
        <w:t xml:space="preserve"> percent of GDP</w:t>
      </w:r>
      <w:r w:rsidR="004A7837" w:rsidRPr="008A10CA">
        <w:t>, i.e. below the reference rate set by the Maastricht Treaty.</w:t>
      </w:r>
      <w:r w:rsidR="00F3305A">
        <w:t xml:space="preserve"> Compared to the notification in April 201</w:t>
      </w:r>
      <w:r w:rsidR="0015165C">
        <w:t>5</w:t>
      </w:r>
      <w:r w:rsidR="00F3305A">
        <w:t>, the deficit for 2014 has been revised downward by 0.03 percentage point (p.p.).</w:t>
      </w:r>
      <w:r w:rsidR="004A7837" w:rsidRPr="008A10CA">
        <w:t xml:space="preserve"> At the end of 2014, Czech government gross debt has reached </w:t>
      </w:r>
      <w:r w:rsidR="004A7837" w:rsidRPr="008A10CA">
        <w:rPr>
          <w:b/>
        </w:rPr>
        <w:t>42.</w:t>
      </w:r>
      <w:r w:rsidR="00F3305A">
        <w:rPr>
          <w:b/>
        </w:rPr>
        <w:t>75</w:t>
      </w:r>
      <w:r w:rsidR="004A7837" w:rsidRPr="008A10CA">
        <w:rPr>
          <w:b/>
        </w:rPr>
        <w:t xml:space="preserve"> percent of GDP</w:t>
      </w:r>
      <w:r w:rsidR="00F3305A" w:rsidRPr="0015165C">
        <w:rPr>
          <w:lang w:val="en-US"/>
        </w:rPr>
        <w:t xml:space="preserve">; compared to the previous notification it has been revised upward </w:t>
      </w:r>
      <w:proofErr w:type="gramStart"/>
      <w:r w:rsidR="00F3305A" w:rsidRPr="0015165C">
        <w:rPr>
          <w:lang w:val="en-US"/>
        </w:rPr>
        <w:t>by 0.18 p.p</w:t>
      </w:r>
      <w:proofErr w:type="gramEnd"/>
      <w:r w:rsidR="00F3305A" w:rsidRPr="0015165C">
        <w:rPr>
          <w:lang w:val="en-US"/>
        </w:rPr>
        <w:t>.</w:t>
      </w:r>
      <w:r w:rsidR="004A7837" w:rsidRPr="0015165C">
        <w:rPr>
          <w:lang w:val="en-US"/>
        </w:rPr>
        <w:t xml:space="preserve"> </w:t>
      </w:r>
      <w:r w:rsidR="00F566FC" w:rsidRPr="0015165C">
        <w:rPr>
          <w:lang w:val="en-US"/>
        </w:rPr>
        <w:t xml:space="preserve">The </w:t>
      </w:r>
      <w:r w:rsidR="0051558E">
        <w:t>figures have</w:t>
      </w:r>
      <w:r w:rsidR="00F566FC">
        <w:t xml:space="preserve"> been sent to Eurostat </w:t>
      </w:r>
      <w:r w:rsidR="0051558E">
        <w:t>in the framework of</w:t>
      </w:r>
      <w:r w:rsidR="00F566FC">
        <w:t xml:space="preserve"> the </w:t>
      </w:r>
      <w:r w:rsidR="00F3305A">
        <w:t xml:space="preserve">second </w:t>
      </w:r>
      <w:r w:rsidR="00F566FC">
        <w:t>notification of government deficit and debt in 2015.</w:t>
      </w:r>
    </w:p>
    <w:p w:rsidR="00F566FC" w:rsidRDefault="00F566FC" w:rsidP="00B07B5B">
      <w:pPr>
        <w:pStyle w:val="Zkladntext"/>
        <w:tabs>
          <w:tab w:val="left" w:pos="1335"/>
        </w:tabs>
        <w:spacing w:line="276" w:lineRule="auto"/>
        <w:rPr>
          <w:rFonts w:ascii="Arial" w:hAnsi="Arial" w:cs="Arial"/>
          <w:sz w:val="20"/>
          <w:szCs w:val="20"/>
        </w:rPr>
      </w:pPr>
    </w:p>
    <w:p w:rsidR="00B07B5B" w:rsidRPr="00F566FC" w:rsidRDefault="00F566FC" w:rsidP="00B07B5B">
      <w:pPr>
        <w:pStyle w:val="Zkladntext"/>
        <w:tabs>
          <w:tab w:val="left" w:pos="1335"/>
        </w:tabs>
        <w:spacing w:line="276" w:lineRule="auto"/>
        <w:rPr>
          <w:rFonts w:ascii="Arial" w:hAnsi="Arial" w:cs="Arial"/>
          <w:b/>
          <w:sz w:val="20"/>
          <w:szCs w:val="20"/>
        </w:rPr>
      </w:pPr>
      <w:r>
        <w:rPr>
          <w:rFonts w:ascii="Arial" w:hAnsi="Arial" w:cs="Arial"/>
          <w:b/>
          <w:sz w:val="20"/>
          <w:szCs w:val="20"/>
        </w:rPr>
        <w:t>Notification table of government deficit and debt, the Czech Republic, 2011-2014</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1"/>
        <w:gridCol w:w="969"/>
        <w:gridCol w:w="1042"/>
        <w:gridCol w:w="1042"/>
        <w:gridCol w:w="1042"/>
        <w:gridCol w:w="1088"/>
      </w:tblGrid>
      <w:tr w:rsidR="00B07B5B" w:rsidRPr="00B07B5B" w:rsidTr="008A44AB">
        <w:trPr>
          <w:cantSplit/>
        </w:trPr>
        <w:tc>
          <w:tcPr>
            <w:tcW w:w="3461" w:type="dxa"/>
            <w:vMerge w:val="restart"/>
            <w:vAlign w:val="center"/>
          </w:tcPr>
          <w:p w:rsidR="00B07B5B" w:rsidRPr="00B07B5B" w:rsidRDefault="00B07B5B" w:rsidP="00B07B5B">
            <w:pPr>
              <w:rPr>
                <w:rFonts w:cs="Arial"/>
                <w:szCs w:val="20"/>
              </w:rPr>
            </w:pPr>
          </w:p>
        </w:tc>
        <w:tc>
          <w:tcPr>
            <w:tcW w:w="969" w:type="dxa"/>
            <w:vMerge w:val="restart"/>
            <w:vAlign w:val="center"/>
          </w:tcPr>
          <w:p w:rsidR="00B07B5B" w:rsidRPr="00B07B5B" w:rsidRDefault="00B07B5B" w:rsidP="00B07B5B">
            <w:pPr>
              <w:jc w:val="center"/>
              <w:rPr>
                <w:rFonts w:cs="Arial"/>
                <w:szCs w:val="20"/>
              </w:rPr>
            </w:pPr>
            <w:r w:rsidRPr="00B07B5B">
              <w:rPr>
                <w:rFonts w:cs="Arial"/>
                <w:szCs w:val="20"/>
              </w:rPr>
              <w:t>Unit</w:t>
            </w:r>
          </w:p>
        </w:tc>
        <w:tc>
          <w:tcPr>
            <w:tcW w:w="4214" w:type="dxa"/>
            <w:gridSpan w:val="4"/>
            <w:vAlign w:val="center"/>
          </w:tcPr>
          <w:p w:rsidR="00B07B5B" w:rsidRPr="00B07B5B" w:rsidRDefault="00B07B5B" w:rsidP="00B07B5B">
            <w:pPr>
              <w:jc w:val="center"/>
              <w:rPr>
                <w:rFonts w:cs="Arial"/>
                <w:szCs w:val="20"/>
              </w:rPr>
            </w:pPr>
            <w:r w:rsidRPr="00B07B5B">
              <w:rPr>
                <w:rFonts w:cs="Arial"/>
                <w:szCs w:val="20"/>
              </w:rPr>
              <w:t>Year</w:t>
            </w:r>
          </w:p>
        </w:tc>
      </w:tr>
      <w:tr w:rsidR="008A44AB" w:rsidRPr="00B07B5B" w:rsidTr="008A44AB">
        <w:trPr>
          <w:cantSplit/>
        </w:trPr>
        <w:tc>
          <w:tcPr>
            <w:tcW w:w="3461" w:type="dxa"/>
            <w:vMerge/>
            <w:vAlign w:val="center"/>
          </w:tcPr>
          <w:p w:rsidR="008A44AB" w:rsidRPr="00B07B5B" w:rsidRDefault="008A44AB" w:rsidP="00B07B5B">
            <w:pPr>
              <w:rPr>
                <w:rFonts w:cs="Arial"/>
                <w:szCs w:val="20"/>
              </w:rPr>
            </w:pPr>
          </w:p>
        </w:tc>
        <w:tc>
          <w:tcPr>
            <w:tcW w:w="969" w:type="dxa"/>
            <w:vMerge/>
            <w:vAlign w:val="center"/>
          </w:tcPr>
          <w:p w:rsidR="008A44AB" w:rsidRPr="00B07B5B" w:rsidRDefault="008A44AB" w:rsidP="00B07B5B">
            <w:pPr>
              <w:jc w:val="center"/>
              <w:rPr>
                <w:rFonts w:cs="Arial"/>
                <w:szCs w:val="20"/>
              </w:rPr>
            </w:pPr>
          </w:p>
        </w:tc>
        <w:tc>
          <w:tcPr>
            <w:tcW w:w="1042" w:type="dxa"/>
            <w:vAlign w:val="center"/>
          </w:tcPr>
          <w:p w:rsidR="008A44AB" w:rsidRPr="00E155B6" w:rsidRDefault="008A44AB" w:rsidP="00301F4B">
            <w:pPr>
              <w:jc w:val="center"/>
              <w:rPr>
                <w:rFonts w:cs="Arial"/>
                <w:szCs w:val="20"/>
              </w:rPr>
            </w:pPr>
            <w:r w:rsidRPr="00E155B6">
              <w:rPr>
                <w:rFonts w:cs="Arial"/>
                <w:szCs w:val="20"/>
              </w:rPr>
              <w:t>201</w:t>
            </w:r>
            <w:r>
              <w:rPr>
                <w:rFonts w:cs="Arial"/>
                <w:szCs w:val="20"/>
              </w:rPr>
              <w:t>1</w:t>
            </w:r>
          </w:p>
        </w:tc>
        <w:tc>
          <w:tcPr>
            <w:tcW w:w="1042" w:type="dxa"/>
            <w:vAlign w:val="center"/>
          </w:tcPr>
          <w:p w:rsidR="008A44AB" w:rsidRPr="00E155B6" w:rsidRDefault="008A44AB" w:rsidP="00301F4B">
            <w:pPr>
              <w:jc w:val="center"/>
              <w:rPr>
                <w:rFonts w:cs="Arial"/>
                <w:szCs w:val="20"/>
              </w:rPr>
            </w:pPr>
            <w:r>
              <w:rPr>
                <w:rFonts w:cs="Arial"/>
                <w:szCs w:val="20"/>
              </w:rPr>
              <w:t>2012</w:t>
            </w:r>
          </w:p>
        </w:tc>
        <w:tc>
          <w:tcPr>
            <w:tcW w:w="1042" w:type="dxa"/>
            <w:vAlign w:val="center"/>
          </w:tcPr>
          <w:p w:rsidR="008A44AB" w:rsidRPr="00E155B6" w:rsidRDefault="008A44AB" w:rsidP="00301F4B">
            <w:pPr>
              <w:jc w:val="center"/>
              <w:rPr>
                <w:rFonts w:cs="Arial"/>
                <w:szCs w:val="20"/>
              </w:rPr>
            </w:pPr>
            <w:r>
              <w:rPr>
                <w:rFonts w:cs="Arial"/>
                <w:szCs w:val="20"/>
              </w:rPr>
              <w:t>2013</w:t>
            </w:r>
          </w:p>
        </w:tc>
        <w:tc>
          <w:tcPr>
            <w:tcW w:w="1088" w:type="dxa"/>
            <w:vAlign w:val="center"/>
          </w:tcPr>
          <w:p w:rsidR="008A44AB" w:rsidRPr="00E155B6" w:rsidRDefault="008A44AB" w:rsidP="00301F4B">
            <w:pPr>
              <w:jc w:val="center"/>
              <w:rPr>
                <w:rFonts w:cs="Arial"/>
                <w:szCs w:val="20"/>
              </w:rPr>
            </w:pPr>
            <w:r>
              <w:rPr>
                <w:rFonts w:cs="Arial"/>
                <w:szCs w:val="20"/>
              </w:rPr>
              <w:t>2014</w:t>
            </w:r>
          </w:p>
        </w:tc>
      </w:tr>
      <w:tr w:rsidR="00F3305A" w:rsidRPr="00B07B5B" w:rsidTr="008A44AB">
        <w:tc>
          <w:tcPr>
            <w:tcW w:w="3461" w:type="dxa"/>
            <w:vAlign w:val="center"/>
          </w:tcPr>
          <w:p w:rsidR="00F3305A" w:rsidRPr="00B07B5B" w:rsidRDefault="00F3305A" w:rsidP="00B07B5B">
            <w:pPr>
              <w:rPr>
                <w:rFonts w:cs="Arial"/>
                <w:szCs w:val="20"/>
              </w:rPr>
            </w:pPr>
            <w:r w:rsidRPr="00B07B5B">
              <w:rPr>
                <w:rFonts w:cs="Arial"/>
                <w:szCs w:val="20"/>
              </w:rPr>
              <w:t>Net borrowing (deficit) of general government (in current year)</w:t>
            </w:r>
          </w:p>
        </w:tc>
        <w:tc>
          <w:tcPr>
            <w:tcW w:w="969" w:type="dxa"/>
            <w:vAlign w:val="center"/>
          </w:tcPr>
          <w:p w:rsidR="00F3305A" w:rsidRPr="00B07B5B" w:rsidRDefault="00F3305A" w:rsidP="00B07B5B">
            <w:pPr>
              <w:jc w:val="center"/>
              <w:rPr>
                <w:rFonts w:cs="Arial"/>
                <w:szCs w:val="20"/>
              </w:rPr>
            </w:pPr>
            <w:r w:rsidRPr="00B07B5B">
              <w:rPr>
                <w:rFonts w:cs="Arial"/>
                <w:szCs w:val="20"/>
              </w:rPr>
              <w:t>CZK mil.</w:t>
            </w:r>
          </w:p>
        </w:tc>
        <w:tc>
          <w:tcPr>
            <w:tcW w:w="1042" w:type="dxa"/>
            <w:vAlign w:val="center"/>
          </w:tcPr>
          <w:p w:rsidR="00F3305A" w:rsidRPr="00E155B6" w:rsidRDefault="00F3305A" w:rsidP="00B202A8">
            <w:pPr>
              <w:jc w:val="center"/>
              <w:rPr>
                <w:rFonts w:cs="Arial"/>
                <w:szCs w:val="20"/>
              </w:rPr>
            </w:pPr>
            <w:r>
              <w:rPr>
                <w:rFonts w:cs="Arial"/>
                <w:szCs w:val="20"/>
              </w:rPr>
              <w:t>-110 145</w:t>
            </w:r>
          </w:p>
        </w:tc>
        <w:tc>
          <w:tcPr>
            <w:tcW w:w="1042" w:type="dxa"/>
            <w:vAlign w:val="center"/>
          </w:tcPr>
          <w:p w:rsidR="00F3305A" w:rsidRPr="00E155B6" w:rsidRDefault="00F3305A" w:rsidP="00B202A8">
            <w:pPr>
              <w:jc w:val="center"/>
              <w:rPr>
                <w:rFonts w:cs="Arial"/>
                <w:szCs w:val="20"/>
              </w:rPr>
            </w:pPr>
            <w:r>
              <w:rPr>
                <w:rFonts w:cs="Arial"/>
                <w:szCs w:val="20"/>
              </w:rPr>
              <w:t>-160 013</w:t>
            </w:r>
          </w:p>
        </w:tc>
        <w:tc>
          <w:tcPr>
            <w:tcW w:w="1042" w:type="dxa"/>
            <w:vAlign w:val="center"/>
          </w:tcPr>
          <w:p w:rsidR="00F3305A" w:rsidRPr="00E155B6" w:rsidRDefault="00F3305A" w:rsidP="00B202A8">
            <w:pPr>
              <w:jc w:val="center"/>
              <w:rPr>
                <w:rFonts w:cs="Arial"/>
                <w:szCs w:val="20"/>
              </w:rPr>
            </w:pPr>
            <w:r>
              <w:rPr>
                <w:rFonts w:cs="Arial"/>
                <w:szCs w:val="20"/>
              </w:rPr>
              <w:t>-50 974</w:t>
            </w:r>
          </w:p>
        </w:tc>
        <w:tc>
          <w:tcPr>
            <w:tcW w:w="1088" w:type="dxa"/>
            <w:vAlign w:val="center"/>
          </w:tcPr>
          <w:p w:rsidR="00F3305A" w:rsidRPr="00E155B6" w:rsidRDefault="00F3305A" w:rsidP="00B202A8">
            <w:pPr>
              <w:jc w:val="center"/>
              <w:rPr>
                <w:rFonts w:cs="Arial"/>
                <w:szCs w:val="20"/>
              </w:rPr>
            </w:pPr>
            <w:r>
              <w:rPr>
                <w:rFonts w:cs="Arial"/>
                <w:szCs w:val="20"/>
              </w:rPr>
              <w:t>-82 956</w:t>
            </w:r>
          </w:p>
        </w:tc>
      </w:tr>
      <w:tr w:rsidR="00F3305A" w:rsidRPr="00B07B5B" w:rsidTr="008A44AB">
        <w:tc>
          <w:tcPr>
            <w:tcW w:w="3461" w:type="dxa"/>
            <w:vAlign w:val="center"/>
          </w:tcPr>
          <w:p w:rsidR="00F3305A" w:rsidRPr="00B07B5B" w:rsidRDefault="00F3305A" w:rsidP="00B07B5B">
            <w:pPr>
              <w:rPr>
                <w:rFonts w:cs="Arial"/>
                <w:szCs w:val="20"/>
              </w:rPr>
            </w:pPr>
            <w:r w:rsidRPr="00B07B5B">
              <w:rPr>
                <w:rFonts w:cs="Arial"/>
                <w:szCs w:val="20"/>
              </w:rPr>
              <w:t>General government consolidated gross debt (at end of year)</w:t>
            </w:r>
          </w:p>
        </w:tc>
        <w:tc>
          <w:tcPr>
            <w:tcW w:w="969" w:type="dxa"/>
            <w:vAlign w:val="center"/>
          </w:tcPr>
          <w:p w:rsidR="00F3305A" w:rsidRPr="00B07B5B" w:rsidRDefault="00F3305A" w:rsidP="00B07B5B">
            <w:pPr>
              <w:jc w:val="center"/>
              <w:rPr>
                <w:rFonts w:cs="Arial"/>
                <w:szCs w:val="20"/>
              </w:rPr>
            </w:pPr>
            <w:r w:rsidRPr="00B07B5B">
              <w:rPr>
                <w:rFonts w:cs="Arial"/>
                <w:szCs w:val="20"/>
              </w:rPr>
              <w:t>CZK mil.</w:t>
            </w:r>
          </w:p>
        </w:tc>
        <w:tc>
          <w:tcPr>
            <w:tcW w:w="1042" w:type="dxa"/>
            <w:vAlign w:val="center"/>
          </w:tcPr>
          <w:p w:rsidR="00F3305A" w:rsidRPr="00E155B6" w:rsidRDefault="00F3305A" w:rsidP="00B202A8">
            <w:pPr>
              <w:jc w:val="center"/>
              <w:rPr>
                <w:rFonts w:cs="Arial"/>
                <w:szCs w:val="20"/>
              </w:rPr>
            </w:pPr>
            <w:r>
              <w:rPr>
                <w:rFonts w:cs="Arial"/>
                <w:szCs w:val="20"/>
              </w:rPr>
              <w:t>1 606 492</w:t>
            </w:r>
          </w:p>
        </w:tc>
        <w:tc>
          <w:tcPr>
            <w:tcW w:w="1042" w:type="dxa"/>
            <w:vAlign w:val="center"/>
          </w:tcPr>
          <w:p w:rsidR="00F3305A" w:rsidRPr="00E155B6" w:rsidRDefault="00F3305A" w:rsidP="00B202A8">
            <w:pPr>
              <w:jc w:val="center"/>
              <w:rPr>
                <w:rFonts w:cs="Arial"/>
                <w:szCs w:val="20"/>
              </w:rPr>
            </w:pPr>
            <w:r>
              <w:rPr>
                <w:rFonts w:cs="Arial"/>
                <w:szCs w:val="20"/>
              </w:rPr>
              <w:t>1 805 955</w:t>
            </w:r>
          </w:p>
        </w:tc>
        <w:tc>
          <w:tcPr>
            <w:tcW w:w="1042" w:type="dxa"/>
            <w:vAlign w:val="center"/>
          </w:tcPr>
          <w:p w:rsidR="00F3305A" w:rsidRPr="00E155B6" w:rsidRDefault="00F3305A" w:rsidP="00B202A8">
            <w:pPr>
              <w:jc w:val="center"/>
              <w:rPr>
                <w:rFonts w:cs="Arial"/>
                <w:szCs w:val="20"/>
              </w:rPr>
            </w:pPr>
            <w:r>
              <w:rPr>
                <w:rFonts w:cs="Arial"/>
                <w:szCs w:val="20"/>
              </w:rPr>
              <w:t>1 841 878</w:t>
            </w:r>
          </w:p>
        </w:tc>
        <w:tc>
          <w:tcPr>
            <w:tcW w:w="1088" w:type="dxa"/>
            <w:vAlign w:val="center"/>
          </w:tcPr>
          <w:p w:rsidR="00F3305A" w:rsidRPr="00E155B6" w:rsidRDefault="00F3305A" w:rsidP="00B202A8">
            <w:pPr>
              <w:jc w:val="center"/>
              <w:rPr>
                <w:rFonts w:cs="Arial"/>
                <w:szCs w:val="20"/>
              </w:rPr>
            </w:pPr>
            <w:r>
              <w:rPr>
                <w:rFonts w:cs="Arial"/>
                <w:szCs w:val="20"/>
              </w:rPr>
              <w:t>1 821 327</w:t>
            </w:r>
          </w:p>
        </w:tc>
      </w:tr>
      <w:tr w:rsidR="00F3305A" w:rsidRPr="00B07B5B" w:rsidTr="008A44AB">
        <w:tc>
          <w:tcPr>
            <w:tcW w:w="3461" w:type="dxa"/>
            <w:vAlign w:val="center"/>
          </w:tcPr>
          <w:p w:rsidR="00F3305A" w:rsidRPr="00B07B5B" w:rsidRDefault="00F3305A" w:rsidP="00B07B5B">
            <w:pPr>
              <w:rPr>
                <w:rFonts w:cs="Arial"/>
                <w:szCs w:val="20"/>
              </w:rPr>
            </w:pPr>
            <w:r w:rsidRPr="00B07B5B">
              <w:rPr>
                <w:rFonts w:cs="Arial"/>
                <w:szCs w:val="20"/>
              </w:rPr>
              <w:t>Gross domestic product (GDP)</w:t>
            </w:r>
          </w:p>
        </w:tc>
        <w:tc>
          <w:tcPr>
            <w:tcW w:w="969" w:type="dxa"/>
            <w:vAlign w:val="center"/>
          </w:tcPr>
          <w:p w:rsidR="00F3305A" w:rsidRPr="00B07B5B" w:rsidRDefault="00F3305A" w:rsidP="00B07B5B">
            <w:pPr>
              <w:jc w:val="center"/>
              <w:rPr>
                <w:rFonts w:cs="Arial"/>
                <w:szCs w:val="20"/>
              </w:rPr>
            </w:pPr>
            <w:r w:rsidRPr="00B07B5B">
              <w:rPr>
                <w:rFonts w:cs="Arial"/>
                <w:szCs w:val="20"/>
              </w:rPr>
              <w:t>CZK mil.</w:t>
            </w:r>
          </w:p>
        </w:tc>
        <w:tc>
          <w:tcPr>
            <w:tcW w:w="1042" w:type="dxa"/>
            <w:vAlign w:val="center"/>
          </w:tcPr>
          <w:p w:rsidR="00F3305A" w:rsidRPr="00E155B6" w:rsidRDefault="00F3305A" w:rsidP="00B202A8">
            <w:pPr>
              <w:jc w:val="center"/>
              <w:rPr>
                <w:rFonts w:cs="Arial"/>
                <w:szCs w:val="20"/>
              </w:rPr>
            </w:pPr>
            <w:r>
              <w:rPr>
                <w:rFonts w:cs="Arial"/>
                <w:szCs w:val="20"/>
              </w:rPr>
              <w:t>4 022 511</w:t>
            </w:r>
          </w:p>
        </w:tc>
        <w:tc>
          <w:tcPr>
            <w:tcW w:w="1042" w:type="dxa"/>
            <w:vAlign w:val="center"/>
          </w:tcPr>
          <w:p w:rsidR="00F3305A" w:rsidRPr="00E155B6" w:rsidRDefault="00F3305A" w:rsidP="00B202A8">
            <w:pPr>
              <w:jc w:val="center"/>
              <w:rPr>
                <w:rFonts w:cs="Arial"/>
                <w:szCs w:val="20"/>
              </w:rPr>
            </w:pPr>
            <w:r>
              <w:rPr>
                <w:rFonts w:cs="Arial"/>
                <w:szCs w:val="20"/>
              </w:rPr>
              <w:t>4 041 610</w:t>
            </w:r>
          </w:p>
        </w:tc>
        <w:tc>
          <w:tcPr>
            <w:tcW w:w="1042" w:type="dxa"/>
            <w:vAlign w:val="center"/>
          </w:tcPr>
          <w:p w:rsidR="00F3305A" w:rsidRPr="00E155B6" w:rsidRDefault="00F3305A" w:rsidP="00B202A8">
            <w:pPr>
              <w:jc w:val="center"/>
              <w:rPr>
                <w:rFonts w:cs="Arial"/>
                <w:szCs w:val="20"/>
              </w:rPr>
            </w:pPr>
            <w:r>
              <w:rPr>
                <w:rFonts w:cs="Arial"/>
                <w:szCs w:val="20"/>
              </w:rPr>
              <w:t>4 077 109</w:t>
            </w:r>
          </w:p>
        </w:tc>
        <w:tc>
          <w:tcPr>
            <w:tcW w:w="1088" w:type="dxa"/>
            <w:vAlign w:val="center"/>
          </w:tcPr>
          <w:p w:rsidR="00F3305A" w:rsidRPr="00E155B6" w:rsidRDefault="00F3305A" w:rsidP="00B202A8">
            <w:pPr>
              <w:jc w:val="center"/>
              <w:rPr>
                <w:rFonts w:cs="Arial"/>
                <w:szCs w:val="20"/>
              </w:rPr>
            </w:pPr>
            <w:r>
              <w:rPr>
                <w:rFonts w:cs="Arial"/>
                <w:szCs w:val="20"/>
              </w:rPr>
              <w:t>4 260 886</w:t>
            </w:r>
          </w:p>
        </w:tc>
      </w:tr>
      <w:tr w:rsidR="00F3305A" w:rsidRPr="00B07B5B" w:rsidTr="008A44AB">
        <w:tc>
          <w:tcPr>
            <w:tcW w:w="3461" w:type="dxa"/>
            <w:vAlign w:val="center"/>
          </w:tcPr>
          <w:p w:rsidR="00F3305A" w:rsidRPr="00B07B5B" w:rsidRDefault="00F3305A" w:rsidP="00B07B5B">
            <w:pPr>
              <w:rPr>
                <w:rFonts w:cs="Arial"/>
                <w:szCs w:val="20"/>
              </w:rPr>
            </w:pPr>
            <w:r w:rsidRPr="00B07B5B">
              <w:rPr>
                <w:rFonts w:cs="Arial"/>
                <w:szCs w:val="20"/>
              </w:rPr>
              <w:t>General government deficit in % of GDP</w:t>
            </w:r>
          </w:p>
        </w:tc>
        <w:tc>
          <w:tcPr>
            <w:tcW w:w="969" w:type="dxa"/>
            <w:vAlign w:val="center"/>
          </w:tcPr>
          <w:p w:rsidR="00F3305A" w:rsidRPr="00B07B5B" w:rsidRDefault="00F3305A" w:rsidP="00B07B5B">
            <w:pPr>
              <w:jc w:val="center"/>
              <w:rPr>
                <w:rFonts w:cs="Arial"/>
                <w:szCs w:val="20"/>
              </w:rPr>
            </w:pPr>
            <w:r w:rsidRPr="00B07B5B">
              <w:rPr>
                <w:rFonts w:cs="Arial"/>
                <w:szCs w:val="20"/>
              </w:rPr>
              <w:t>%</w:t>
            </w:r>
          </w:p>
        </w:tc>
        <w:tc>
          <w:tcPr>
            <w:tcW w:w="1042" w:type="dxa"/>
            <w:vAlign w:val="center"/>
          </w:tcPr>
          <w:p w:rsidR="00F3305A" w:rsidRPr="00E155B6" w:rsidRDefault="00F3305A" w:rsidP="00B202A8">
            <w:pPr>
              <w:jc w:val="center"/>
              <w:rPr>
                <w:rFonts w:cs="Arial"/>
                <w:szCs w:val="20"/>
              </w:rPr>
            </w:pPr>
            <w:r>
              <w:rPr>
                <w:rFonts w:cs="Arial"/>
                <w:szCs w:val="20"/>
              </w:rPr>
              <w:t>-2,74</w:t>
            </w:r>
          </w:p>
        </w:tc>
        <w:tc>
          <w:tcPr>
            <w:tcW w:w="1042" w:type="dxa"/>
            <w:vAlign w:val="center"/>
          </w:tcPr>
          <w:p w:rsidR="00F3305A" w:rsidRPr="00E155B6" w:rsidRDefault="00F3305A" w:rsidP="00B202A8">
            <w:pPr>
              <w:jc w:val="center"/>
              <w:rPr>
                <w:rFonts w:cs="Arial"/>
                <w:szCs w:val="20"/>
              </w:rPr>
            </w:pPr>
            <w:r>
              <w:rPr>
                <w:rFonts w:cs="Arial"/>
                <w:szCs w:val="20"/>
              </w:rPr>
              <w:t>-3,96</w:t>
            </w:r>
          </w:p>
        </w:tc>
        <w:tc>
          <w:tcPr>
            <w:tcW w:w="1042" w:type="dxa"/>
            <w:vAlign w:val="center"/>
          </w:tcPr>
          <w:p w:rsidR="00F3305A" w:rsidRPr="00E155B6" w:rsidRDefault="00F3305A" w:rsidP="00B202A8">
            <w:pPr>
              <w:jc w:val="center"/>
              <w:rPr>
                <w:rFonts w:cs="Arial"/>
                <w:szCs w:val="20"/>
              </w:rPr>
            </w:pPr>
            <w:r>
              <w:rPr>
                <w:rFonts w:cs="Arial"/>
                <w:szCs w:val="20"/>
              </w:rPr>
              <w:t>-1,25</w:t>
            </w:r>
          </w:p>
        </w:tc>
        <w:tc>
          <w:tcPr>
            <w:tcW w:w="1088" w:type="dxa"/>
            <w:vAlign w:val="center"/>
          </w:tcPr>
          <w:p w:rsidR="00F3305A" w:rsidRPr="00E155B6" w:rsidRDefault="00F3305A" w:rsidP="00B202A8">
            <w:pPr>
              <w:jc w:val="center"/>
              <w:rPr>
                <w:rFonts w:cs="Arial"/>
                <w:szCs w:val="20"/>
              </w:rPr>
            </w:pPr>
            <w:r>
              <w:rPr>
                <w:rFonts w:cs="Arial"/>
                <w:szCs w:val="20"/>
              </w:rPr>
              <w:t>-1,95</w:t>
            </w:r>
          </w:p>
        </w:tc>
      </w:tr>
      <w:tr w:rsidR="00F3305A" w:rsidRPr="00B07B5B" w:rsidTr="008A44AB">
        <w:tc>
          <w:tcPr>
            <w:tcW w:w="3461" w:type="dxa"/>
            <w:vAlign w:val="center"/>
          </w:tcPr>
          <w:p w:rsidR="00F3305A" w:rsidRPr="00B07B5B" w:rsidRDefault="00F3305A" w:rsidP="00B07B5B">
            <w:pPr>
              <w:rPr>
                <w:rFonts w:cs="Arial"/>
                <w:szCs w:val="20"/>
              </w:rPr>
            </w:pPr>
            <w:r w:rsidRPr="00B07B5B">
              <w:rPr>
                <w:rFonts w:cs="Arial"/>
                <w:szCs w:val="20"/>
              </w:rPr>
              <w:t xml:space="preserve">General government debt in % of GDP </w:t>
            </w:r>
          </w:p>
        </w:tc>
        <w:tc>
          <w:tcPr>
            <w:tcW w:w="969" w:type="dxa"/>
            <w:vAlign w:val="center"/>
          </w:tcPr>
          <w:p w:rsidR="00F3305A" w:rsidRPr="00B07B5B" w:rsidRDefault="00F3305A" w:rsidP="00B07B5B">
            <w:pPr>
              <w:jc w:val="center"/>
              <w:rPr>
                <w:rFonts w:cs="Arial"/>
                <w:szCs w:val="20"/>
              </w:rPr>
            </w:pPr>
            <w:r w:rsidRPr="00B07B5B">
              <w:rPr>
                <w:rFonts w:cs="Arial"/>
                <w:szCs w:val="20"/>
              </w:rPr>
              <w:t>%</w:t>
            </w:r>
          </w:p>
        </w:tc>
        <w:tc>
          <w:tcPr>
            <w:tcW w:w="1042" w:type="dxa"/>
            <w:vAlign w:val="center"/>
          </w:tcPr>
          <w:p w:rsidR="00F3305A" w:rsidRPr="00E155B6" w:rsidRDefault="00F3305A" w:rsidP="00B202A8">
            <w:pPr>
              <w:jc w:val="center"/>
              <w:rPr>
                <w:rFonts w:cs="Arial"/>
                <w:szCs w:val="20"/>
              </w:rPr>
            </w:pPr>
            <w:r>
              <w:rPr>
                <w:rFonts w:cs="Arial"/>
                <w:szCs w:val="20"/>
              </w:rPr>
              <w:t>39,94</w:t>
            </w:r>
          </w:p>
        </w:tc>
        <w:tc>
          <w:tcPr>
            <w:tcW w:w="1042" w:type="dxa"/>
            <w:vAlign w:val="center"/>
          </w:tcPr>
          <w:p w:rsidR="00F3305A" w:rsidRPr="00E155B6" w:rsidRDefault="00F3305A" w:rsidP="00B202A8">
            <w:pPr>
              <w:jc w:val="center"/>
              <w:rPr>
                <w:rFonts w:cs="Arial"/>
                <w:szCs w:val="20"/>
              </w:rPr>
            </w:pPr>
            <w:r>
              <w:rPr>
                <w:rFonts w:cs="Arial"/>
                <w:szCs w:val="20"/>
              </w:rPr>
              <w:t>44,68</w:t>
            </w:r>
          </w:p>
        </w:tc>
        <w:tc>
          <w:tcPr>
            <w:tcW w:w="1042" w:type="dxa"/>
            <w:vAlign w:val="center"/>
          </w:tcPr>
          <w:p w:rsidR="00F3305A" w:rsidRPr="00E155B6" w:rsidRDefault="00F3305A" w:rsidP="00B202A8">
            <w:pPr>
              <w:jc w:val="center"/>
              <w:rPr>
                <w:rFonts w:cs="Arial"/>
                <w:szCs w:val="20"/>
              </w:rPr>
            </w:pPr>
            <w:r>
              <w:rPr>
                <w:rFonts w:cs="Arial"/>
                <w:szCs w:val="20"/>
              </w:rPr>
              <w:t>45,18</w:t>
            </w:r>
          </w:p>
        </w:tc>
        <w:tc>
          <w:tcPr>
            <w:tcW w:w="1088" w:type="dxa"/>
            <w:vAlign w:val="center"/>
          </w:tcPr>
          <w:p w:rsidR="00F3305A" w:rsidRPr="00E155B6" w:rsidRDefault="00F3305A" w:rsidP="00B202A8">
            <w:pPr>
              <w:jc w:val="center"/>
              <w:rPr>
                <w:rFonts w:cs="Arial"/>
                <w:szCs w:val="20"/>
              </w:rPr>
            </w:pPr>
            <w:r>
              <w:rPr>
                <w:rFonts w:cs="Arial"/>
                <w:szCs w:val="20"/>
              </w:rPr>
              <w:t>42,75</w:t>
            </w:r>
          </w:p>
        </w:tc>
      </w:tr>
    </w:tbl>
    <w:p w:rsidR="00B07B5B" w:rsidRPr="00B07B5B" w:rsidRDefault="00B07B5B" w:rsidP="00B07B5B">
      <w:pPr>
        <w:pStyle w:val="Zkladntext"/>
        <w:spacing w:line="276" w:lineRule="auto"/>
        <w:rPr>
          <w:rFonts w:ascii="Arial" w:hAnsi="Arial" w:cs="Arial"/>
          <w:sz w:val="20"/>
          <w:szCs w:val="20"/>
        </w:rPr>
      </w:pPr>
    </w:p>
    <w:p w:rsidR="00F3305A" w:rsidRDefault="00F3305A" w:rsidP="00B07B5B">
      <w:pPr>
        <w:rPr>
          <w:rFonts w:cs="Arial"/>
          <w:szCs w:val="20"/>
        </w:rPr>
      </w:pPr>
      <w:r>
        <w:rPr>
          <w:rFonts w:cs="Arial"/>
          <w:szCs w:val="20"/>
        </w:rPr>
        <w:t xml:space="preserve">The revision has been caused mainly by reclassification of selected units </w:t>
      </w:r>
      <w:r w:rsidR="0015165C">
        <w:rPr>
          <w:rFonts w:cs="Arial"/>
          <w:szCs w:val="20"/>
        </w:rPr>
        <w:t>in</w:t>
      </w:r>
      <w:r>
        <w:rPr>
          <w:rFonts w:cs="Arial"/>
          <w:szCs w:val="20"/>
        </w:rPr>
        <w:t>to general government sector</w:t>
      </w:r>
      <w:r w:rsidR="00F16128">
        <w:rPr>
          <w:rFonts w:cs="Arial"/>
          <w:szCs w:val="20"/>
        </w:rPr>
        <w:t>;</w:t>
      </w:r>
      <w:r>
        <w:rPr>
          <w:rFonts w:cs="Arial"/>
          <w:szCs w:val="20"/>
        </w:rPr>
        <w:t xml:space="preserve"> </w:t>
      </w:r>
      <w:r w:rsidR="00F16128">
        <w:rPr>
          <w:rFonts w:cs="Arial"/>
          <w:szCs w:val="20"/>
        </w:rPr>
        <w:t>t</w:t>
      </w:r>
      <w:r>
        <w:rPr>
          <w:rFonts w:cs="Arial"/>
          <w:szCs w:val="20"/>
        </w:rPr>
        <w:t xml:space="preserve">he classification of semi-budgetary organisations has been unified so that all units of this legal form are currently classified as government institutions. </w:t>
      </w:r>
      <w:r w:rsidR="007C03F5">
        <w:rPr>
          <w:rFonts w:cs="Arial"/>
          <w:szCs w:val="20"/>
        </w:rPr>
        <w:t xml:space="preserve">The same holds true for public hospitals with legal forms other than semi-budgetary organisations which </w:t>
      </w:r>
      <w:r>
        <w:rPr>
          <w:rFonts w:cs="Arial"/>
          <w:szCs w:val="20"/>
        </w:rPr>
        <w:t>are newly treated as government institutions. Economic results of these institutions have worsen</w:t>
      </w:r>
      <w:r w:rsidR="007C03F5">
        <w:rPr>
          <w:rFonts w:cs="Arial"/>
          <w:szCs w:val="20"/>
        </w:rPr>
        <w:t>ed</w:t>
      </w:r>
      <w:r>
        <w:rPr>
          <w:rFonts w:cs="Arial"/>
          <w:szCs w:val="20"/>
        </w:rPr>
        <w:t xml:space="preserve"> the fiscal indicators, i.e. </w:t>
      </w:r>
      <w:r w:rsidR="007C03F5">
        <w:rPr>
          <w:rFonts w:cs="Arial"/>
          <w:szCs w:val="20"/>
        </w:rPr>
        <w:t xml:space="preserve">increasing the deficit concurrently with a rise in the debt. Final downward revision in the Czech government deficit in 2014 has been brought about by other factors </w:t>
      </w:r>
      <w:r w:rsidR="00F16128">
        <w:rPr>
          <w:rFonts w:cs="Arial"/>
          <w:szCs w:val="20"/>
        </w:rPr>
        <w:t xml:space="preserve">reducing </w:t>
      </w:r>
      <w:r w:rsidR="007C03F5">
        <w:rPr>
          <w:rFonts w:cs="Arial"/>
          <w:szCs w:val="20"/>
        </w:rPr>
        <w:t>the deficit, especially updating of data sources.</w:t>
      </w:r>
    </w:p>
    <w:p w:rsidR="00F3305A" w:rsidRDefault="00F3305A" w:rsidP="00B07B5B">
      <w:pPr>
        <w:rPr>
          <w:rFonts w:cs="Arial"/>
          <w:szCs w:val="20"/>
        </w:rPr>
      </w:pPr>
    </w:p>
    <w:p w:rsidR="00B07B5B" w:rsidRPr="00B07B5B" w:rsidRDefault="007C03F5" w:rsidP="00B07B5B">
      <w:pPr>
        <w:rPr>
          <w:rFonts w:cs="Arial"/>
          <w:szCs w:val="20"/>
        </w:rPr>
      </w:pPr>
      <w:r>
        <w:rPr>
          <w:rFonts w:cs="Arial"/>
          <w:szCs w:val="20"/>
        </w:rPr>
        <w:t>In 2014, t</w:t>
      </w:r>
      <w:r w:rsidR="00336F0F">
        <w:rPr>
          <w:rFonts w:cs="Arial"/>
          <w:szCs w:val="20"/>
        </w:rPr>
        <w:t xml:space="preserve">he balance of revenues and expenditures (the item net borrowing/lending in the national </w:t>
      </w:r>
      <w:r w:rsidR="00663A94">
        <w:rPr>
          <w:rFonts w:cs="Arial"/>
          <w:szCs w:val="20"/>
        </w:rPr>
        <w:t>accounts</w:t>
      </w:r>
      <w:r w:rsidR="00336F0F">
        <w:rPr>
          <w:rFonts w:cs="Arial"/>
          <w:szCs w:val="20"/>
        </w:rPr>
        <w:t>) has worsened in all sub-sectors of general government sector</w:t>
      </w:r>
      <w:r w:rsidR="00663A94">
        <w:rPr>
          <w:rFonts w:cs="Arial"/>
          <w:szCs w:val="20"/>
        </w:rPr>
        <w:t xml:space="preserve"> compared with the previous year</w:t>
      </w:r>
      <w:r w:rsidR="00336F0F">
        <w:rPr>
          <w:rFonts w:cs="Arial"/>
          <w:szCs w:val="20"/>
        </w:rPr>
        <w:t xml:space="preserve">. In relative terms, the Czech government deficit was </w:t>
      </w:r>
      <w:r>
        <w:rPr>
          <w:rFonts w:cs="Arial"/>
          <w:szCs w:val="20"/>
        </w:rPr>
        <w:t xml:space="preserve">1.95 </w:t>
      </w:r>
      <w:r w:rsidR="00336F0F">
        <w:rPr>
          <w:rFonts w:cs="Arial"/>
          <w:szCs w:val="20"/>
        </w:rPr>
        <w:t>percent expresse</w:t>
      </w:r>
      <w:r w:rsidR="00663A94">
        <w:rPr>
          <w:rFonts w:cs="Arial"/>
          <w:szCs w:val="20"/>
        </w:rPr>
        <w:t>d</w:t>
      </w:r>
      <w:r w:rsidR="00336F0F">
        <w:rPr>
          <w:rFonts w:cs="Arial"/>
          <w:szCs w:val="20"/>
        </w:rPr>
        <w:t xml:space="preserve"> as a percentage of GDP. The main drivers of the annual increase in deficit </w:t>
      </w:r>
      <w:r w:rsidR="00663A94">
        <w:rPr>
          <w:rFonts w:cs="Arial"/>
          <w:szCs w:val="20"/>
        </w:rPr>
        <w:t>were</w:t>
      </w:r>
      <w:r w:rsidR="00336F0F">
        <w:rPr>
          <w:rFonts w:cs="Arial"/>
          <w:szCs w:val="20"/>
        </w:rPr>
        <w:t xml:space="preserve"> expenditures </w:t>
      </w:r>
      <w:r w:rsidR="00336F0F">
        <w:rPr>
          <w:rFonts w:cs="Arial"/>
          <w:szCs w:val="20"/>
        </w:rPr>
        <w:lastRenderedPageBreak/>
        <w:t xml:space="preserve">on gross fixed capital formation (annual increase </w:t>
      </w:r>
      <w:r w:rsidR="00F16128">
        <w:rPr>
          <w:rFonts w:cs="Arial"/>
          <w:szCs w:val="20"/>
        </w:rPr>
        <w:t>about</w:t>
      </w:r>
      <w:r w:rsidR="00336F0F">
        <w:rPr>
          <w:rFonts w:cs="Arial"/>
          <w:szCs w:val="20"/>
        </w:rPr>
        <w:t xml:space="preserve"> 1</w:t>
      </w:r>
      <w:r w:rsidR="00B30303">
        <w:rPr>
          <w:rFonts w:cs="Arial"/>
          <w:szCs w:val="20"/>
        </w:rPr>
        <w:t>7</w:t>
      </w:r>
      <w:r w:rsidR="00336F0F">
        <w:rPr>
          <w:rFonts w:cs="Arial"/>
          <w:szCs w:val="20"/>
        </w:rPr>
        <w:t xml:space="preserve"> percent), </w:t>
      </w:r>
      <w:r w:rsidR="00663A94">
        <w:rPr>
          <w:rFonts w:cs="Arial"/>
          <w:szCs w:val="20"/>
        </w:rPr>
        <w:t>government final consumption expenditures (annual increase by 3 percent) and the compensation paid by the Deposit Insurance Fund (14 billion CZK).</w:t>
      </w:r>
    </w:p>
    <w:p w:rsidR="004A7837" w:rsidRDefault="004A7837" w:rsidP="004A7837">
      <w:pPr>
        <w:rPr>
          <w:rFonts w:cs="Arial"/>
          <w:szCs w:val="20"/>
        </w:rPr>
      </w:pPr>
    </w:p>
    <w:p w:rsidR="008374BE" w:rsidRDefault="00663A94" w:rsidP="008374BE">
      <w:pPr>
        <w:rPr>
          <w:rFonts w:cs="Arial"/>
          <w:szCs w:val="20"/>
        </w:rPr>
      </w:pPr>
      <w:r>
        <w:rPr>
          <w:rFonts w:cs="Arial"/>
          <w:szCs w:val="20"/>
        </w:rPr>
        <w:t>At the end of 2014, the Czech government gross debt has reached the level of 42.</w:t>
      </w:r>
      <w:r w:rsidR="007C03F5">
        <w:rPr>
          <w:rFonts w:cs="Arial"/>
          <w:szCs w:val="20"/>
        </w:rPr>
        <w:t>75</w:t>
      </w:r>
      <w:r>
        <w:rPr>
          <w:rFonts w:cs="Arial"/>
          <w:szCs w:val="20"/>
        </w:rPr>
        <w:t xml:space="preserve"> percent of GDP. Compared with the previous year, the level of indebtedness has been reduced by 2.4</w:t>
      </w:r>
      <w:r w:rsidR="007C03F5">
        <w:rPr>
          <w:rFonts w:cs="Arial"/>
          <w:szCs w:val="20"/>
        </w:rPr>
        <w:t>3</w:t>
      </w:r>
      <w:r>
        <w:rPr>
          <w:rFonts w:cs="Arial"/>
          <w:szCs w:val="20"/>
        </w:rPr>
        <w:t xml:space="preserve"> percentage points. The reduction has been driven mainly by accelerating growth in nom</w:t>
      </w:r>
      <w:r w:rsidR="008374BE">
        <w:rPr>
          <w:rFonts w:cs="Arial"/>
          <w:szCs w:val="20"/>
        </w:rPr>
        <w:t>inal GDP (annually 4.</w:t>
      </w:r>
      <w:r w:rsidR="007C03F5">
        <w:rPr>
          <w:rFonts w:cs="Arial"/>
          <w:szCs w:val="20"/>
        </w:rPr>
        <w:t>5</w:t>
      </w:r>
      <w:r w:rsidR="008374BE">
        <w:rPr>
          <w:rFonts w:cs="Arial"/>
          <w:szCs w:val="20"/>
        </w:rPr>
        <w:t xml:space="preserve"> percent) and</w:t>
      </w:r>
      <w:r>
        <w:rPr>
          <w:rFonts w:cs="Arial"/>
          <w:szCs w:val="20"/>
        </w:rPr>
        <w:t xml:space="preserve"> the stable level of the state debt</w:t>
      </w:r>
      <w:r w:rsidR="008374BE">
        <w:rPr>
          <w:rFonts w:cs="Arial"/>
          <w:szCs w:val="20"/>
        </w:rPr>
        <w:t>. The reduction in indebtedness with concurrent increase in government deficit can be explained mainly by the significant amount of transactions recorded under the item currency and deposits (see F.2 in tables 3A, 3B, 3D) implying coverage of the deficit by a decrease in the assets.</w:t>
      </w:r>
    </w:p>
    <w:p w:rsidR="008374BE" w:rsidRDefault="008374BE" w:rsidP="004A7837">
      <w:pPr>
        <w:rPr>
          <w:rFonts w:cs="Arial"/>
          <w:szCs w:val="20"/>
        </w:rPr>
      </w:pPr>
    </w:p>
    <w:p w:rsidR="008374BE" w:rsidRDefault="007C03F5" w:rsidP="008374BE">
      <w:pPr>
        <w:rPr>
          <w:rFonts w:cs="Arial"/>
          <w:szCs w:val="20"/>
        </w:rPr>
      </w:pPr>
      <w:r>
        <w:rPr>
          <w:rFonts w:cs="Arial"/>
          <w:szCs w:val="20"/>
        </w:rPr>
        <w:t xml:space="preserve">The revision in debt by 0.18 p.p. has been caused especially by </w:t>
      </w:r>
      <w:r w:rsidR="00F16128">
        <w:rPr>
          <w:rFonts w:cs="Arial"/>
          <w:szCs w:val="20"/>
        </w:rPr>
        <w:t xml:space="preserve">the </w:t>
      </w:r>
      <w:r>
        <w:rPr>
          <w:rFonts w:cs="Arial"/>
          <w:szCs w:val="20"/>
        </w:rPr>
        <w:t>reclassification of units mentioned above. At the same time, the CZSO has implemented new approach to statistical recording of the liquidity system operated under the State treasury. This</w:t>
      </w:r>
      <w:r w:rsidR="00F16128">
        <w:rPr>
          <w:rFonts w:cs="Arial"/>
          <w:szCs w:val="20"/>
        </w:rPr>
        <w:t xml:space="preserve"> measure</w:t>
      </w:r>
      <w:r>
        <w:rPr>
          <w:rFonts w:cs="Arial"/>
          <w:szCs w:val="20"/>
        </w:rPr>
        <w:t xml:space="preserve"> has impacted the financial relation</w:t>
      </w:r>
      <w:r w:rsidR="00F16128">
        <w:rPr>
          <w:rFonts w:cs="Arial"/>
          <w:szCs w:val="20"/>
        </w:rPr>
        <w:t>s</w:t>
      </w:r>
      <w:r>
        <w:rPr>
          <w:rFonts w:cs="Arial"/>
          <w:szCs w:val="20"/>
        </w:rPr>
        <w:t xml:space="preserve"> within general government sector with negligible impact on the amount of consolidated government debt due to limited involvement of units classified outside general government sector.</w:t>
      </w:r>
    </w:p>
    <w:p w:rsidR="00B07B5B" w:rsidRDefault="00B07B5B" w:rsidP="00B07B5B">
      <w:pPr>
        <w:rPr>
          <w:rFonts w:cs="Arial"/>
          <w:szCs w:val="20"/>
        </w:rPr>
      </w:pPr>
    </w:p>
    <w:p w:rsidR="00AF182A" w:rsidRDefault="00F16128" w:rsidP="00AF182A">
      <w:pPr>
        <w:pStyle w:val="Zkladntext2"/>
        <w:spacing w:line="276" w:lineRule="auto"/>
        <w:rPr>
          <w:rFonts w:cs="Arial"/>
          <w:szCs w:val="20"/>
        </w:rPr>
      </w:pPr>
      <w:r>
        <w:rPr>
          <w:rFonts w:cs="Arial"/>
          <w:noProof/>
          <w:szCs w:val="20"/>
        </w:rPr>
        <w:pict>
          <v:shapetype id="_x0000_t32" coordsize="21600,21600" o:spt="32" o:oned="t" path="m,l21600,21600e" filled="f">
            <v:path arrowok="t" fillok="f" o:connecttype="none"/>
            <o:lock v:ext="edit" shapetype="t"/>
          </v:shapetype>
          <v:shape id="_x0000_s1026" type="#_x0000_t32" style="position:absolute;left:0;text-align:left;margin-left:68.75pt;margin-top:5.65pt;width:302.5pt;height:0;z-index:251659264" o:connectortype="straight"/>
        </w:pict>
      </w:r>
    </w:p>
    <w:p w:rsidR="00AF182A" w:rsidRPr="008D4312" w:rsidRDefault="00AF182A" w:rsidP="00B07B5B">
      <w:pPr>
        <w:rPr>
          <w:rFonts w:cs="Arial"/>
          <w:szCs w:val="20"/>
        </w:rPr>
      </w:pPr>
    </w:p>
    <w:p w:rsidR="009266AF" w:rsidRPr="008D4312" w:rsidRDefault="009266AF" w:rsidP="009266AF">
      <w:pPr>
        <w:pStyle w:val="Zkladntext"/>
        <w:spacing w:line="276" w:lineRule="auto"/>
        <w:rPr>
          <w:rFonts w:ascii="Arial" w:hAnsi="Arial" w:cs="Arial"/>
          <w:sz w:val="20"/>
          <w:szCs w:val="20"/>
        </w:rPr>
      </w:pPr>
      <w:r w:rsidRPr="008D4312">
        <w:rPr>
          <w:rFonts w:ascii="Arial" w:hAnsi="Arial" w:cs="Arial"/>
          <w:sz w:val="20"/>
          <w:szCs w:val="20"/>
        </w:rPr>
        <w:t>Notification of government deficit and debt is compiled for past four years and submitted to the European Commission by each Member State of the EU at the end of September and March each year under the terms of the Maastricht treaty, including a projection for the current year. Starting from September 2014, quantification of the aggregates is based on the methodology ESA 2010. Pursuant to the Maastricht criteria, fiscal indicators should comply with reference values for a deficit (3% of GDP) and a debt (60% of GDP). The projection of government deficit and debt for the year 2015 is prepared and published by the Ministry of Finance of the Czech Republic.</w:t>
      </w:r>
    </w:p>
    <w:p w:rsidR="009266AF" w:rsidRPr="008D4312" w:rsidRDefault="009266AF" w:rsidP="009266AF">
      <w:pPr>
        <w:pStyle w:val="Zkladntext"/>
        <w:spacing w:line="276" w:lineRule="auto"/>
        <w:rPr>
          <w:rFonts w:ascii="Arial" w:hAnsi="Arial" w:cs="Arial"/>
          <w:sz w:val="20"/>
          <w:szCs w:val="20"/>
        </w:rPr>
      </w:pPr>
    </w:p>
    <w:p w:rsidR="009266AF" w:rsidRPr="008374BE" w:rsidRDefault="009266AF" w:rsidP="009266AF">
      <w:pPr>
        <w:pStyle w:val="Zkladntext"/>
        <w:spacing w:line="276" w:lineRule="auto"/>
        <w:rPr>
          <w:rFonts w:ascii="Arial" w:hAnsi="Arial" w:cs="Arial"/>
          <w:sz w:val="20"/>
          <w:szCs w:val="20"/>
        </w:rPr>
      </w:pPr>
      <w:r w:rsidRPr="008374BE">
        <w:rPr>
          <w:rFonts w:ascii="Arial" w:hAnsi="Arial" w:cs="Arial"/>
          <w:sz w:val="20"/>
          <w:szCs w:val="20"/>
          <w:u w:val="single"/>
        </w:rPr>
        <w:t>Government surplus/deficit</w:t>
      </w:r>
      <w:r w:rsidRPr="008374BE">
        <w:rPr>
          <w:rFonts w:ascii="Arial" w:hAnsi="Arial" w:cs="Arial"/>
          <w:sz w:val="20"/>
          <w:szCs w:val="20"/>
        </w:rPr>
        <w:t xml:space="preserve"> is represented by item B.9 “net borrowing (-) or net lending (+)” in national accounts. It refers to the ability of general government sector to finance other sectors (+) or the need of general government sector to be financed (-) by other economic sectors.</w:t>
      </w:r>
    </w:p>
    <w:p w:rsidR="009266AF" w:rsidRPr="008374BE" w:rsidRDefault="009266AF" w:rsidP="009266AF">
      <w:pPr>
        <w:pStyle w:val="Zkladntext"/>
        <w:spacing w:line="276" w:lineRule="auto"/>
        <w:rPr>
          <w:rFonts w:ascii="Arial" w:hAnsi="Arial" w:cs="Arial"/>
          <w:sz w:val="20"/>
          <w:szCs w:val="20"/>
        </w:rPr>
      </w:pPr>
    </w:p>
    <w:p w:rsidR="009266AF" w:rsidRPr="00B07B5B" w:rsidRDefault="009266AF" w:rsidP="009266AF">
      <w:pPr>
        <w:pStyle w:val="Zkladntext"/>
        <w:spacing w:line="276" w:lineRule="auto"/>
        <w:rPr>
          <w:rFonts w:ascii="Arial" w:hAnsi="Arial" w:cs="Arial"/>
          <w:sz w:val="20"/>
          <w:szCs w:val="20"/>
        </w:rPr>
      </w:pPr>
      <w:r w:rsidRPr="008374BE">
        <w:rPr>
          <w:rFonts w:ascii="Arial" w:hAnsi="Arial" w:cs="Arial"/>
          <w:sz w:val="20"/>
          <w:szCs w:val="20"/>
          <w:u w:val="single"/>
        </w:rPr>
        <w:t>Government debt</w:t>
      </w:r>
      <w:r w:rsidRPr="008374BE">
        <w:rPr>
          <w:rFonts w:ascii="Arial" w:hAnsi="Arial" w:cs="Arial"/>
          <w:sz w:val="20"/>
          <w:szCs w:val="20"/>
        </w:rPr>
        <w:t xml:space="preserve"> consists of liabilities of general government sector in form of currency and deposits, debt securities and loans. In case of foreign exchange debt instruments hedged against currency risk, value in CZK is obtained by means of contractual exchange rate.</w:t>
      </w:r>
    </w:p>
    <w:p w:rsidR="009266AF" w:rsidRDefault="009266AF" w:rsidP="00043BF4"/>
    <w:p w:rsidR="004A7837" w:rsidRDefault="004A7837" w:rsidP="00043BF4">
      <w:r w:rsidRPr="00B07B5B">
        <w:rPr>
          <w:rFonts w:cs="Arial"/>
          <w:szCs w:val="20"/>
        </w:rPr>
        <w:t xml:space="preserve">Indicators mentioned in the table were transmitted to Eurostat </w:t>
      </w:r>
      <w:r w:rsidRPr="00B07B5B">
        <w:rPr>
          <w:rStyle w:val="hps"/>
          <w:rFonts w:cs="Arial"/>
          <w:color w:val="333333"/>
          <w:szCs w:val="20"/>
        </w:rPr>
        <w:t xml:space="preserve">at the end of </w:t>
      </w:r>
      <w:r w:rsidR="007C03F5">
        <w:rPr>
          <w:rStyle w:val="hps"/>
          <w:rFonts w:cs="Arial"/>
          <w:color w:val="333333"/>
          <w:szCs w:val="20"/>
        </w:rPr>
        <w:t>September</w:t>
      </w:r>
      <w:r w:rsidRPr="00B07B5B">
        <w:rPr>
          <w:rFonts w:cs="Arial"/>
          <w:szCs w:val="20"/>
        </w:rPr>
        <w:t xml:space="preserve"> 201</w:t>
      </w:r>
      <w:r w:rsidR="007C03F5">
        <w:rPr>
          <w:rFonts w:cs="Arial"/>
          <w:szCs w:val="20"/>
        </w:rPr>
        <w:t>5</w:t>
      </w:r>
      <w:r w:rsidRPr="00B07B5B">
        <w:rPr>
          <w:rFonts w:cs="Arial"/>
          <w:szCs w:val="20"/>
        </w:rPr>
        <w:t>.</w:t>
      </w:r>
    </w:p>
    <w:p w:rsidR="00830829" w:rsidRDefault="00830829" w:rsidP="00830829">
      <w:pPr>
        <w:pStyle w:val="Poznmky0"/>
      </w:pPr>
      <w:r>
        <w:t>Notices:</w:t>
      </w:r>
    </w:p>
    <w:p w:rsidR="00830829" w:rsidRDefault="00830829" w:rsidP="00830829">
      <w:pPr>
        <w:rPr>
          <w:i/>
          <w:iCs/>
        </w:rPr>
      </w:pPr>
      <w:r>
        <w:rPr>
          <w:i/>
          <w:iCs/>
        </w:rPr>
        <w:t>Responsible manager</w:t>
      </w:r>
      <w:r w:rsidRPr="00F665DC">
        <w:rPr>
          <w:i/>
          <w:iCs/>
        </w:rPr>
        <w:t xml:space="preserve">: </w:t>
      </w:r>
      <w:r>
        <w:rPr>
          <w:i/>
          <w:iCs/>
        </w:rPr>
        <w:t xml:space="preserve">Vaclav </w:t>
      </w:r>
      <w:proofErr w:type="spellStart"/>
      <w:r>
        <w:rPr>
          <w:i/>
          <w:iCs/>
        </w:rPr>
        <w:t>Rybacek</w:t>
      </w:r>
      <w:proofErr w:type="spellEnd"/>
      <w:r>
        <w:rPr>
          <w:i/>
          <w:iCs/>
        </w:rPr>
        <w:t>, Ph.D.</w:t>
      </w:r>
      <w:r w:rsidRPr="00F665DC">
        <w:rPr>
          <w:i/>
          <w:iCs/>
        </w:rPr>
        <w:t>, tel.: 274052</w:t>
      </w:r>
      <w:r>
        <w:rPr>
          <w:i/>
          <w:iCs/>
        </w:rPr>
        <w:t>5</w:t>
      </w:r>
      <w:r w:rsidRPr="00F665DC">
        <w:rPr>
          <w:i/>
          <w:iCs/>
        </w:rPr>
        <w:t>9</w:t>
      </w:r>
      <w:r>
        <w:rPr>
          <w:i/>
          <w:iCs/>
        </w:rPr>
        <w:t>6</w:t>
      </w:r>
      <w:r w:rsidRPr="00F665DC">
        <w:rPr>
          <w:i/>
          <w:iCs/>
        </w:rPr>
        <w:t xml:space="preserve">, e-mail: </w:t>
      </w:r>
      <w:hyperlink r:id="rId8" w:history="1">
        <w:r w:rsidRPr="000249DE">
          <w:rPr>
            <w:rStyle w:val="Hypertextovodkaz"/>
            <w:i/>
            <w:iCs/>
          </w:rPr>
          <w:t>vaclav.rybacek@czso.cz</w:t>
        </w:r>
      </w:hyperlink>
      <w:r w:rsidRPr="00F665DC">
        <w:br/>
      </w:r>
      <w:r>
        <w:rPr>
          <w:i/>
          <w:iCs/>
        </w:rPr>
        <w:lastRenderedPageBreak/>
        <w:t>Contact person</w:t>
      </w:r>
      <w:r w:rsidRPr="00F665DC">
        <w:rPr>
          <w:i/>
          <w:iCs/>
        </w:rPr>
        <w:t xml:space="preserve">: </w:t>
      </w:r>
      <w:r>
        <w:rPr>
          <w:i/>
          <w:iCs/>
        </w:rPr>
        <w:t xml:space="preserve">Marie </w:t>
      </w:r>
      <w:proofErr w:type="spellStart"/>
      <w:r>
        <w:rPr>
          <w:i/>
          <w:iCs/>
        </w:rPr>
        <w:t>Trejbalova</w:t>
      </w:r>
      <w:proofErr w:type="spellEnd"/>
      <w:r w:rsidRPr="00F665DC">
        <w:rPr>
          <w:i/>
          <w:iCs/>
        </w:rPr>
        <w:t>, tel.: 27405</w:t>
      </w:r>
      <w:r w:rsidR="007C03F5">
        <w:rPr>
          <w:i/>
          <w:iCs/>
        </w:rPr>
        <w:t>2706</w:t>
      </w:r>
      <w:r w:rsidRPr="00F665DC">
        <w:rPr>
          <w:i/>
          <w:iCs/>
        </w:rPr>
        <w:t xml:space="preserve">, e-mail: </w:t>
      </w:r>
      <w:hyperlink r:id="rId9" w:history="1">
        <w:r w:rsidRPr="000249DE">
          <w:rPr>
            <w:rStyle w:val="Hypertextovodkaz"/>
            <w:i/>
            <w:iCs/>
          </w:rPr>
          <w:t>marie.trejbalova@czso.cz</w:t>
        </w:r>
      </w:hyperlink>
      <w:r w:rsidRPr="00F665DC">
        <w:br/>
      </w:r>
      <w:r w:rsidR="00B07B5B">
        <w:rPr>
          <w:i/>
          <w:iCs/>
        </w:rPr>
        <w:t>Coming</w:t>
      </w:r>
      <w:r>
        <w:rPr>
          <w:i/>
          <w:iCs/>
        </w:rPr>
        <w:t xml:space="preserve"> News </w:t>
      </w:r>
      <w:proofErr w:type="gramStart"/>
      <w:r>
        <w:rPr>
          <w:i/>
          <w:iCs/>
        </w:rPr>
        <w:t xml:space="preserve">Release </w:t>
      </w:r>
      <w:r w:rsidRPr="00F665DC">
        <w:rPr>
          <w:i/>
          <w:iCs/>
        </w:rPr>
        <w:t>:</w:t>
      </w:r>
      <w:proofErr w:type="gramEnd"/>
      <w:r w:rsidRPr="00F665DC">
        <w:rPr>
          <w:i/>
          <w:iCs/>
        </w:rPr>
        <w:t xml:space="preserve"> </w:t>
      </w:r>
      <w:r w:rsidR="007C03F5">
        <w:rPr>
          <w:i/>
          <w:iCs/>
        </w:rPr>
        <w:t>01.04. 2016</w:t>
      </w:r>
    </w:p>
    <w:p w:rsidR="00830829" w:rsidRDefault="00830829" w:rsidP="00830829">
      <w:pPr>
        <w:rPr>
          <w:i/>
          <w:iCs/>
        </w:rPr>
      </w:pPr>
    </w:p>
    <w:p w:rsidR="00D209A7" w:rsidRPr="004920AD" w:rsidRDefault="00830829" w:rsidP="00830829">
      <w:r>
        <w:t>This press release was not edited for language.</w:t>
      </w:r>
    </w:p>
    <w:sectPr w:rsidR="00D209A7" w:rsidRPr="004920AD"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28" w:rsidRDefault="00D73F28" w:rsidP="00BA6370">
      <w:r>
        <w:separator/>
      </w:r>
    </w:p>
  </w:endnote>
  <w:endnote w:type="continuationSeparator" w:id="0">
    <w:p w:rsidR="00D73F28" w:rsidRDefault="00D73F28"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F16128">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13242C" w:rsidRPr="007E75DE">
                  <w:rPr>
                    <w:rFonts w:cs="Arial"/>
                    <w:szCs w:val="15"/>
                  </w:rPr>
                  <w:fldChar w:fldCharType="begin"/>
                </w:r>
                <w:r w:rsidRPr="007E75DE">
                  <w:rPr>
                    <w:rFonts w:cs="Arial"/>
                    <w:szCs w:val="15"/>
                  </w:rPr>
                  <w:instrText xml:space="preserve"> PAGE   \* MERGEFORMAT </w:instrText>
                </w:r>
                <w:r w:rsidR="0013242C" w:rsidRPr="007E75DE">
                  <w:rPr>
                    <w:rFonts w:cs="Arial"/>
                    <w:szCs w:val="15"/>
                  </w:rPr>
                  <w:fldChar w:fldCharType="separate"/>
                </w:r>
                <w:r w:rsidR="00F16128">
                  <w:rPr>
                    <w:rFonts w:cs="Arial"/>
                    <w:noProof/>
                    <w:szCs w:val="15"/>
                  </w:rPr>
                  <w:t>1</w:t>
                </w:r>
                <w:r w:rsidR="0013242C"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251656704;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28" w:rsidRDefault="00D73F28" w:rsidP="00BA6370">
      <w:r>
        <w:separator/>
      </w:r>
    </w:p>
  </w:footnote>
  <w:footnote w:type="continuationSeparator" w:id="0">
    <w:p w:rsidR="00D73F28" w:rsidRDefault="00D73F28"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F16128">
    <w:pPr>
      <w:pStyle w:val="Zhlav"/>
    </w:pPr>
    <w:r>
      <w:rPr>
        <w:noProof/>
        <w:lang w:val="cs-CZ" w:eastAsia="cs-CZ"/>
      </w:rPr>
      <w:pict>
        <v:group id="_x0000_s2094" style="position:absolute;left:0;text-align:left;margin-left:-69.5pt;margin-top:7.95pt;width:496.95pt;height:80.05pt;z-index:25165875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oNotTrackMoves/>
  <w:defaultTabStop w:val="720"/>
  <w:hyphenationZone w:val="425"/>
  <w:characterSpacingControl w:val="doNotCompress"/>
  <w:hdrShapeDefaults>
    <o:shapedefaults v:ext="edit" spidmax="209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829"/>
    <w:rsid w:val="00043BF4"/>
    <w:rsid w:val="000843A5"/>
    <w:rsid w:val="00091722"/>
    <w:rsid w:val="000B6F63"/>
    <w:rsid w:val="000F47E8"/>
    <w:rsid w:val="00116ED1"/>
    <w:rsid w:val="0013242C"/>
    <w:rsid w:val="001404AB"/>
    <w:rsid w:val="0015165C"/>
    <w:rsid w:val="0017231D"/>
    <w:rsid w:val="00176E26"/>
    <w:rsid w:val="0018061F"/>
    <w:rsid w:val="001810DC"/>
    <w:rsid w:val="001B607F"/>
    <w:rsid w:val="001C71FD"/>
    <w:rsid w:val="001D369A"/>
    <w:rsid w:val="001D766D"/>
    <w:rsid w:val="001F08B3"/>
    <w:rsid w:val="002070FB"/>
    <w:rsid w:val="00213729"/>
    <w:rsid w:val="002406FA"/>
    <w:rsid w:val="002A2103"/>
    <w:rsid w:val="002B2E47"/>
    <w:rsid w:val="002C37B6"/>
    <w:rsid w:val="002D37F5"/>
    <w:rsid w:val="002F294F"/>
    <w:rsid w:val="00314D8F"/>
    <w:rsid w:val="0032398D"/>
    <w:rsid w:val="003301A3"/>
    <w:rsid w:val="00336F0F"/>
    <w:rsid w:val="0036777B"/>
    <w:rsid w:val="00380178"/>
    <w:rsid w:val="0038282A"/>
    <w:rsid w:val="00397580"/>
    <w:rsid w:val="003A45C8"/>
    <w:rsid w:val="003B7F42"/>
    <w:rsid w:val="003C2DCF"/>
    <w:rsid w:val="003C3372"/>
    <w:rsid w:val="003C7FE7"/>
    <w:rsid w:val="003D0499"/>
    <w:rsid w:val="003D3576"/>
    <w:rsid w:val="003F26A7"/>
    <w:rsid w:val="003F526A"/>
    <w:rsid w:val="00405244"/>
    <w:rsid w:val="00436D82"/>
    <w:rsid w:val="004436EE"/>
    <w:rsid w:val="00447361"/>
    <w:rsid w:val="004507E3"/>
    <w:rsid w:val="0045547F"/>
    <w:rsid w:val="00491EA1"/>
    <w:rsid w:val="004920AD"/>
    <w:rsid w:val="004A7837"/>
    <w:rsid w:val="004D05B3"/>
    <w:rsid w:val="004E479E"/>
    <w:rsid w:val="004F78E6"/>
    <w:rsid w:val="00512D99"/>
    <w:rsid w:val="0051558E"/>
    <w:rsid w:val="00531DBB"/>
    <w:rsid w:val="00564213"/>
    <w:rsid w:val="005F79FB"/>
    <w:rsid w:val="00604406"/>
    <w:rsid w:val="00605F4A"/>
    <w:rsid w:val="00607822"/>
    <w:rsid w:val="006103AA"/>
    <w:rsid w:val="00613BBF"/>
    <w:rsid w:val="00622B80"/>
    <w:rsid w:val="0064139A"/>
    <w:rsid w:val="00663A94"/>
    <w:rsid w:val="006D5C60"/>
    <w:rsid w:val="006E024F"/>
    <w:rsid w:val="006E4E81"/>
    <w:rsid w:val="00707F7D"/>
    <w:rsid w:val="00717EC5"/>
    <w:rsid w:val="00755D8B"/>
    <w:rsid w:val="00763787"/>
    <w:rsid w:val="007A0CA5"/>
    <w:rsid w:val="007A57F2"/>
    <w:rsid w:val="007B1333"/>
    <w:rsid w:val="007C03F5"/>
    <w:rsid w:val="007F4AEB"/>
    <w:rsid w:val="007F75B2"/>
    <w:rsid w:val="008043C4"/>
    <w:rsid w:val="00830829"/>
    <w:rsid w:val="00831B1B"/>
    <w:rsid w:val="008374BE"/>
    <w:rsid w:val="00855FB3"/>
    <w:rsid w:val="00861D0E"/>
    <w:rsid w:val="00867569"/>
    <w:rsid w:val="00885C0D"/>
    <w:rsid w:val="008A10CA"/>
    <w:rsid w:val="008A44AB"/>
    <w:rsid w:val="008A750A"/>
    <w:rsid w:val="008B3970"/>
    <w:rsid w:val="008C384C"/>
    <w:rsid w:val="008D0F11"/>
    <w:rsid w:val="008D4312"/>
    <w:rsid w:val="008F73B4"/>
    <w:rsid w:val="009035E8"/>
    <w:rsid w:val="009266AF"/>
    <w:rsid w:val="00971374"/>
    <w:rsid w:val="009B55B1"/>
    <w:rsid w:val="009E39C5"/>
    <w:rsid w:val="00A4343D"/>
    <w:rsid w:val="00A449AA"/>
    <w:rsid w:val="00A502F1"/>
    <w:rsid w:val="00A70A83"/>
    <w:rsid w:val="00A81EB3"/>
    <w:rsid w:val="00AC3140"/>
    <w:rsid w:val="00AF182A"/>
    <w:rsid w:val="00B00C1D"/>
    <w:rsid w:val="00B072C8"/>
    <w:rsid w:val="00B07B5B"/>
    <w:rsid w:val="00B30303"/>
    <w:rsid w:val="00B632CC"/>
    <w:rsid w:val="00BA12F1"/>
    <w:rsid w:val="00BA439F"/>
    <w:rsid w:val="00BA6370"/>
    <w:rsid w:val="00C269D4"/>
    <w:rsid w:val="00C4160D"/>
    <w:rsid w:val="00C8406E"/>
    <w:rsid w:val="00CB2709"/>
    <w:rsid w:val="00CB6F89"/>
    <w:rsid w:val="00CE228C"/>
    <w:rsid w:val="00CE71D9"/>
    <w:rsid w:val="00CF545B"/>
    <w:rsid w:val="00D209A7"/>
    <w:rsid w:val="00D27D69"/>
    <w:rsid w:val="00D35C7D"/>
    <w:rsid w:val="00D448C2"/>
    <w:rsid w:val="00D666C3"/>
    <w:rsid w:val="00D73F28"/>
    <w:rsid w:val="00D811AB"/>
    <w:rsid w:val="00DF47FE"/>
    <w:rsid w:val="00E0156A"/>
    <w:rsid w:val="00E26704"/>
    <w:rsid w:val="00E31980"/>
    <w:rsid w:val="00E6423C"/>
    <w:rsid w:val="00E71483"/>
    <w:rsid w:val="00E7721A"/>
    <w:rsid w:val="00E93830"/>
    <w:rsid w:val="00E93E0E"/>
    <w:rsid w:val="00EB1A25"/>
    <w:rsid w:val="00EB1ED3"/>
    <w:rsid w:val="00EE70B7"/>
    <w:rsid w:val="00F16128"/>
    <w:rsid w:val="00F314B7"/>
    <w:rsid w:val="00F3305A"/>
    <w:rsid w:val="00F566FC"/>
    <w:rsid w:val="00F83C49"/>
    <w:rsid w:val="00FA1974"/>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6">
      <o:colormru v:ext="edit" colors="#0071bc"/>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rsid w:val="00B07B5B"/>
    <w:pPr>
      <w:spacing w:line="240" w:lineRule="auto"/>
    </w:pPr>
    <w:rPr>
      <w:rFonts w:ascii="Times New Roman" w:eastAsia="Times New Roman" w:hAnsi="Times New Roman"/>
      <w:sz w:val="24"/>
      <w:szCs w:val="24"/>
      <w:lang w:eastAsia="cs-CZ"/>
    </w:rPr>
  </w:style>
  <w:style w:type="character" w:customStyle="1" w:styleId="ZkladntextChar">
    <w:name w:val="Základní text Char"/>
    <w:link w:val="Zkladntext"/>
    <w:rsid w:val="00B07B5B"/>
    <w:rPr>
      <w:rFonts w:ascii="Times New Roman" w:eastAsia="Times New Roman" w:hAnsi="Times New Roman"/>
      <w:sz w:val="24"/>
      <w:szCs w:val="24"/>
      <w:lang w:val="en-GB"/>
    </w:rPr>
  </w:style>
  <w:style w:type="character" w:customStyle="1" w:styleId="hps">
    <w:name w:val="hps"/>
    <w:rsid w:val="00B07B5B"/>
  </w:style>
  <w:style w:type="paragraph" w:styleId="Zkladntext2">
    <w:name w:val="Body Text 2"/>
    <w:basedOn w:val="Normln"/>
    <w:link w:val="Zkladntext2Char"/>
    <w:uiPriority w:val="99"/>
    <w:semiHidden/>
    <w:unhideWhenUsed/>
    <w:rsid w:val="00AF182A"/>
    <w:pPr>
      <w:spacing w:after="120" w:line="480" w:lineRule="auto"/>
    </w:pPr>
  </w:style>
  <w:style w:type="character" w:customStyle="1" w:styleId="Zkladntext2Char">
    <w:name w:val="Základní text 2 Char"/>
    <w:basedOn w:val="Standardnpsmoodstavce"/>
    <w:link w:val="Zkladntext2"/>
    <w:uiPriority w:val="99"/>
    <w:semiHidden/>
    <w:rsid w:val="00AF182A"/>
    <w:rPr>
      <w:rFonts w:ascii="Arial" w:hAnsi="Arial"/>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565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rybacek@czso.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e.trejbalova@czso.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VL&#193;DA\V&#253;stupy\Rychl&#225;%20informace\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2BCA2-2D58-4FF0-AFFF-53549CCC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179</TotalTime>
  <Pages>3</Pages>
  <Words>790</Words>
  <Characters>4667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5447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rybacek7060</dc:creator>
  <cp:lastModifiedBy>Václav Rybáček</cp:lastModifiedBy>
  <cp:revision>22</cp:revision>
  <dcterms:created xsi:type="dcterms:W3CDTF">2015-03-12T12:25:00Z</dcterms:created>
  <dcterms:modified xsi:type="dcterms:W3CDTF">2015-09-29T14:42:00Z</dcterms:modified>
</cp:coreProperties>
</file>