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42402DC1" w:rsidR="00EB224E" w:rsidRPr="00A95EE2" w:rsidRDefault="6A06770D" w:rsidP="6A06770D">
      <w:pPr>
        <w:pStyle w:val="datum0"/>
        <w:rPr>
          <w:rFonts w:eastAsia="Arial"/>
        </w:rPr>
      </w:pPr>
      <w:r w:rsidRPr="6A06770D">
        <w:rPr>
          <w:rFonts w:eastAsia="Arial"/>
        </w:rPr>
        <w:t>7. 10. 2020</w:t>
      </w:r>
    </w:p>
    <w:p w14:paraId="02CF7A01" w14:textId="21310E30" w:rsidR="02C37057" w:rsidRDefault="003A1E1B" w:rsidP="6A06770D">
      <w:pPr>
        <w:pStyle w:val="Nzev"/>
        <w:spacing w:before="240" w:after="120" w:line="240" w:lineRule="auto"/>
        <w:rPr>
          <w:rFonts w:eastAsia="Arial" w:cs="Arial"/>
        </w:rPr>
      </w:pPr>
      <w:r>
        <w:rPr>
          <w:rFonts w:eastAsia="Arial" w:cs="Arial"/>
        </w:rPr>
        <w:t>B</w:t>
      </w:r>
      <w:r w:rsidR="00B47138" w:rsidRPr="00B47138">
        <w:rPr>
          <w:rFonts w:eastAsia="Arial" w:cs="Arial"/>
        </w:rPr>
        <w:t xml:space="preserve">ilance byla </w:t>
      </w:r>
      <w:r>
        <w:rPr>
          <w:rFonts w:eastAsia="Arial" w:cs="Arial"/>
        </w:rPr>
        <w:t xml:space="preserve">i </w:t>
      </w:r>
      <w:r w:rsidR="00B47138" w:rsidRPr="00B47138">
        <w:rPr>
          <w:rFonts w:eastAsia="Arial" w:cs="Arial"/>
        </w:rPr>
        <w:t xml:space="preserve">přes pokles vývozu </w:t>
      </w:r>
      <w:r>
        <w:rPr>
          <w:rFonts w:eastAsia="Arial" w:cs="Arial"/>
        </w:rPr>
        <w:t>a</w:t>
      </w:r>
      <w:r w:rsidR="00B47138" w:rsidRPr="00B47138">
        <w:rPr>
          <w:rFonts w:eastAsia="Arial" w:cs="Arial"/>
        </w:rPr>
        <w:t xml:space="preserve"> dovozu kladná</w:t>
      </w:r>
      <w:r w:rsidR="6A06770D" w:rsidRPr="6A06770D">
        <w:rPr>
          <w:rFonts w:eastAsia="Arial" w:cs="Arial"/>
        </w:rPr>
        <w:t xml:space="preserve"> </w:t>
      </w:r>
    </w:p>
    <w:p w14:paraId="0B641BF8" w14:textId="566D2C44" w:rsidR="00EB224E" w:rsidRPr="00C5396B" w:rsidRDefault="6A06770D" w:rsidP="6A06770D">
      <w:pPr>
        <w:pStyle w:val="Nzev"/>
        <w:spacing w:before="120" w:after="120" w:line="240" w:lineRule="auto"/>
        <w:rPr>
          <w:rFonts w:eastAsia="Arial" w:cs="Arial"/>
          <w:b w:val="0"/>
          <w:bCs w:val="0"/>
          <w:color w:val="auto"/>
          <w:sz w:val="28"/>
          <w:szCs w:val="28"/>
        </w:rPr>
      </w:pPr>
      <w:r w:rsidRPr="6A06770D">
        <w:rPr>
          <w:rFonts w:eastAsia="Arial" w:cs="Arial"/>
          <w:color w:val="auto"/>
          <w:sz w:val="28"/>
          <w:szCs w:val="28"/>
        </w:rPr>
        <w:t>Zahraniční obchod se zbožím – srpen 2020</w:t>
      </w:r>
    </w:p>
    <w:p w14:paraId="5C916375" w14:textId="62D9D790" w:rsidR="02C37057" w:rsidRPr="00B832D3" w:rsidRDefault="6A06770D" w:rsidP="00B832D3">
      <w:pPr>
        <w:keepNext/>
        <w:keepLines/>
        <w:spacing w:after="200"/>
        <w:outlineLvl w:val="1"/>
        <w:rPr>
          <w:b/>
        </w:rPr>
      </w:pPr>
      <w:r w:rsidRPr="00B832D3">
        <w:rPr>
          <w:b/>
        </w:rPr>
        <w:t>Podle předběžných údajů skončila v srpnu bilance zahraničního obchodu se zbožím v</w:t>
      </w:r>
      <w:r w:rsidR="00910DAA">
        <w:rPr>
          <w:b/>
        </w:rPr>
        <w:t> </w:t>
      </w:r>
      <w:r w:rsidRPr="00B832D3">
        <w:rPr>
          <w:b/>
        </w:rPr>
        <w:t xml:space="preserve">běžných cenách přebytkem 7,6 mld. Kč. Meziročně to však byl o 1,6 mld. Kč horší výsledek. </w:t>
      </w:r>
    </w:p>
    <w:p w14:paraId="6317CA85" w14:textId="0214D182" w:rsidR="6A06770D" w:rsidRDefault="606B706B" w:rsidP="6A06770D">
      <w:pPr>
        <w:spacing w:after="160"/>
        <w:outlineLvl w:val="1"/>
        <w:rPr>
          <w:rFonts w:eastAsia="Arial" w:cs="Arial"/>
        </w:rPr>
      </w:pPr>
      <w:r w:rsidRPr="606B706B">
        <w:rPr>
          <w:rFonts w:eastAsia="Arial" w:cs="Arial"/>
        </w:rPr>
        <w:t>Celkové saldo zahraničního obchodu</w:t>
      </w:r>
      <w:r w:rsidRPr="606B706B">
        <w:rPr>
          <w:rFonts w:eastAsia="Arial" w:cs="Arial"/>
          <w:vertAlign w:val="superscript"/>
        </w:rPr>
        <w:t>1)</w:t>
      </w:r>
      <w:r w:rsidRPr="606B706B">
        <w:rPr>
          <w:rFonts w:eastAsia="Arial" w:cs="Arial"/>
        </w:rPr>
        <w:t xml:space="preserve"> se zbožím</w:t>
      </w:r>
      <w:r w:rsidRPr="606B706B">
        <w:rPr>
          <w:rFonts w:eastAsia="Arial" w:cs="Arial"/>
          <w:vertAlign w:val="superscript"/>
        </w:rPr>
        <w:t>2)</w:t>
      </w:r>
      <w:r w:rsidRPr="606B706B">
        <w:rPr>
          <w:rFonts w:eastAsia="Arial" w:cs="Arial"/>
        </w:rPr>
        <w:t xml:space="preserve"> nepříznivě ovlivnil meziroční pokles přebytku bilance výrobků zpracovatelského průmyslu o 6,0 mld. Kč. Na tomto se největší měrou podílel pokles kladné bilance motorových vozidel o 5,0 mld. Kč a meziročně vyšší schodek bilance s</w:t>
      </w:r>
      <w:r w:rsidR="00910DAA">
        <w:rPr>
          <w:rFonts w:eastAsia="Arial" w:cs="Arial"/>
        </w:rPr>
        <w:t> </w:t>
      </w:r>
      <w:r w:rsidRPr="606B706B">
        <w:rPr>
          <w:rFonts w:eastAsia="Arial" w:cs="Arial"/>
        </w:rPr>
        <w:t>počítači, elektronickými a optickými přístroji o 4,6 mld. Kč.</w:t>
      </w:r>
    </w:p>
    <w:p w14:paraId="0E7BCE89" w14:textId="7462CCC4" w:rsidR="6A06770D" w:rsidRDefault="6A06770D" w:rsidP="6A06770D">
      <w:pPr>
        <w:spacing w:after="160"/>
        <w:rPr>
          <w:rFonts w:eastAsia="Arial" w:cs="Arial"/>
        </w:rPr>
      </w:pPr>
      <w:r w:rsidRPr="6A06770D">
        <w:rPr>
          <w:rFonts w:eastAsia="Arial" w:cs="Arial"/>
        </w:rPr>
        <w:t>Příznivý vliv měl meziročně nižší deficit bilance zahraničního obchodu s ropou a zemním plynem o 3,8 mld. Kč (vlivem poklesu cen na světových trzích) a stejně tak nižší schodek bilance základních kovů o 2,6 mld. Kč. Pozitivně se na bilanci podepsal i nárůst kladného salda bilance strojů a zařízení o 1,4 mld. Kč.</w:t>
      </w:r>
    </w:p>
    <w:p w14:paraId="2DAD1447" w14:textId="45ED84BF" w:rsidR="02C37057" w:rsidRDefault="6A06770D" w:rsidP="6A06770D">
      <w:pPr>
        <w:spacing w:after="160"/>
        <w:rPr>
          <w:rFonts w:eastAsia="Arial" w:cs="Arial"/>
          <w:highlight w:val="yellow"/>
        </w:rPr>
      </w:pPr>
      <w:r w:rsidRPr="6A06770D">
        <w:rPr>
          <w:rFonts w:eastAsia="Arial" w:cs="Arial"/>
        </w:rPr>
        <w:t>Přebytek zahraničního obchodu se státy EU27</w:t>
      </w:r>
      <w:r w:rsidRPr="6A06770D">
        <w:rPr>
          <w:rFonts w:eastAsia="Arial" w:cs="Arial"/>
          <w:vertAlign w:val="superscript"/>
        </w:rPr>
        <w:t>3)</w:t>
      </w:r>
      <w:r w:rsidRPr="6A06770D">
        <w:rPr>
          <w:rFonts w:eastAsia="Arial" w:cs="Arial"/>
        </w:rPr>
        <w:t xml:space="preserve"> se v srpnu meziročně snížil o 1,5 mld. Kč a</w:t>
      </w:r>
      <w:r w:rsidR="00910DAA">
        <w:rPr>
          <w:rFonts w:eastAsia="Arial" w:cs="Arial"/>
        </w:rPr>
        <w:t> </w:t>
      </w:r>
      <w:r w:rsidRPr="6A06770D">
        <w:rPr>
          <w:rFonts w:eastAsia="Arial" w:cs="Arial"/>
        </w:rPr>
        <w:t>dosáhl 44,2 mld. Kč. Bilance zahraničníh</w:t>
      </w:r>
      <w:r w:rsidR="00DB6FCB">
        <w:rPr>
          <w:rFonts w:eastAsia="Arial" w:cs="Arial"/>
        </w:rPr>
        <w:t>o obchodu se všemi</w:t>
      </w:r>
      <w:r w:rsidRPr="6A06770D">
        <w:rPr>
          <w:rFonts w:eastAsia="Arial" w:cs="Arial"/>
        </w:rPr>
        <w:t xml:space="preserve"> soused</w:t>
      </w:r>
      <w:r w:rsidR="00C211FE">
        <w:rPr>
          <w:rFonts w:eastAsia="Arial" w:cs="Arial"/>
        </w:rPr>
        <w:t>ními</w:t>
      </w:r>
      <w:r w:rsidRPr="6A06770D">
        <w:rPr>
          <w:rFonts w:eastAsia="Arial" w:cs="Arial"/>
        </w:rPr>
        <w:t xml:space="preserve"> zeměmi se mírně zhoršila s výjimkou Slovenska, kde naopak došlo k nepatrnému zlepšení výrazně kladné bilance.</w:t>
      </w:r>
    </w:p>
    <w:p w14:paraId="5C732D39" w14:textId="58AFFFC8" w:rsidR="02C37057" w:rsidRDefault="6A06770D" w:rsidP="6A06770D">
      <w:pPr>
        <w:spacing w:after="160"/>
        <w:rPr>
          <w:rFonts w:eastAsia="Arial" w:cs="Arial"/>
        </w:rPr>
      </w:pPr>
      <w:r w:rsidRPr="6A06770D">
        <w:rPr>
          <w:rFonts w:eastAsia="Arial" w:cs="Arial"/>
        </w:rPr>
        <w:t xml:space="preserve">Se státy mimo EU27 došlo rovněž k mírnému meziročnímu </w:t>
      </w:r>
      <w:bookmarkStart w:id="0" w:name="_GoBack"/>
      <w:bookmarkEnd w:id="0"/>
      <w:r w:rsidR="00A71EEC">
        <w:rPr>
          <w:rFonts w:eastAsia="Arial" w:cs="Arial"/>
        </w:rPr>
        <w:t>zhoršení</w:t>
      </w:r>
      <w:r w:rsidR="00A71EEC" w:rsidRPr="6A06770D">
        <w:rPr>
          <w:rFonts w:eastAsia="Arial" w:cs="Arial"/>
        </w:rPr>
        <w:t xml:space="preserve"> </w:t>
      </w:r>
      <w:r w:rsidRPr="6A06770D">
        <w:rPr>
          <w:rFonts w:eastAsia="Arial" w:cs="Arial"/>
        </w:rPr>
        <w:t>bilance zahraničního obchodu</w:t>
      </w:r>
      <w:r w:rsidR="004D26D9">
        <w:rPr>
          <w:rFonts w:eastAsia="Arial" w:cs="Arial"/>
        </w:rPr>
        <w:t>,</w:t>
      </w:r>
      <w:r w:rsidRPr="6A06770D">
        <w:rPr>
          <w:rFonts w:eastAsia="Arial" w:cs="Arial"/>
        </w:rPr>
        <w:t xml:space="preserve"> a to o 0,3 mld. Kč. Vzájemný schodek obchodu se tak zvýšil na 35,3 mld. Kč.</w:t>
      </w:r>
    </w:p>
    <w:p w14:paraId="78A834BC" w14:textId="6191A92A" w:rsidR="02C37057" w:rsidRDefault="6A06770D" w:rsidP="6A06770D">
      <w:pPr>
        <w:spacing w:after="160"/>
        <w:rPr>
          <w:rFonts w:eastAsia="Arial" w:cs="Arial"/>
        </w:rPr>
      </w:pPr>
      <w:r w:rsidRPr="6A06770D">
        <w:rPr>
          <w:rFonts w:eastAsia="Arial" w:cs="Arial"/>
        </w:rPr>
        <w:t xml:space="preserve">Meziměsíčně se po sezónním očištění snížil vývoz o 2,7 % a dovoz o 0,2 %. Trend vývoje ukazuje na mírný růst vývozu (o 0,7 %) a dovozu (o 1,4 %). </w:t>
      </w:r>
    </w:p>
    <w:p w14:paraId="544E39B5" w14:textId="07393FB2" w:rsidR="02C37057" w:rsidRDefault="6A06770D" w:rsidP="6A06770D">
      <w:pPr>
        <w:spacing w:after="160"/>
        <w:rPr>
          <w:rFonts w:eastAsia="Arial" w:cs="Arial"/>
        </w:rPr>
      </w:pPr>
      <w:r w:rsidRPr="6A06770D">
        <w:rPr>
          <w:rFonts w:eastAsia="Arial" w:cs="Arial"/>
        </w:rPr>
        <w:t>Ve srovnání se stejným měsícem roku 2019 klesl vývoz o 5,4 % na 261,7 mld. Kč a dovoz o</w:t>
      </w:r>
      <w:r w:rsidR="00910DAA">
        <w:rPr>
          <w:rFonts w:eastAsia="Arial" w:cs="Arial"/>
        </w:rPr>
        <w:t> </w:t>
      </w:r>
      <w:r w:rsidRPr="6A06770D">
        <w:rPr>
          <w:rFonts w:eastAsia="Arial" w:cs="Arial"/>
        </w:rPr>
        <w:t>4,9</w:t>
      </w:r>
      <w:r w:rsidR="00910DAA">
        <w:rPr>
          <w:rFonts w:eastAsia="Arial" w:cs="Arial"/>
        </w:rPr>
        <w:t> </w:t>
      </w:r>
      <w:r w:rsidRPr="6A06770D">
        <w:rPr>
          <w:rFonts w:eastAsia="Arial" w:cs="Arial"/>
        </w:rPr>
        <w:t>% na 254,1 mld. Kč. Srpen 2020 měl o jeden pracovní den méně než srpen 2019.</w:t>
      </w:r>
    </w:p>
    <w:p w14:paraId="224BCDAA" w14:textId="7B2747A3" w:rsidR="02C37057" w:rsidRDefault="606B706B" w:rsidP="6A06770D">
      <w:pPr>
        <w:spacing w:after="160"/>
        <w:rPr>
          <w:rFonts w:eastAsia="Arial" w:cs="Arial"/>
        </w:rPr>
      </w:pPr>
      <w:r w:rsidRPr="606B706B">
        <w:rPr>
          <w:rFonts w:eastAsia="Arial" w:cs="Arial"/>
          <w:b/>
          <w:bCs/>
        </w:rPr>
        <w:t>V lednu až srpnu 2020</w:t>
      </w:r>
      <w:r w:rsidRPr="606B706B">
        <w:rPr>
          <w:rFonts w:eastAsia="Arial" w:cs="Arial"/>
        </w:rPr>
        <w:t xml:space="preserve"> dosáhl přebytek obchodní bilance 71,1 mld. Kč, což představovalo meziroční pokles o 41,6 mld. Kč. Od začátku roku klesl meziročně vývoz o 11,0 % a dovoz o</w:t>
      </w:r>
      <w:r w:rsidR="00910DAA">
        <w:rPr>
          <w:rFonts w:eastAsia="Arial" w:cs="Arial"/>
        </w:rPr>
        <w:t> </w:t>
      </w:r>
      <w:r w:rsidRPr="606B706B">
        <w:rPr>
          <w:rFonts w:eastAsia="Arial" w:cs="Arial"/>
        </w:rPr>
        <w:t>9,7</w:t>
      </w:r>
      <w:r w:rsidR="00910DAA">
        <w:rPr>
          <w:rFonts w:eastAsia="Arial" w:cs="Arial"/>
        </w:rPr>
        <w:t> </w:t>
      </w:r>
      <w:r w:rsidRPr="606B706B">
        <w:rPr>
          <w:rFonts w:eastAsia="Arial" w:cs="Arial"/>
        </w:rPr>
        <w:t xml:space="preserve">%. </w:t>
      </w:r>
    </w:p>
    <w:p w14:paraId="699C5902" w14:textId="77777777" w:rsidR="00EB224E" w:rsidRPr="00A95EE2" w:rsidRDefault="00EB224E" w:rsidP="6A06770D">
      <w:pPr>
        <w:rPr>
          <w:rFonts w:eastAsia="Arial" w:cs="Arial"/>
        </w:rPr>
      </w:pPr>
    </w:p>
    <w:p w14:paraId="2E0F939E" w14:textId="77777777" w:rsidR="00EB224E" w:rsidRPr="00A95EE2" w:rsidRDefault="6A06770D" w:rsidP="6A06770D">
      <w:pPr>
        <w:rPr>
          <w:rFonts w:eastAsia="Arial" w:cs="Arial"/>
        </w:rPr>
      </w:pPr>
      <w:r w:rsidRPr="6A06770D">
        <w:rPr>
          <w:rFonts w:eastAsia="Arial" w:cs="Arial"/>
        </w:rPr>
        <w:t xml:space="preserve">Další informace o zahraničním obchodu se zbožím: </w:t>
      </w:r>
    </w:p>
    <w:p w14:paraId="269EF1D6" w14:textId="77777777" w:rsidR="00B632CC" w:rsidRDefault="003864DB" w:rsidP="6A06770D">
      <w:pPr>
        <w:spacing w:after="120"/>
        <w:rPr>
          <w:rStyle w:val="Hypertextovodkaz"/>
          <w:rFonts w:eastAsia="Arial" w:cs="Arial"/>
          <w:color w:val="auto"/>
          <w:u w:val="none"/>
        </w:rPr>
      </w:pPr>
      <w:hyperlink r:id="rId8">
        <w:r w:rsidR="6A06770D" w:rsidRPr="6A06770D">
          <w:rPr>
            <w:rStyle w:val="Hypertextovodkaz"/>
            <w:rFonts w:eastAsia="Arial" w:cs="Arial"/>
          </w:rPr>
          <w:t>https://www.czso.cz/csu/czso/zahranicni_obchod_se_zbozim_ekon</w:t>
        </w:r>
      </w:hyperlink>
      <w:r w:rsidR="6A06770D" w:rsidRPr="6A06770D">
        <w:rPr>
          <w:rStyle w:val="Hypertextovodkaz"/>
          <w:rFonts w:eastAsia="Arial" w:cs="Arial"/>
          <w:color w:val="auto"/>
          <w:u w:val="none"/>
        </w:rPr>
        <w:t>.</w:t>
      </w:r>
    </w:p>
    <w:p w14:paraId="1C377E86" w14:textId="77777777" w:rsidR="00EB224E" w:rsidRPr="00A95EE2" w:rsidRDefault="6A06770D" w:rsidP="6A06770D">
      <w:pPr>
        <w:pStyle w:val="Poznmky0"/>
        <w:rPr>
          <w:rFonts w:eastAsia="Arial" w:cs="Arial"/>
        </w:rPr>
      </w:pPr>
      <w:r w:rsidRPr="6A06770D">
        <w:rPr>
          <w:rFonts w:eastAsia="Arial" w:cs="Arial"/>
        </w:rPr>
        <w:t>Upozornění na změny:</w:t>
      </w:r>
    </w:p>
    <w:p w14:paraId="3471FEE8" w14:textId="77777777" w:rsidR="00177FB8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Český statistický úřad změnil od roku 2020 doposud používanou terminologii a způsob prezentování údajů. Pod pojmem zahraniční obchod České republiky jsou prezentovány údaje, které jsou založeny na změně vlastnictví mezi rezidenty a nerezidenty (dříve tzv. národní pojetí zahraničního obchodu). Přeshraniční pojetí zahraničního obchodu je prezentováno pod pojmem pohyb zboží přes hranice.</w:t>
      </w:r>
    </w:p>
    <w:p w14:paraId="7637BB35" w14:textId="0A59DCA3" w:rsidR="00EB224E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</w:rPr>
      </w:pPr>
      <w:r w:rsidRPr="6A06770D">
        <w:rPr>
          <w:rFonts w:eastAsia="Arial" w:cs="Arial"/>
          <w:i/>
          <w:iCs/>
        </w:rPr>
        <w:t>Bližší informace:</w:t>
      </w:r>
      <w:hyperlink r:id="rId9">
        <w:r w:rsidRPr="6A06770D">
          <w:rPr>
            <w:rStyle w:val="Hypertextovodkaz"/>
            <w:rFonts w:eastAsia="Arial" w:cs="Arial"/>
            <w:i/>
            <w:iCs/>
          </w:rPr>
          <w:t>https://www.czso.cz/csu/czso/zmeny-ve-statistice-zahranicniho-obchodu</w:t>
        </w:r>
      </w:hyperlink>
      <w:r w:rsidRPr="6A06770D">
        <w:rPr>
          <w:rFonts w:eastAsia="Arial" w:cs="Arial"/>
        </w:rPr>
        <w:t xml:space="preserve"> </w:t>
      </w:r>
    </w:p>
    <w:p w14:paraId="265AD7B0" w14:textId="6CBD3F31" w:rsidR="00EB224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lastRenderedPageBreak/>
        <w:t>Poznámky:</w:t>
      </w:r>
    </w:p>
    <w:p w14:paraId="332E3635" w14:textId="514B2026" w:rsidR="006B311E" w:rsidRPr="006B311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061147E5" w14:textId="36E1E951" w:rsid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 w:rsidRPr="6A06770D">
        <w:rPr>
          <w:rFonts w:eastAsia="Arial" w:cs="Arial"/>
          <w:i/>
          <w:iCs/>
        </w:rPr>
        <w:t>dovozní výkonnosti české ekonomiky, tedy i o obchodní bilanci zahraničního obchodu české ekonomiky. Sleduje skutečný obchod se zbožím realizovaný mezi českými a zahraničními subjekty, tj. změnu vlastnictví mezi rezidenty a nerezidenty.</w:t>
      </w:r>
    </w:p>
    <w:p w14:paraId="7130E2EC" w14:textId="77777777" w:rsidR="00B77796" w:rsidRP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3</w:t>
      </w:r>
      <w:r w:rsidRPr="6A06770D">
        <w:rPr>
          <w:rFonts w:eastAsia="Arial" w:cs="Arial"/>
          <w:b/>
          <w:bCs/>
          <w:i/>
          <w:iCs/>
          <w:vertAlign w:val="superscript"/>
        </w:rPr>
        <w:t xml:space="preserve">) </w:t>
      </w:r>
      <w:r w:rsidRPr="6A06770D">
        <w:rPr>
          <w:rFonts w:eastAsia="Arial" w:cs="Arial"/>
          <w:b/>
          <w:bCs/>
          <w:i/>
          <w:iCs/>
        </w:rPr>
        <w:t>EU27</w:t>
      </w:r>
      <w:r w:rsidRPr="6A06770D">
        <w:rPr>
          <w:rFonts w:eastAsia="Arial" w:cs="Arial"/>
          <w:i/>
          <w:iCs/>
        </w:rPr>
        <w:t xml:space="preserve"> - od 1. února 2020 není Spojené království členem Evropské unie.</w:t>
      </w:r>
    </w:p>
    <w:p w14:paraId="7B7E789C" w14:textId="77777777" w:rsidR="00EB224E" w:rsidRPr="00A95EE2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4247A88E" w14:textId="41099705" w:rsidR="00D13A2F" w:rsidRPr="007B2840" w:rsidRDefault="6A06770D" w:rsidP="6A06770D">
      <w:pPr>
        <w:spacing w:before="120"/>
        <w:ind w:left="3600" w:hanging="3600"/>
        <w:rPr>
          <w:rFonts w:eastAsia="Arial" w:cs="Arial"/>
          <w:b/>
          <w:bCs/>
          <w:i/>
          <w:iCs/>
          <w:sz w:val="18"/>
          <w:szCs w:val="18"/>
        </w:rPr>
      </w:pPr>
      <w:r w:rsidRPr="6A06770D">
        <w:rPr>
          <w:rFonts w:eastAsia="Arial" w:cs="Arial"/>
          <w:b/>
          <w:bCs/>
          <w:i/>
          <w:iCs/>
          <w:sz w:val="18"/>
          <w:szCs w:val="18"/>
        </w:rPr>
        <w:t xml:space="preserve">Údaje roku 2018 a 2019 jsou definitivní, údaje za jednotlivé měsíce roku 2020 jsou předběžné. </w:t>
      </w:r>
    </w:p>
    <w:p w14:paraId="1A88D3A8" w14:textId="1F5EC7DA" w:rsidR="00D13A2F" w:rsidRPr="00CF2F0A" w:rsidRDefault="6A06770D" w:rsidP="6A06770D">
      <w:pPr>
        <w:rPr>
          <w:rFonts w:eastAsia="Arial" w:cs="Arial"/>
          <w:i/>
          <w:iCs/>
          <w:color w:val="000000"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3736A167" w14:textId="77777777" w:rsidR="00EB224E" w:rsidRPr="00A95EE2" w:rsidRDefault="00EB224E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5DAC4FC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0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6A06770D" w:rsidP="6A06770D">
      <w:pPr>
        <w:spacing w:before="120"/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vedoucí oddělení obchodní bilance tel. 274 054 254, e-mail: </w:t>
      </w:r>
      <w:hyperlink r:id="rId11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66AB5771" w14:textId="7777777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56466B4F" w14:textId="77777777" w:rsidR="00EB224E" w:rsidRPr="00A95EE2" w:rsidRDefault="00EB224E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668F86B2" w14:textId="7CB8722F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datová sada:</w:t>
      </w:r>
      <w:r w:rsidR="00EB224E">
        <w:tab/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  <w:r w:rsidR="00EB224E">
        <w:tab/>
      </w:r>
    </w:p>
    <w:p w14:paraId="40AFE15F" w14:textId="12A4CAA0" w:rsidR="00EB224E" w:rsidRPr="00A95EE2" w:rsidRDefault="002C68C3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14:paraId="3665BED2" w14:textId="77777777" w:rsidR="00EB224E" w:rsidRPr="00A95EE2" w:rsidRDefault="00EB224E" w:rsidP="6A06770D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eastAsia="cs-CZ"/>
        </w:rPr>
      </w:pPr>
    </w:p>
    <w:p w14:paraId="785658CD" w14:textId="77777777" w:rsidR="00EB224E" w:rsidRPr="00A95EE2" w:rsidRDefault="00EB224E" w:rsidP="6A06770D">
      <w:pPr>
        <w:jc w:val="left"/>
        <w:rPr>
          <w:rFonts w:eastAsia="Arial" w:cs="Arial"/>
          <w:i/>
          <w:iCs/>
          <w:sz w:val="18"/>
          <w:szCs w:val="18"/>
        </w:rPr>
      </w:pPr>
    </w:p>
    <w:p w14:paraId="23999A80" w14:textId="478BD010" w:rsidR="00EB224E" w:rsidRPr="00A95EE2" w:rsidRDefault="6A06770D" w:rsidP="6A06770D">
      <w:pPr>
        <w:jc w:val="left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sz w:val="18"/>
          <w:szCs w:val="18"/>
        </w:rPr>
        <w:t>Termín</w:t>
      </w:r>
      <w:r w:rsidRPr="6A06770D">
        <w:rPr>
          <w:rFonts w:eastAsia="Arial" w:cs="Arial"/>
        </w:rPr>
        <w:t xml:space="preserve"> </w:t>
      </w:r>
      <w:r w:rsidRPr="6A06770D">
        <w:rPr>
          <w:rFonts w:eastAsia="Arial" w:cs="Arial"/>
          <w:i/>
          <w:iCs/>
          <w:sz w:val="18"/>
          <w:szCs w:val="18"/>
        </w:rPr>
        <w:t>zveřejnění další Rychlé informace: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6. 11. 2020</w:t>
      </w:r>
    </w:p>
    <w:p w14:paraId="56C8D4E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6A06770D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  <w:r w:rsidRPr="6A06770D">
        <w:rPr>
          <w:rFonts w:eastAsia="Arial" w:cs="Arial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6A06770D">
      <w:pPr>
        <w:rPr>
          <w:rFonts w:eastAsia="Arial" w:cs="Arial"/>
          <w:spacing w:val="-4"/>
        </w:rPr>
      </w:pPr>
      <w:r w:rsidRPr="6A06770D">
        <w:rPr>
          <w:rFonts w:eastAsia="Arial" w:cs="Arial"/>
          <w:spacing w:val="-4"/>
        </w:rPr>
        <w:t>Graf 1 - Bilance zahraničního obchodu se zbožím (celkem, se státy 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a</w:t>
      </w:r>
      <w:r w:rsidRPr="6A06770D">
        <w:rPr>
          <w:rFonts w:eastAsia="Arial" w:cs="Arial"/>
          <w:i/>
          <w:iCs/>
          <w:spacing w:val="-4"/>
        </w:rPr>
        <w:t> </w:t>
      </w:r>
      <w:r w:rsidRPr="6A06770D">
        <w:rPr>
          <w:rFonts w:eastAsia="Arial" w:cs="Arial"/>
          <w:spacing w:val="-4"/>
        </w:rPr>
        <w:t>se státy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mimo 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spacing w:val="-4"/>
        </w:rPr>
        <w:t>)</w:t>
      </w:r>
    </w:p>
    <w:sectPr w:rsidR="00EB224E" w:rsidRPr="000D692B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6446" w14:textId="77777777" w:rsidR="005938A9" w:rsidRDefault="005938A9" w:rsidP="00BA6370">
      <w:r>
        <w:separator/>
      </w:r>
    </w:p>
  </w:endnote>
  <w:endnote w:type="continuationSeparator" w:id="0">
    <w:p w14:paraId="702ABD14" w14:textId="77777777" w:rsidR="005938A9" w:rsidRDefault="005938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61C2BD2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864D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61C2BD2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864D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5E67C70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0342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BA31" w14:textId="77777777" w:rsidR="005938A9" w:rsidRDefault="005938A9" w:rsidP="00BA6370">
      <w:r>
        <w:separator/>
      </w:r>
    </w:p>
  </w:footnote>
  <w:footnote w:type="continuationSeparator" w:id="0">
    <w:p w14:paraId="741683CE" w14:textId="77777777" w:rsidR="005938A9" w:rsidRDefault="005938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C06841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0FC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249A"/>
    <w:multiLevelType w:val="multilevel"/>
    <w:tmpl w:val="DC92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2625"/>
    <w:rsid w:val="000249D1"/>
    <w:rsid w:val="00024DF5"/>
    <w:rsid w:val="000264FA"/>
    <w:rsid w:val="00030115"/>
    <w:rsid w:val="00043BF4"/>
    <w:rsid w:val="000707F9"/>
    <w:rsid w:val="000840D5"/>
    <w:rsid w:val="000843A5"/>
    <w:rsid w:val="000910DA"/>
    <w:rsid w:val="00096D6C"/>
    <w:rsid w:val="000B476D"/>
    <w:rsid w:val="000B628B"/>
    <w:rsid w:val="000B6F63"/>
    <w:rsid w:val="000C282D"/>
    <w:rsid w:val="000D093F"/>
    <w:rsid w:val="000E43CC"/>
    <w:rsid w:val="000F3DBA"/>
    <w:rsid w:val="000F4683"/>
    <w:rsid w:val="00106E7F"/>
    <w:rsid w:val="00121164"/>
    <w:rsid w:val="001404AB"/>
    <w:rsid w:val="00162F9B"/>
    <w:rsid w:val="00163801"/>
    <w:rsid w:val="0017231D"/>
    <w:rsid w:val="00177FB8"/>
    <w:rsid w:val="001810DC"/>
    <w:rsid w:val="00185322"/>
    <w:rsid w:val="00191551"/>
    <w:rsid w:val="001A7B87"/>
    <w:rsid w:val="001B607F"/>
    <w:rsid w:val="001C3858"/>
    <w:rsid w:val="001C5CAE"/>
    <w:rsid w:val="001D369A"/>
    <w:rsid w:val="001E0A48"/>
    <w:rsid w:val="001F08B3"/>
    <w:rsid w:val="001F2CC9"/>
    <w:rsid w:val="001F2FE0"/>
    <w:rsid w:val="00200854"/>
    <w:rsid w:val="00204A67"/>
    <w:rsid w:val="002070FB"/>
    <w:rsid w:val="00213729"/>
    <w:rsid w:val="00220B4A"/>
    <w:rsid w:val="002406FA"/>
    <w:rsid w:val="002474A0"/>
    <w:rsid w:val="0025115A"/>
    <w:rsid w:val="0026107B"/>
    <w:rsid w:val="00281E81"/>
    <w:rsid w:val="002824BA"/>
    <w:rsid w:val="002A1E7A"/>
    <w:rsid w:val="002A67A1"/>
    <w:rsid w:val="002B2E47"/>
    <w:rsid w:val="002B48F7"/>
    <w:rsid w:val="002B6C5E"/>
    <w:rsid w:val="002C68C3"/>
    <w:rsid w:val="002C7544"/>
    <w:rsid w:val="002D69A8"/>
    <w:rsid w:val="002E341B"/>
    <w:rsid w:val="002F6BC8"/>
    <w:rsid w:val="00307CD2"/>
    <w:rsid w:val="003301A3"/>
    <w:rsid w:val="003404D8"/>
    <w:rsid w:val="00355D61"/>
    <w:rsid w:val="0036777B"/>
    <w:rsid w:val="0037687C"/>
    <w:rsid w:val="0038006F"/>
    <w:rsid w:val="0038282A"/>
    <w:rsid w:val="003864DB"/>
    <w:rsid w:val="00390563"/>
    <w:rsid w:val="00397580"/>
    <w:rsid w:val="003976C4"/>
    <w:rsid w:val="003A1E1B"/>
    <w:rsid w:val="003A45C8"/>
    <w:rsid w:val="003C2DCF"/>
    <w:rsid w:val="003C7FE7"/>
    <w:rsid w:val="003D0499"/>
    <w:rsid w:val="003D3576"/>
    <w:rsid w:val="003F526A"/>
    <w:rsid w:val="00405244"/>
    <w:rsid w:val="004154C7"/>
    <w:rsid w:val="0043562F"/>
    <w:rsid w:val="00437FC3"/>
    <w:rsid w:val="00440B5A"/>
    <w:rsid w:val="00441919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1E7B"/>
    <w:rsid w:val="004920AD"/>
    <w:rsid w:val="0049329B"/>
    <w:rsid w:val="004D05B3"/>
    <w:rsid w:val="004D26D9"/>
    <w:rsid w:val="004D791A"/>
    <w:rsid w:val="004E0266"/>
    <w:rsid w:val="004E479E"/>
    <w:rsid w:val="004F686C"/>
    <w:rsid w:val="004F78E6"/>
    <w:rsid w:val="00500D4B"/>
    <w:rsid w:val="0050420E"/>
    <w:rsid w:val="00512D99"/>
    <w:rsid w:val="00514B40"/>
    <w:rsid w:val="005256F1"/>
    <w:rsid w:val="00531DBB"/>
    <w:rsid w:val="0055458B"/>
    <w:rsid w:val="00554A02"/>
    <w:rsid w:val="00556A9D"/>
    <w:rsid w:val="00565401"/>
    <w:rsid w:val="00573994"/>
    <w:rsid w:val="00580D67"/>
    <w:rsid w:val="00580F37"/>
    <w:rsid w:val="0059320C"/>
    <w:rsid w:val="005938A9"/>
    <w:rsid w:val="005A485B"/>
    <w:rsid w:val="005A6DFF"/>
    <w:rsid w:val="005B193E"/>
    <w:rsid w:val="005B5C40"/>
    <w:rsid w:val="005B6F12"/>
    <w:rsid w:val="005C61E2"/>
    <w:rsid w:val="005D398E"/>
    <w:rsid w:val="005F39CB"/>
    <w:rsid w:val="005F79FB"/>
    <w:rsid w:val="00604406"/>
    <w:rsid w:val="00605F4A"/>
    <w:rsid w:val="006067E9"/>
    <w:rsid w:val="00607822"/>
    <w:rsid w:val="006103AA"/>
    <w:rsid w:val="00613BBF"/>
    <w:rsid w:val="00617C65"/>
    <w:rsid w:val="00622B80"/>
    <w:rsid w:val="00623D1F"/>
    <w:rsid w:val="0064139A"/>
    <w:rsid w:val="00647DC7"/>
    <w:rsid w:val="00660ECE"/>
    <w:rsid w:val="00680856"/>
    <w:rsid w:val="00687F72"/>
    <w:rsid w:val="0069137C"/>
    <w:rsid w:val="006931CF"/>
    <w:rsid w:val="006B1185"/>
    <w:rsid w:val="006B311E"/>
    <w:rsid w:val="006C39C9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20F29"/>
    <w:rsid w:val="0073499C"/>
    <w:rsid w:val="0074649A"/>
    <w:rsid w:val="00754C20"/>
    <w:rsid w:val="00760E7A"/>
    <w:rsid w:val="00761986"/>
    <w:rsid w:val="00762BD5"/>
    <w:rsid w:val="0077342D"/>
    <w:rsid w:val="00785E95"/>
    <w:rsid w:val="00786ADB"/>
    <w:rsid w:val="0078722A"/>
    <w:rsid w:val="007A2048"/>
    <w:rsid w:val="007A57F2"/>
    <w:rsid w:val="007A72FF"/>
    <w:rsid w:val="007A7DBB"/>
    <w:rsid w:val="007B1333"/>
    <w:rsid w:val="007B1F24"/>
    <w:rsid w:val="007B21CB"/>
    <w:rsid w:val="007B348F"/>
    <w:rsid w:val="007C49B4"/>
    <w:rsid w:val="007C4DA4"/>
    <w:rsid w:val="007C6F4F"/>
    <w:rsid w:val="007C7900"/>
    <w:rsid w:val="007F4AEB"/>
    <w:rsid w:val="007F4DF4"/>
    <w:rsid w:val="007F75B2"/>
    <w:rsid w:val="00803993"/>
    <w:rsid w:val="008043C4"/>
    <w:rsid w:val="00815533"/>
    <w:rsid w:val="00821E9F"/>
    <w:rsid w:val="00827A0C"/>
    <w:rsid w:val="00831B1B"/>
    <w:rsid w:val="00855FB3"/>
    <w:rsid w:val="00857439"/>
    <w:rsid w:val="00861D0E"/>
    <w:rsid w:val="00862D78"/>
    <w:rsid w:val="0086381E"/>
    <w:rsid w:val="008662BB"/>
    <w:rsid w:val="00867569"/>
    <w:rsid w:val="0088123D"/>
    <w:rsid w:val="00883940"/>
    <w:rsid w:val="00891CFD"/>
    <w:rsid w:val="008941DC"/>
    <w:rsid w:val="008A750A"/>
    <w:rsid w:val="008B2358"/>
    <w:rsid w:val="008B2B0F"/>
    <w:rsid w:val="008B3970"/>
    <w:rsid w:val="008B403B"/>
    <w:rsid w:val="008C384C"/>
    <w:rsid w:val="008C4FCC"/>
    <w:rsid w:val="008D0F11"/>
    <w:rsid w:val="008D232D"/>
    <w:rsid w:val="008D3930"/>
    <w:rsid w:val="008D7DC6"/>
    <w:rsid w:val="008E5DB4"/>
    <w:rsid w:val="008E7497"/>
    <w:rsid w:val="008F02F5"/>
    <w:rsid w:val="008F63AC"/>
    <w:rsid w:val="008F73B4"/>
    <w:rsid w:val="00910DAA"/>
    <w:rsid w:val="00911538"/>
    <w:rsid w:val="009214D2"/>
    <w:rsid w:val="00922B0A"/>
    <w:rsid w:val="009261E1"/>
    <w:rsid w:val="00936EC6"/>
    <w:rsid w:val="00950C90"/>
    <w:rsid w:val="009569AF"/>
    <w:rsid w:val="00957FD8"/>
    <w:rsid w:val="00962909"/>
    <w:rsid w:val="0096309C"/>
    <w:rsid w:val="0097293F"/>
    <w:rsid w:val="00980C38"/>
    <w:rsid w:val="00981EA4"/>
    <w:rsid w:val="00986DD7"/>
    <w:rsid w:val="009900DE"/>
    <w:rsid w:val="00995031"/>
    <w:rsid w:val="009A1175"/>
    <w:rsid w:val="009A66C8"/>
    <w:rsid w:val="009B198A"/>
    <w:rsid w:val="009B55B1"/>
    <w:rsid w:val="009C0EC4"/>
    <w:rsid w:val="009C5272"/>
    <w:rsid w:val="009D51B1"/>
    <w:rsid w:val="009E2FD1"/>
    <w:rsid w:val="00A041AF"/>
    <w:rsid w:val="00A0762A"/>
    <w:rsid w:val="00A10A3A"/>
    <w:rsid w:val="00A11CBE"/>
    <w:rsid w:val="00A21FDC"/>
    <w:rsid w:val="00A27526"/>
    <w:rsid w:val="00A33FEF"/>
    <w:rsid w:val="00A34627"/>
    <w:rsid w:val="00A4343D"/>
    <w:rsid w:val="00A442EA"/>
    <w:rsid w:val="00A47E5F"/>
    <w:rsid w:val="00A5026C"/>
    <w:rsid w:val="00A502F1"/>
    <w:rsid w:val="00A60E43"/>
    <w:rsid w:val="00A612BD"/>
    <w:rsid w:val="00A615EA"/>
    <w:rsid w:val="00A70A83"/>
    <w:rsid w:val="00A71EEC"/>
    <w:rsid w:val="00A736A8"/>
    <w:rsid w:val="00A81EB3"/>
    <w:rsid w:val="00A84B2E"/>
    <w:rsid w:val="00AA3D50"/>
    <w:rsid w:val="00AA62D8"/>
    <w:rsid w:val="00AB014E"/>
    <w:rsid w:val="00AB3410"/>
    <w:rsid w:val="00AD5A29"/>
    <w:rsid w:val="00AF321E"/>
    <w:rsid w:val="00AF761F"/>
    <w:rsid w:val="00B00C1D"/>
    <w:rsid w:val="00B0789B"/>
    <w:rsid w:val="00B27BB3"/>
    <w:rsid w:val="00B32082"/>
    <w:rsid w:val="00B41B07"/>
    <w:rsid w:val="00B47138"/>
    <w:rsid w:val="00B4775B"/>
    <w:rsid w:val="00B55375"/>
    <w:rsid w:val="00B55786"/>
    <w:rsid w:val="00B618F4"/>
    <w:rsid w:val="00B632CC"/>
    <w:rsid w:val="00B65598"/>
    <w:rsid w:val="00B77796"/>
    <w:rsid w:val="00B832D3"/>
    <w:rsid w:val="00B92C57"/>
    <w:rsid w:val="00BA12F1"/>
    <w:rsid w:val="00BA439F"/>
    <w:rsid w:val="00BA6370"/>
    <w:rsid w:val="00BC5036"/>
    <w:rsid w:val="00BE4485"/>
    <w:rsid w:val="00BF3A9E"/>
    <w:rsid w:val="00C211FE"/>
    <w:rsid w:val="00C22558"/>
    <w:rsid w:val="00C269D4"/>
    <w:rsid w:val="00C37ADB"/>
    <w:rsid w:val="00C4160D"/>
    <w:rsid w:val="00C41A2A"/>
    <w:rsid w:val="00C45C60"/>
    <w:rsid w:val="00C517F9"/>
    <w:rsid w:val="00C62318"/>
    <w:rsid w:val="00C66913"/>
    <w:rsid w:val="00C73945"/>
    <w:rsid w:val="00C80DD9"/>
    <w:rsid w:val="00C8406E"/>
    <w:rsid w:val="00C85A6C"/>
    <w:rsid w:val="00C91F0D"/>
    <w:rsid w:val="00CB2709"/>
    <w:rsid w:val="00CB3465"/>
    <w:rsid w:val="00CB6F89"/>
    <w:rsid w:val="00CC0AE9"/>
    <w:rsid w:val="00CC3C26"/>
    <w:rsid w:val="00CE0F6C"/>
    <w:rsid w:val="00CE228C"/>
    <w:rsid w:val="00CE71D9"/>
    <w:rsid w:val="00CF1A9B"/>
    <w:rsid w:val="00CF2F0A"/>
    <w:rsid w:val="00CF545B"/>
    <w:rsid w:val="00CF699B"/>
    <w:rsid w:val="00D00060"/>
    <w:rsid w:val="00D1168F"/>
    <w:rsid w:val="00D13A2F"/>
    <w:rsid w:val="00D15584"/>
    <w:rsid w:val="00D209A7"/>
    <w:rsid w:val="00D27D69"/>
    <w:rsid w:val="00D33105"/>
    <w:rsid w:val="00D33658"/>
    <w:rsid w:val="00D448C2"/>
    <w:rsid w:val="00D46077"/>
    <w:rsid w:val="00D51F47"/>
    <w:rsid w:val="00D6554B"/>
    <w:rsid w:val="00D666C3"/>
    <w:rsid w:val="00D80134"/>
    <w:rsid w:val="00D9189F"/>
    <w:rsid w:val="00D92993"/>
    <w:rsid w:val="00D967F4"/>
    <w:rsid w:val="00DA0669"/>
    <w:rsid w:val="00DA771D"/>
    <w:rsid w:val="00DA7A50"/>
    <w:rsid w:val="00DB25D2"/>
    <w:rsid w:val="00DB6B35"/>
    <w:rsid w:val="00DB6FCB"/>
    <w:rsid w:val="00DD699A"/>
    <w:rsid w:val="00DE76BC"/>
    <w:rsid w:val="00DF1CA9"/>
    <w:rsid w:val="00DF47FE"/>
    <w:rsid w:val="00E0156A"/>
    <w:rsid w:val="00E03691"/>
    <w:rsid w:val="00E12853"/>
    <w:rsid w:val="00E21A97"/>
    <w:rsid w:val="00E22376"/>
    <w:rsid w:val="00E223F5"/>
    <w:rsid w:val="00E26704"/>
    <w:rsid w:val="00E31980"/>
    <w:rsid w:val="00E373C2"/>
    <w:rsid w:val="00E43173"/>
    <w:rsid w:val="00E519D0"/>
    <w:rsid w:val="00E53887"/>
    <w:rsid w:val="00E551F5"/>
    <w:rsid w:val="00E60057"/>
    <w:rsid w:val="00E62098"/>
    <w:rsid w:val="00E6423C"/>
    <w:rsid w:val="00E75BD0"/>
    <w:rsid w:val="00E80AE8"/>
    <w:rsid w:val="00E817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120C5"/>
    <w:rsid w:val="00F342AB"/>
    <w:rsid w:val="00F4054F"/>
    <w:rsid w:val="00F46288"/>
    <w:rsid w:val="00F67429"/>
    <w:rsid w:val="00F75F2A"/>
    <w:rsid w:val="00F76284"/>
    <w:rsid w:val="00F8603B"/>
    <w:rsid w:val="00F918FC"/>
    <w:rsid w:val="00F957D4"/>
    <w:rsid w:val="00FA3669"/>
    <w:rsid w:val="00FB36CD"/>
    <w:rsid w:val="00FB3888"/>
    <w:rsid w:val="00FB687C"/>
    <w:rsid w:val="00FB7B26"/>
    <w:rsid w:val="00FC6A31"/>
    <w:rsid w:val="00FE007B"/>
    <w:rsid w:val="00FE0528"/>
    <w:rsid w:val="00FE6C9C"/>
    <w:rsid w:val="00FF3E24"/>
    <w:rsid w:val="00FF7155"/>
    <w:rsid w:val="00FF7837"/>
    <w:rsid w:val="00FF79E3"/>
    <w:rsid w:val="02C37057"/>
    <w:rsid w:val="606B706B"/>
    <w:rsid w:val="6A0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  <w:style w:type="character" w:customStyle="1" w:styleId="groupwisereplyheader1">
    <w:name w:val="groupwisereplyheader1"/>
    <w:basedOn w:val="Standardnpsmoodstavce"/>
    <w:rsid w:val="003A1E1B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5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9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2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379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41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75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1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02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ahranicni_obchod_se_zbozim_ek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vzonu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konvick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use.kaven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meny-ve-statistice-zahranicniho-obcho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2DE1-E42B-4F44-906E-01D4C870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Stanislav Konvička</cp:lastModifiedBy>
  <cp:revision>2</cp:revision>
  <cp:lastPrinted>2020-09-02T06:45:00Z</cp:lastPrinted>
  <dcterms:created xsi:type="dcterms:W3CDTF">2020-10-06T09:48:00Z</dcterms:created>
  <dcterms:modified xsi:type="dcterms:W3CDTF">2020-10-06T09:48:00Z</dcterms:modified>
</cp:coreProperties>
</file>