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51ED" w14:textId="77777777" w:rsidR="00585D47" w:rsidRDefault="00585D47" w:rsidP="00585D47">
      <w:pPr>
        <w:pStyle w:val="Datum"/>
      </w:pPr>
      <w:r>
        <w:t xml:space="preserve">2. </w:t>
      </w:r>
      <w:r w:rsidR="00087807">
        <w:t>7</w:t>
      </w:r>
      <w:r>
        <w:t>. 2024</w:t>
      </w:r>
    </w:p>
    <w:p w14:paraId="3E0EBCDA" w14:textId="0237B680" w:rsidR="00585D47" w:rsidRDefault="00585D47" w:rsidP="00585D47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Hospodaření vládních institucí zůstalo v deficitu</w:t>
      </w:r>
    </w:p>
    <w:p w14:paraId="566FC32C" w14:textId="77777777" w:rsidR="00585D47" w:rsidRDefault="00585D47" w:rsidP="00585D47">
      <w:pPr>
        <w:pStyle w:val="Podtitulek"/>
      </w:pPr>
      <w:r>
        <w:t xml:space="preserve">Deficit a dluh vládních institucí – </w:t>
      </w:r>
      <w:r w:rsidR="002E35F8">
        <w:t>1</w:t>
      </w:r>
      <w:r>
        <w:t>. čtvrtletí 202</w:t>
      </w:r>
      <w:r w:rsidR="002E35F8">
        <w:t>4</w:t>
      </w:r>
    </w:p>
    <w:p w14:paraId="189F4FDF" w14:textId="0B8AF136" w:rsidR="00585D47" w:rsidRDefault="00585D47" w:rsidP="00585D47">
      <w:pPr>
        <w:rPr>
          <w:b/>
        </w:rPr>
      </w:pPr>
      <w:r w:rsidRPr="002A63D2">
        <w:rPr>
          <w:b/>
        </w:rPr>
        <w:t>Saldo hospodaření sekto</w:t>
      </w:r>
      <w:r>
        <w:rPr>
          <w:b/>
        </w:rPr>
        <w:t>ru vládních institucí skončilo v </w:t>
      </w:r>
      <w:r w:rsidR="002E35F8">
        <w:rPr>
          <w:b/>
        </w:rPr>
        <w:t>prvním</w:t>
      </w:r>
      <w:r>
        <w:rPr>
          <w:b/>
        </w:rPr>
        <w:t xml:space="preserve"> čtvrtletí roku 202</w:t>
      </w:r>
      <w:r w:rsidR="002E35F8">
        <w:rPr>
          <w:b/>
        </w:rPr>
        <w:t>4</w:t>
      </w:r>
      <w:r w:rsidRPr="002A63D2">
        <w:rPr>
          <w:b/>
        </w:rPr>
        <w:t xml:space="preserve"> </w:t>
      </w:r>
      <w:r>
        <w:rPr>
          <w:b/>
        </w:rPr>
        <w:t xml:space="preserve">v deficitu odpovídajícímu úrovni </w:t>
      </w:r>
      <w:r w:rsidR="003209B6">
        <w:rPr>
          <w:b/>
        </w:rPr>
        <w:t>3,</w:t>
      </w:r>
      <w:r w:rsidR="003433B9">
        <w:rPr>
          <w:b/>
        </w:rPr>
        <w:t>2</w:t>
      </w:r>
      <w:r>
        <w:rPr>
          <w:b/>
        </w:rPr>
        <w:t xml:space="preserve"> % HDP. </w:t>
      </w:r>
      <w:r w:rsidRPr="00811BF3">
        <w:rPr>
          <w:b/>
        </w:rPr>
        <w:t xml:space="preserve">Míra zadlužení sektoru vládních institucí </w:t>
      </w:r>
      <w:r w:rsidR="00C10F11">
        <w:rPr>
          <w:b/>
        </w:rPr>
        <w:t>dosáhla</w:t>
      </w:r>
      <w:r w:rsidRPr="007F4CBE">
        <w:rPr>
          <w:b/>
        </w:rPr>
        <w:t xml:space="preserve"> 4</w:t>
      </w:r>
      <w:r w:rsidR="004C6932">
        <w:rPr>
          <w:b/>
        </w:rPr>
        <w:t>3</w:t>
      </w:r>
      <w:r w:rsidRPr="007F4CBE">
        <w:rPr>
          <w:b/>
        </w:rPr>
        <w:t>,</w:t>
      </w:r>
      <w:r w:rsidR="004C6932">
        <w:rPr>
          <w:b/>
        </w:rPr>
        <w:t>4</w:t>
      </w:r>
      <w:r w:rsidRPr="007F4CBE">
        <w:rPr>
          <w:b/>
        </w:rPr>
        <w:t xml:space="preserve"> % HDP</w:t>
      </w:r>
      <w:r w:rsidRPr="00F100EB">
        <w:rPr>
          <w:b/>
        </w:rPr>
        <w:t>.</w:t>
      </w:r>
    </w:p>
    <w:p w14:paraId="32C7CC2B" w14:textId="77777777" w:rsidR="00585D47" w:rsidRDefault="00585D47" w:rsidP="00585D47"/>
    <w:p w14:paraId="35F06344" w14:textId="568096E6" w:rsidR="00585D47" w:rsidRDefault="00585D47" w:rsidP="00585D47">
      <w:r>
        <w:t xml:space="preserve">Schodek hospodaření vládních institucí v </w:t>
      </w:r>
      <w:r w:rsidR="002E35F8">
        <w:t>1</w:t>
      </w:r>
      <w:r>
        <w:t>. čtvrtletí roku 202</w:t>
      </w:r>
      <w:r w:rsidR="00AE05EA">
        <w:t>4</w:t>
      </w:r>
      <w:r>
        <w:t xml:space="preserve"> dosáhl </w:t>
      </w:r>
      <w:r w:rsidR="00AE05EA">
        <w:t>5</w:t>
      </w:r>
      <w:r w:rsidR="003433B9">
        <w:t>9</w:t>
      </w:r>
      <w:r w:rsidR="003209B6">
        <w:t>,4</w:t>
      </w:r>
      <w:r>
        <w:t xml:space="preserve"> mld. Kč, což v meziročním srovnání znamená </w:t>
      </w:r>
      <w:r w:rsidR="00AE05EA">
        <w:t>zlepšen</w:t>
      </w:r>
      <w:r>
        <w:t xml:space="preserve">í o </w:t>
      </w:r>
      <w:r w:rsidR="003433B9">
        <w:t>49,2</w:t>
      </w:r>
      <w:r>
        <w:t xml:space="preserve"> mld. Kč. Ústřední vládní instituce hospodařily se schodkem </w:t>
      </w:r>
      <w:r w:rsidR="003433B9">
        <w:t>90,3</w:t>
      </w:r>
      <w:r>
        <w:t xml:space="preserve"> mld. Kč, který se meziročně </w:t>
      </w:r>
      <w:r w:rsidR="00AE05EA">
        <w:t>sníž</w:t>
      </w:r>
      <w:r>
        <w:t>il o </w:t>
      </w:r>
      <w:r w:rsidR="003433B9">
        <w:t>49,3</w:t>
      </w:r>
      <w:r>
        <w:t xml:space="preserve"> mld. Kč. </w:t>
      </w:r>
      <w:r w:rsidR="003D07D5">
        <w:t>H</w:t>
      </w:r>
      <w:r>
        <w:t>ospodaření místních vládních institucí</w:t>
      </w:r>
      <w:r w:rsidR="003D07D5">
        <w:t xml:space="preserve"> skončilo v přebytku ve výši </w:t>
      </w:r>
      <w:r w:rsidR="003433B9">
        <w:t>34,4</w:t>
      </w:r>
      <w:r>
        <w:t xml:space="preserve"> mld. Kč</w:t>
      </w:r>
      <w:r w:rsidR="003D07D5">
        <w:t>, což</w:t>
      </w:r>
      <w:r w:rsidR="006C58FE">
        <w:t xml:space="preserve"> v</w:t>
      </w:r>
      <w:r>
        <w:t xml:space="preserve"> meziročním srovnání </w:t>
      </w:r>
      <w:r w:rsidR="003D07D5">
        <w:t xml:space="preserve">znamená zvýšení o </w:t>
      </w:r>
      <w:r w:rsidR="003433B9">
        <w:t>4,1</w:t>
      </w:r>
      <w:r w:rsidR="003D07D5">
        <w:t xml:space="preserve"> mld. Kč</w:t>
      </w:r>
      <w:r>
        <w:t xml:space="preserve">. Hospodaření fondů sociálního zabezpečení (zdravotních pojišťoven) skončilo v deficitu </w:t>
      </w:r>
      <w:r w:rsidR="003D07D5">
        <w:t>3,5</w:t>
      </w:r>
      <w:r>
        <w:t xml:space="preserve"> mld. Kč. </w:t>
      </w:r>
    </w:p>
    <w:p w14:paraId="621CF2C8" w14:textId="77777777" w:rsidR="00585D47" w:rsidRDefault="00585D47" w:rsidP="00585D47"/>
    <w:p w14:paraId="0B9ABCA6" w14:textId="48A4D3D3" w:rsidR="00585D47" w:rsidRDefault="00585D47" w:rsidP="00585D47">
      <w:r w:rsidRPr="00E42E85">
        <w:rPr>
          <w:i/>
        </w:rPr>
        <w:t>„</w:t>
      </w:r>
      <w:r w:rsidR="008B410F">
        <w:rPr>
          <w:i/>
        </w:rPr>
        <w:t>V prvním čtvrtletí roku 2024 vládní instituce hospodařily se schodkem ve výši 59,4 mld. Kč</w:t>
      </w:r>
      <w:r w:rsidR="00C10F11">
        <w:rPr>
          <w:i/>
        </w:rPr>
        <w:t>, což v relativním vyjádření představovalo 3,2 % HDP.</w:t>
      </w:r>
      <w:r w:rsidR="008B410F">
        <w:rPr>
          <w:i/>
        </w:rPr>
        <w:t xml:space="preserve"> </w:t>
      </w:r>
      <w:r w:rsidRPr="00E42E85">
        <w:rPr>
          <w:i/>
        </w:rPr>
        <w:t>Míra zadlužení sektoru vládních institucí dosáhla 4</w:t>
      </w:r>
      <w:r w:rsidR="008B410F">
        <w:rPr>
          <w:i/>
        </w:rPr>
        <w:t>3</w:t>
      </w:r>
      <w:r w:rsidRPr="00E42E85">
        <w:rPr>
          <w:i/>
        </w:rPr>
        <w:t>,</w:t>
      </w:r>
      <w:r w:rsidR="008B410F">
        <w:rPr>
          <w:i/>
        </w:rPr>
        <w:t xml:space="preserve">4 </w:t>
      </w:r>
      <w:r w:rsidRPr="00E42E85">
        <w:rPr>
          <w:i/>
        </w:rPr>
        <w:t>% HDP</w:t>
      </w:r>
      <w:r w:rsidR="00655289">
        <w:rPr>
          <w:i/>
        </w:rPr>
        <w:t>,</w:t>
      </w:r>
      <w:r w:rsidRPr="006A7583">
        <w:rPr>
          <w:i/>
        </w:rPr>
        <w:t>“</w:t>
      </w:r>
      <w:r>
        <w:t xml:space="preserve"> uvedl </w:t>
      </w:r>
      <w:r w:rsidR="00117D23">
        <w:t>Petr Musil, ředitel</w:t>
      </w:r>
      <w:r w:rsidRPr="00AC528C">
        <w:t xml:space="preserve"> </w:t>
      </w:r>
      <w:r w:rsidR="00117D23">
        <w:t>sekce makroekonomických statistik</w:t>
      </w:r>
      <w:r w:rsidRPr="00AC528C">
        <w:t xml:space="preserve"> ČSÚ</w:t>
      </w:r>
      <w:r>
        <w:t>.</w:t>
      </w:r>
    </w:p>
    <w:p w14:paraId="4A43E58D" w14:textId="77777777" w:rsidR="00585D47" w:rsidRDefault="00585D47" w:rsidP="00585D47"/>
    <w:p w14:paraId="29CA235F" w14:textId="77777777" w:rsidR="00585D47" w:rsidRPr="0037782A" w:rsidRDefault="00585D47" w:rsidP="00585D47">
      <w:pPr>
        <w:pStyle w:val="TabulkaGraf"/>
      </w:pPr>
      <w:r w:rsidRPr="0037782A">
        <w:t>Saldo hospodaření sektoru vládních insti</w:t>
      </w:r>
      <w:bookmarkStart w:id="0" w:name="_GoBack"/>
      <w:bookmarkEnd w:id="0"/>
      <w:r w:rsidRPr="0037782A">
        <w:t xml:space="preserve">tucí, </w:t>
      </w:r>
      <w:r w:rsidR="002E35F8">
        <w:t>1</w:t>
      </w:r>
      <w:r w:rsidRPr="0037782A">
        <w:t>. čtvrtletí 20</w:t>
      </w:r>
      <w:r>
        <w:t>2</w:t>
      </w:r>
      <w:r w:rsidR="002E35F8">
        <w:t>2</w:t>
      </w:r>
      <w:r w:rsidRPr="0037782A">
        <w:t xml:space="preserve"> – </w:t>
      </w:r>
      <w:r w:rsidR="002E35F8">
        <w:t>1</w:t>
      </w:r>
      <w:r w:rsidRPr="0037782A">
        <w:t>. čtvrtletí 20</w:t>
      </w:r>
      <w:r>
        <w:t>2</w:t>
      </w:r>
      <w:r w:rsidR="002E35F8">
        <w:t>4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D07D5" w:rsidRPr="0037782A" w14:paraId="56F19FDD" w14:textId="77777777" w:rsidTr="00770676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C27C" w14:textId="77777777" w:rsidR="003D07D5" w:rsidRPr="0037782A" w:rsidRDefault="003D07D5" w:rsidP="003D07D5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FA1F" w14:textId="77777777" w:rsidR="003D07D5" w:rsidRDefault="003D07D5" w:rsidP="003D07D5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4065" w14:textId="77777777" w:rsidR="003D07D5" w:rsidRDefault="003D07D5" w:rsidP="003D0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20F6" w14:textId="77777777" w:rsidR="003D07D5" w:rsidRDefault="003D07D5" w:rsidP="003D0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2EAC" w14:textId="77777777" w:rsidR="003D07D5" w:rsidRDefault="003D07D5" w:rsidP="003D0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2022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743E4" w14:textId="77777777" w:rsidR="003D07D5" w:rsidRDefault="003D07D5" w:rsidP="003D0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5FA3" w14:textId="77777777" w:rsidR="003D07D5" w:rsidRDefault="003D07D5" w:rsidP="003D0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D9F1" w14:textId="77777777" w:rsidR="003D07D5" w:rsidRDefault="003D07D5" w:rsidP="003D0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B157" w14:textId="77777777" w:rsidR="003D07D5" w:rsidRDefault="003D07D5" w:rsidP="003D0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2023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38B0" w14:textId="77777777" w:rsidR="003D07D5" w:rsidRDefault="003D07D5" w:rsidP="003D07D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2024</w:t>
            </w:r>
            <w:proofErr w:type="gramEnd"/>
          </w:p>
        </w:tc>
      </w:tr>
      <w:tr w:rsidR="003209B6" w:rsidRPr="0037782A" w14:paraId="4EFB7792" w14:textId="77777777" w:rsidTr="00770676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EB8A8" w14:textId="77777777" w:rsidR="003209B6" w:rsidRPr="0037782A" w:rsidRDefault="003209B6" w:rsidP="003209B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B091" w14:textId="77777777" w:rsidR="003209B6" w:rsidRDefault="003209B6" w:rsidP="003209B6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-63,6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729C" w14:textId="77777777" w:rsidR="003209B6" w:rsidRDefault="003209B6" w:rsidP="003209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8C88" w14:textId="77777777" w:rsidR="003209B6" w:rsidRDefault="003209B6" w:rsidP="003209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-55,6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30A6" w14:textId="77777777" w:rsidR="003209B6" w:rsidRDefault="003209B6" w:rsidP="003209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11DE" w14:textId="77777777" w:rsidR="003209B6" w:rsidRDefault="003209B6" w:rsidP="003209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4903" w14:textId="77777777" w:rsidR="003209B6" w:rsidRDefault="003209B6" w:rsidP="003209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F059" w14:textId="77777777" w:rsidR="003209B6" w:rsidRDefault="003209B6" w:rsidP="003209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-41,9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74A0" w14:textId="77777777" w:rsidR="003209B6" w:rsidRDefault="003209B6" w:rsidP="003209B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-107,6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0659" w14:textId="77777777" w:rsidR="003209B6" w:rsidRDefault="003209B6" w:rsidP="003433B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3433B9">
              <w:rPr>
                <w:rFonts w:cs="Arial"/>
                <w:sz w:val="18"/>
                <w:szCs w:val="18"/>
              </w:rPr>
              <w:t>59</w:t>
            </w:r>
            <w:r>
              <w:rPr>
                <w:rFonts w:cs="Arial"/>
                <w:sz w:val="18"/>
                <w:szCs w:val="18"/>
              </w:rPr>
              <w:t>,4</w:t>
            </w:r>
          </w:p>
        </w:tc>
      </w:tr>
      <w:tr w:rsidR="003209B6" w:rsidRPr="0037782A" w14:paraId="26501447" w14:textId="77777777" w:rsidTr="00770676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03F8" w14:textId="77777777" w:rsidR="003209B6" w:rsidRPr="0037782A" w:rsidRDefault="003209B6" w:rsidP="003209B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F21A" w14:textId="77777777" w:rsidR="003209B6" w:rsidRDefault="003209B6" w:rsidP="003209B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7AFB" w14:textId="77777777" w:rsidR="003209B6" w:rsidRDefault="003209B6" w:rsidP="003209B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5B71E" w14:textId="77777777" w:rsidR="003209B6" w:rsidRDefault="003209B6" w:rsidP="003209B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BBC3" w14:textId="77777777" w:rsidR="003209B6" w:rsidRDefault="003209B6" w:rsidP="003209B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F4B8" w14:textId="77777777" w:rsidR="003209B6" w:rsidRDefault="003209B6" w:rsidP="003209B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F841" w14:textId="77777777" w:rsidR="003209B6" w:rsidRDefault="003209B6" w:rsidP="003209B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C569" w14:textId="77777777" w:rsidR="003209B6" w:rsidRDefault="003209B6" w:rsidP="003209B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300EC" w14:textId="77777777" w:rsidR="003209B6" w:rsidRDefault="003209B6" w:rsidP="003209B6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-5,4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24EA" w14:textId="77777777" w:rsidR="003209B6" w:rsidRDefault="003209B6" w:rsidP="003433B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</w:t>
            </w:r>
            <w:r w:rsidR="003433B9">
              <w:rPr>
                <w:rFonts w:cs="Arial"/>
                <w:sz w:val="18"/>
                <w:szCs w:val="18"/>
              </w:rPr>
              <w:t>2</w:t>
            </w:r>
          </w:p>
        </w:tc>
      </w:tr>
    </w:tbl>
    <w:p w14:paraId="6926B797" w14:textId="77777777" w:rsidR="00585D47" w:rsidRPr="000A18CB" w:rsidRDefault="00585D47" w:rsidP="00585D47">
      <w:pPr>
        <w:rPr>
          <w:i/>
        </w:rPr>
      </w:pPr>
      <w:r w:rsidRPr="0037782A">
        <w:rPr>
          <w:i/>
        </w:rPr>
        <w:t xml:space="preserve">Poznámka: Údaje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Pr="0037782A">
        <w:rPr>
          <w:i/>
        </w:rPr>
        <w:t>.</w:t>
      </w:r>
    </w:p>
    <w:p w14:paraId="0D5E06DB" w14:textId="77777777" w:rsidR="00585D47" w:rsidRDefault="00585D47" w:rsidP="00585D47"/>
    <w:p w14:paraId="6B39C1B8" w14:textId="77777777" w:rsidR="00585D47" w:rsidRDefault="00585D47" w:rsidP="00585D47">
      <w:r w:rsidRPr="00E736BE">
        <w:t xml:space="preserve">Celkové příjmy sektoru vládních institucí </w:t>
      </w:r>
      <w:r>
        <w:t>stouply</w:t>
      </w:r>
      <w:r w:rsidRPr="00174C88">
        <w:t xml:space="preserve"> meziročně o </w:t>
      </w:r>
      <w:r w:rsidR="00814DED">
        <w:t>9,</w:t>
      </w:r>
      <w:r w:rsidR="003433B9">
        <w:t>2</w:t>
      </w:r>
      <w:r w:rsidRPr="00174C88">
        <w:t xml:space="preserve"> %</w:t>
      </w:r>
      <w:r>
        <w:t xml:space="preserve"> a dosáhly 4</w:t>
      </w:r>
      <w:r w:rsidR="00814DED">
        <w:t>0,</w:t>
      </w:r>
      <w:r w:rsidR="003433B9">
        <w:t>7</w:t>
      </w:r>
      <w:r>
        <w:t xml:space="preserve"> % HDP.</w:t>
      </w:r>
      <w:r w:rsidRPr="00E736BE">
        <w:t xml:space="preserve"> Na</w:t>
      </w:r>
      <w:r>
        <w:t> </w:t>
      </w:r>
      <w:r w:rsidRPr="00E736BE">
        <w:t xml:space="preserve">meziročním </w:t>
      </w:r>
      <w:r>
        <w:t>růstu</w:t>
      </w:r>
      <w:r w:rsidRPr="00E736BE">
        <w:t xml:space="preserve"> příjmů se </w:t>
      </w:r>
      <w:r>
        <w:t xml:space="preserve">podílely </w:t>
      </w:r>
      <w:r w:rsidRPr="00E736BE">
        <w:t xml:space="preserve">zejména </w:t>
      </w:r>
      <w:r>
        <w:t xml:space="preserve">přijaté daně z důchodů a přijaté sociální příspěvky. </w:t>
      </w:r>
      <w:r w:rsidRPr="00E736BE">
        <w:t xml:space="preserve">Celkové výdaje vládních institucí </w:t>
      </w:r>
      <w:r w:rsidRPr="00183B9F">
        <w:t xml:space="preserve">meziročně </w:t>
      </w:r>
      <w:r>
        <w:t xml:space="preserve">vzrostly </w:t>
      </w:r>
      <w:r w:rsidRPr="00FB249A">
        <w:t xml:space="preserve">o </w:t>
      </w:r>
      <w:r w:rsidR="00FF6336">
        <w:t>1,7</w:t>
      </w:r>
      <w:r>
        <w:t> </w:t>
      </w:r>
      <w:r w:rsidRPr="00FB249A">
        <w:t>%</w:t>
      </w:r>
      <w:r>
        <w:t xml:space="preserve"> a dosáhly </w:t>
      </w:r>
      <w:r w:rsidR="00FF6336">
        <w:t>44,0</w:t>
      </w:r>
      <w:r>
        <w:t> % HDP</w:t>
      </w:r>
      <w:r w:rsidRPr="00FB249A">
        <w:t>.</w:t>
      </w:r>
      <w:r w:rsidRPr="00E736BE">
        <w:t xml:space="preserve"> </w:t>
      </w:r>
      <w:r>
        <w:t xml:space="preserve">Nejvíce vzrostly výdaje na sociální dávky a </w:t>
      </w:r>
      <w:r w:rsidR="00FF6336">
        <w:t xml:space="preserve">naopak největší pokles bych zaznamenán u </w:t>
      </w:r>
      <w:r>
        <w:t>dotac</w:t>
      </w:r>
      <w:r w:rsidR="00FF6336">
        <w:t>í</w:t>
      </w:r>
      <w:r>
        <w:t xml:space="preserve">. </w:t>
      </w:r>
    </w:p>
    <w:p w14:paraId="21C99898" w14:textId="77777777" w:rsidR="00585D47" w:rsidRDefault="00585D47" w:rsidP="00585D47"/>
    <w:p w14:paraId="4DEFD6A9" w14:textId="77777777" w:rsidR="00585D47" w:rsidRDefault="00585D47" w:rsidP="00585D47">
      <w:r w:rsidRPr="004627B6">
        <w:t xml:space="preserve">Nominální dluh vládních institucí meziročně </w:t>
      </w:r>
      <w:r>
        <w:t>stoupl</w:t>
      </w:r>
      <w:r w:rsidRPr="004627B6">
        <w:t xml:space="preserve"> </w:t>
      </w:r>
      <w:r w:rsidRPr="00020BFF">
        <w:t xml:space="preserve">o </w:t>
      </w:r>
      <w:r>
        <w:t>23</w:t>
      </w:r>
      <w:r w:rsidR="00115E24">
        <w:t>2</w:t>
      </w:r>
      <w:r>
        <w:t>,8</w:t>
      </w:r>
      <w:r w:rsidRPr="00020BFF">
        <w:t xml:space="preserve"> mld. </w:t>
      </w:r>
      <w:r>
        <w:t xml:space="preserve">Kč </w:t>
      </w:r>
      <w:r w:rsidRPr="00020BFF">
        <w:t xml:space="preserve">na </w:t>
      </w:r>
      <w:r>
        <w:t>3 </w:t>
      </w:r>
      <w:r w:rsidR="00115E24">
        <w:t>332,3</w:t>
      </w:r>
      <w:r>
        <w:t xml:space="preserve"> </w:t>
      </w:r>
      <w:r w:rsidRPr="00020BFF">
        <w:t>mld</w:t>
      </w:r>
      <w:r w:rsidRPr="004627B6">
        <w:t>.</w:t>
      </w:r>
      <w:r>
        <w:t xml:space="preserve"> Kč. </w:t>
      </w:r>
      <w:r w:rsidRPr="00907835">
        <w:t>Míra zadlužení</w:t>
      </w:r>
      <w:r w:rsidRPr="00EF5A70">
        <w:t xml:space="preserve"> sektoru vládn</w:t>
      </w:r>
      <w:r>
        <w:t xml:space="preserve">ích institucí </w:t>
      </w:r>
      <w:r w:rsidRPr="00020BFF">
        <w:t xml:space="preserve">meziročně </w:t>
      </w:r>
      <w:r w:rsidR="00115E24">
        <w:t>stoupla</w:t>
      </w:r>
      <w:r w:rsidRPr="00020BFF">
        <w:t xml:space="preserve"> z</w:t>
      </w:r>
      <w:r>
        <w:t>e 4</w:t>
      </w:r>
      <w:r w:rsidR="00115E24">
        <w:t>2</w:t>
      </w:r>
      <w:r>
        <w:t>,</w:t>
      </w:r>
      <w:r w:rsidR="00115E24">
        <w:t>9</w:t>
      </w:r>
      <w:r w:rsidRPr="00020BFF">
        <w:t xml:space="preserve"> % na 4</w:t>
      </w:r>
      <w:r w:rsidR="00115E24">
        <w:t>3,4</w:t>
      </w:r>
      <w:r w:rsidRPr="00020BFF">
        <w:t xml:space="preserve"> % HDP</w:t>
      </w:r>
      <w:r w:rsidRPr="00EF5A70">
        <w:t xml:space="preserve">, </w:t>
      </w:r>
      <w:r>
        <w:t xml:space="preserve">vliv nominální změny dluhu </w:t>
      </w:r>
      <w:r w:rsidRPr="00020BFF">
        <w:t>činil</w:t>
      </w:r>
      <w:r>
        <w:t xml:space="preserve"> + 3,</w:t>
      </w:r>
      <w:r w:rsidR="00115E24">
        <w:t>1</w:t>
      </w:r>
      <w:r w:rsidRPr="00020BFF">
        <w:t xml:space="preserve"> p.</w:t>
      </w:r>
      <w:r>
        <w:t xml:space="preserve"> </w:t>
      </w:r>
      <w:r w:rsidRPr="00020BFF">
        <w:t>b</w:t>
      </w:r>
      <w:r>
        <w:t>.,</w:t>
      </w:r>
      <w:r w:rsidRPr="00EF5A70">
        <w:t xml:space="preserve"> přičemž </w:t>
      </w:r>
      <w:r>
        <w:t>rostoucí</w:t>
      </w:r>
      <w:r w:rsidRPr="004627B6">
        <w:t xml:space="preserve"> nominální HDP přispěl k </w:t>
      </w:r>
      <w:r>
        <w:t>poklesu</w:t>
      </w:r>
      <w:r w:rsidRPr="004627B6">
        <w:t xml:space="preserve"> zadlužení </w:t>
      </w:r>
      <w:r w:rsidRPr="00020BFF">
        <w:t>o</w:t>
      </w:r>
      <w:r>
        <w:t> </w:t>
      </w:r>
      <w:r w:rsidR="00C566AC">
        <w:t>- 2,6</w:t>
      </w:r>
      <w:r>
        <w:t> p. b.</w:t>
      </w:r>
      <w:r w:rsidRPr="004627B6">
        <w:t xml:space="preserve"> </w:t>
      </w:r>
      <w:proofErr w:type="spellStart"/>
      <w:r>
        <w:t>M</w:t>
      </w:r>
      <w:r w:rsidRPr="004627B6">
        <w:t>ezičtvrtletně</w:t>
      </w:r>
      <w:proofErr w:type="spellEnd"/>
      <w:r>
        <w:t xml:space="preserve"> dluh stoupl </w:t>
      </w:r>
      <w:r w:rsidRPr="00020BFF">
        <w:t xml:space="preserve">o </w:t>
      </w:r>
      <w:r w:rsidR="00C566AC">
        <w:t>103,9</w:t>
      </w:r>
      <w:r w:rsidRPr="00020BFF">
        <w:t xml:space="preserve"> mld. Kč</w:t>
      </w:r>
      <w:r>
        <w:t xml:space="preserve">, nominální změna dluhu činila </w:t>
      </w:r>
      <w:r w:rsidR="00C566AC">
        <w:t>1</w:t>
      </w:r>
      <w:r>
        <w:t>,</w:t>
      </w:r>
      <w:r w:rsidR="00C566AC">
        <w:t>4</w:t>
      </w:r>
      <w:r>
        <w:t xml:space="preserve"> p. b., zatímco růst nominálního </w:t>
      </w:r>
      <w:r w:rsidRPr="004627B6">
        <w:t xml:space="preserve">HDP </w:t>
      </w:r>
      <w:r>
        <w:t>přispěl k poklesu zadlužení o</w:t>
      </w:r>
      <w:r w:rsidRPr="004627B6">
        <w:t xml:space="preserve"> </w:t>
      </w:r>
      <w:r>
        <w:t>- 0,</w:t>
      </w:r>
      <w:r w:rsidR="00C566AC">
        <w:t>4</w:t>
      </w:r>
      <w:r w:rsidRPr="003316B5">
        <w:t xml:space="preserve"> p.</w:t>
      </w:r>
      <w:r>
        <w:t xml:space="preserve"> </w:t>
      </w:r>
      <w:r w:rsidRPr="003316B5">
        <w:t>b.</w:t>
      </w:r>
      <w:r>
        <w:t xml:space="preserve">, což ve výsledku </w:t>
      </w:r>
      <w:proofErr w:type="spellStart"/>
      <w:r>
        <w:t>mezičtvrtletně</w:t>
      </w:r>
      <w:proofErr w:type="spellEnd"/>
      <w:r>
        <w:t xml:space="preserve"> vedlo ke </w:t>
      </w:r>
      <w:r w:rsidR="00C566AC">
        <w:t>zvýšení</w:t>
      </w:r>
      <w:r>
        <w:t xml:space="preserve"> </w:t>
      </w:r>
      <w:r w:rsidRPr="004627B6">
        <w:t xml:space="preserve">míry zadlužení </w:t>
      </w:r>
      <w:r w:rsidRPr="00020BFF">
        <w:t>o</w:t>
      </w:r>
      <w:r>
        <w:t> </w:t>
      </w:r>
      <w:r w:rsidR="00C566AC">
        <w:t>1</w:t>
      </w:r>
      <w:r>
        <w:t>,</w:t>
      </w:r>
      <w:r w:rsidR="00C566AC">
        <w:t>0</w:t>
      </w:r>
      <w:r>
        <w:t xml:space="preserve"> </w:t>
      </w:r>
      <w:r w:rsidRPr="00020BFF">
        <w:t>p.</w:t>
      </w:r>
      <w:r>
        <w:t xml:space="preserve"> </w:t>
      </w:r>
      <w:r w:rsidRPr="00020BFF">
        <w:t>b</w:t>
      </w:r>
      <w:r w:rsidRPr="004627B6">
        <w:t>.</w:t>
      </w:r>
      <w:r>
        <w:t xml:space="preserve"> </w:t>
      </w:r>
    </w:p>
    <w:p w14:paraId="050AEA43" w14:textId="77777777" w:rsidR="00585D47" w:rsidRDefault="00585D47" w:rsidP="00585D47"/>
    <w:p w14:paraId="7EBEA122" w14:textId="77777777" w:rsidR="00585D47" w:rsidRDefault="00585D47" w:rsidP="00585D47">
      <w:r w:rsidRPr="006330B1">
        <w:t>Z hlediska jednotlivých komponent dluhu byl meziroční nárůst zaznamenán především u</w:t>
      </w:r>
      <w:r>
        <w:t> </w:t>
      </w:r>
      <w:r w:rsidRPr="00B77751">
        <w:t>emitovaných cenných papírů (+</w:t>
      </w:r>
      <w:r w:rsidR="00C566AC">
        <w:t>252,7</w:t>
      </w:r>
      <w:r w:rsidRPr="00B77751">
        <w:t xml:space="preserve"> mld. Kč)</w:t>
      </w:r>
      <w:r w:rsidRPr="006330B1">
        <w:t xml:space="preserve">. </w:t>
      </w:r>
    </w:p>
    <w:p w14:paraId="72388EF5" w14:textId="77777777" w:rsidR="00585D47" w:rsidRDefault="00585D47" w:rsidP="00585D47"/>
    <w:p w14:paraId="7ED145B6" w14:textId="77777777" w:rsidR="00585D47" w:rsidRPr="00270F84" w:rsidRDefault="00585D47" w:rsidP="00585D47"/>
    <w:p w14:paraId="3D6C48EF" w14:textId="77777777" w:rsidR="00585D47" w:rsidRPr="00270F84" w:rsidRDefault="00585D47" w:rsidP="00585D47">
      <w:pPr>
        <w:pStyle w:val="TabulkaGraf"/>
      </w:pPr>
      <w:r w:rsidRPr="00270F84">
        <w:lastRenderedPageBreak/>
        <w:t xml:space="preserve">Dluh sektoru vládních institucí, </w:t>
      </w:r>
      <w:r w:rsidR="005763E3">
        <w:t>1</w:t>
      </w:r>
      <w:r w:rsidRPr="00270F84">
        <w:t>. čtvrtletí 20</w:t>
      </w:r>
      <w:r>
        <w:t>2</w:t>
      </w:r>
      <w:r w:rsidR="005763E3">
        <w:t>2</w:t>
      </w:r>
      <w:r w:rsidRPr="00270F84">
        <w:t xml:space="preserve"> – </w:t>
      </w:r>
      <w:r w:rsidR="005763E3">
        <w:t>1</w:t>
      </w:r>
      <w:r w:rsidRPr="00270F84">
        <w:t xml:space="preserve">. čtvrtletí </w:t>
      </w:r>
      <w:r>
        <w:t>202</w:t>
      </w:r>
      <w:r w:rsidR="005763E3">
        <w:t>4</w:t>
      </w:r>
    </w:p>
    <w:p w14:paraId="7E36CF5D" w14:textId="77777777" w:rsidR="00585D47" w:rsidRDefault="0030261B" w:rsidP="00585D47">
      <w:r>
        <w:rPr>
          <w:noProof/>
          <w:lang w:val="en-US"/>
        </w:rPr>
        <w:drawing>
          <wp:inline distT="0" distB="0" distL="0" distR="0" wp14:anchorId="63502B29" wp14:editId="15949DE3">
            <wp:extent cx="5381625" cy="3314700"/>
            <wp:effectExtent l="0" t="0" r="9525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BE1B1F" w14:textId="77777777" w:rsidR="00585D47" w:rsidRDefault="00585D47" w:rsidP="00585D47"/>
    <w:p w14:paraId="7323434F" w14:textId="77777777" w:rsidR="00585D47" w:rsidRDefault="006450AA" w:rsidP="00585D47">
      <w:r>
        <w:rPr>
          <w:noProof/>
          <w:lang w:val="en-US"/>
        </w:rPr>
        <w:drawing>
          <wp:inline distT="0" distB="0" distL="0" distR="0" wp14:anchorId="0179C6B7" wp14:editId="37C90544">
            <wp:extent cx="5400040" cy="1920240"/>
            <wp:effectExtent l="0" t="0" r="10160" b="381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DA1FBE" w14:textId="77777777" w:rsidR="00585D47" w:rsidRDefault="00585D47" w:rsidP="00585D47"/>
    <w:p w14:paraId="0D008130" w14:textId="77777777" w:rsidR="00585D47" w:rsidRDefault="00585D47" w:rsidP="00585D47">
      <w:r w:rsidRPr="00FF18D0">
        <w:t xml:space="preserve">Saldo hospodaření vládních institucí po očištění o sezónní a kalendářní vlivy skončilo v deficitu </w:t>
      </w:r>
      <w:r w:rsidR="001B264A">
        <w:t>38,5</w:t>
      </w:r>
      <w:r w:rsidRPr="00FF18D0">
        <w:t xml:space="preserve"> mld. Kč, který odpovídal </w:t>
      </w:r>
      <w:r w:rsidR="001B264A">
        <w:t>2,0</w:t>
      </w:r>
      <w:r w:rsidRPr="00FF18D0">
        <w:t xml:space="preserve"> % HDP. </w:t>
      </w:r>
      <w:proofErr w:type="spellStart"/>
      <w:r w:rsidRPr="00FF18D0">
        <w:t>Mezičtvrtletně</w:t>
      </w:r>
      <w:proofErr w:type="spellEnd"/>
      <w:r w:rsidRPr="00FF18D0">
        <w:t xml:space="preserve"> se saldo hospodaření </w:t>
      </w:r>
      <w:r>
        <w:t>vylepšilo</w:t>
      </w:r>
      <w:r w:rsidRPr="00FF18D0">
        <w:t xml:space="preserve"> o </w:t>
      </w:r>
      <w:r w:rsidR="001B264A">
        <w:t>23,7</w:t>
      </w:r>
      <w:r w:rsidRPr="00FF18D0">
        <w:t> mld. Kč. Vývoj salda hospodaření vládních institucí očištěného o sezónní a kalendářní vlivy ilustruje následující graf.</w:t>
      </w:r>
    </w:p>
    <w:p w14:paraId="6768B4A6" w14:textId="77777777" w:rsidR="00585D47" w:rsidRDefault="00585D47" w:rsidP="00585D47"/>
    <w:p w14:paraId="36E73692" w14:textId="77777777" w:rsidR="00585D47" w:rsidRPr="00706DBC" w:rsidRDefault="00585D47" w:rsidP="00585D47">
      <w:pPr>
        <w:pStyle w:val="TabulkaGraf"/>
        <w:keepNext/>
      </w:pPr>
      <w:r w:rsidRPr="00FF18D0">
        <w:lastRenderedPageBreak/>
        <w:t xml:space="preserve">Sezónně očištěné saldo hospodaření vládních institucí, </w:t>
      </w:r>
      <w:r w:rsidR="005763E3">
        <w:t>1</w:t>
      </w:r>
      <w:r w:rsidRPr="00FF18D0">
        <w:t>. čtvrtletí 202</w:t>
      </w:r>
      <w:r w:rsidR="005763E3">
        <w:t>2</w:t>
      </w:r>
      <w:r w:rsidRPr="00FF18D0">
        <w:t xml:space="preserve"> – </w:t>
      </w:r>
      <w:r w:rsidR="005763E3">
        <w:t>1</w:t>
      </w:r>
      <w:r w:rsidRPr="00FF18D0">
        <w:t>. čtvrtletí 202</w:t>
      </w:r>
      <w:r w:rsidR="005763E3">
        <w:t>4</w:t>
      </w:r>
    </w:p>
    <w:p w14:paraId="5F2558F4" w14:textId="77777777" w:rsidR="00B632CC" w:rsidRPr="00CD618A" w:rsidRDefault="001B264A" w:rsidP="00585D47">
      <w:r>
        <w:rPr>
          <w:noProof/>
          <w:lang w:val="en-US"/>
        </w:rPr>
        <w:drawing>
          <wp:inline distT="0" distB="0" distL="0" distR="0" wp14:anchorId="35DBD0AE" wp14:editId="4CE17362">
            <wp:extent cx="5400040" cy="1858645"/>
            <wp:effectExtent l="0" t="0" r="10160" b="825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D26148" w14:textId="77777777" w:rsidR="00D209A7" w:rsidRDefault="00D209A7" w:rsidP="00D209A7">
      <w:pPr>
        <w:pStyle w:val="Poznmky0"/>
      </w:pPr>
      <w:r w:rsidRPr="00CD618A">
        <w:t>Poznámky</w:t>
      </w:r>
      <w:r w:rsidR="007A2048" w:rsidRPr="00CD618A">
        <w:t>:</w:t>
      </w:r>
    </w:p>
    <w:p w14:paraId="3FEADC6D" w14:textId="77777777" w:rsidR="00585D47" w:rsidRPr="002C1411" w:rsidRDefault="00585D47" w:rsidP="00585D47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schodku (</w:t>
      </w:r>
      <w:r w:rsidRPr="002C1411">
        <w:rPr>
          <w:i/>
          <w:sz w:val="18"/>
          <w:szCs w:val="18"/>
        </w:rPr>
        <w:t>EDP</w:t>
      </w:r>
      <w:r w:rsidRPr="00AD1C8A">
        <w:rPr>
          <w:i/>
          <w:sz w:val="18"/>
          <w:szCs w:val="18"/>
        </w:rPr>
        <w:t xml:space="preserve">, </w:t>
      </w:r>
      <w:proofErr w:type="spellStart"/>
      <w:r w:rsidRPr="00AD1C8A">
        <w:rPr>
          <w:i/>
          <w:sz w:val="18"/>
          <w:szCs w:val="18"/>
        </w:rPr>
        <w:t>excessive</w:t>
      </w:r>
      <w:proofErr w:type="spellEnd"/>
      <w:r w:rsidRPr="00AD1C8A">
        <w:rPr>
          <w:i/>
          <w:sz w:val="18"/>
          <w:szCs w:val="18"/>
        </w:rPr>
        <w:t xml:space="preserve"> deficit </w:t>
      </w:r>
      <w:proofErr w:type="spellStart"/>
      <w:r w:rsidRPr="00AD1C8A">
        <w:rPr>
          <w:i/>
          <w:sz w:val="18"/>
          <w:szCs w:val="18"/>
        </w:rPr>
        <w:t>procedure</w:t>
      </w:r>
      <w:proofErr w:type="spellEnd"/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30171033" w14:textId="77777777" w:rsidR="00585D47" w:rsidRPr="002C1411" w:rsidRDefault="00585D47" w:rsidP="00585D47">
      <w:pPr>
        <w:rPr>
          <w:i/>
          <w:sz w:val="18"/>
          <w:szCs w:val="18"/>
        </w:rPr>
      </w:pPr>
    </w:p>
    <w:p w14:paraId="7FD53CC1" w14:textId="77777777" w:rsidR="00585D47" w:rsidRPr="002009DA" w:rsidRDefault="00585D47" w:rsidP="00585D47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3288BC37" w14:textId="77777777" w:rsidR="00585D47" w:rsidRPr="002009DA" w:rsidRDefault="00585D47" w:rsidP="00585D47">
      <w:pPr>
        <w:rPr>
          <w:rFonts w:cs="Arial"/>
          <w:i/>
          <w:sz w:val="18"/>
          <w:szCs w:val="18"/>
        </w:rPr>
      </w:pPr>
    </w:p>
    <w:p w14:paraId="42A94673" w14:textId="77777777" w:rsidR="00585D47" w:rsidRPr="002C1411" w:rsidRDefault="00585D47" w:rsidP="00585D47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730073A7" w14:textId="77777777" w:rsidR="00585D47" w:rsidRPr="002C1411" w:rsidRDefault="00585D47" w:rsidP="00585D47">
      <w:pPr>
        <w:rPr>
          <w:i/>
          <w:sz w:val="18"/>
          <w:szCs w:val="18"/>
        </w:rPr>
      </w:pPr>
    </w:p>
    <w:p w14:paraId="7361D19D" w14:textId="77777777" w:rsidR="00585D47" w:rsidRDefault="00585D47" w:rsidP="00585D47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 Podrobné údaje v časových řadách o</w:t>
      </w:r>
      <w:r w:rsidRPr="002C1411">
        <w:rPr>
          <w:i/>
          <w:sz w:val="18"/>
          <w:szCs w:val="18"/>
        </w:rPr>
        <w:t xml:space="preserve">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účty“.(</w:t>
      </w:r>
      <w:hyperlink r:id="rId13" w:history="1">
        <w:r>
          <w:rPr>
            <w:rStyle w:val="Hypertextovodkaz"/>
            <w:i/>
            <w:sz w:val="18"/>
            <w:szCs w:val="18"/>
          </w:rPr>
          <w:t>Sektor vládních institucí</w:t>
        </w:r>
      </w:hyperlink>
      <w:r w:rsidRPr="002C1411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. Pokud není uvedeno jinak, data nejsou očištěna o sezónní a kalendářní vlivy. </w:t>
      </w:r>
      <w:r w:rsidRPr="009C4851">
        <w:rPr>
          <w:i/>
          <w:sz w:val="18"/>
          <w:szCs w:val="18"/>
        </w:rPr>
        <w:t>Časová řada</w:t>
      </w:r>
      <w:r>
        <w:rPr>
          <w:i/>
          <w:sz w:val="18"/>
          <w:szCs w:val="18"/>
        </w:rPr>
        <w:t xml:space="preserve"> sezónně očištěného salda vládních institucí (položka </w:t>
      </w:r>
      <w:r w:rsidRPr="009C4851">
        <w:rPr>
          <w:i/>
          <w:sz w:val="18"/>
          <w:szCs w:val="18"/>
        </w:rPr>
        <w:t>Čisté půjčky/ výpůjčky</w:t>
      </w:r>
      <w:r>
        <w:rPr>
          <w:i/>
          <w:sz w:val="18"/>
          <w:szCs w:val="18"/>
        </w:rPr>
        <w:t xml:space="preserve">) </w:t>
      </w:r>
      <w:hyperlink r:id="rId14" w:history="1">
        <w:r>
          <w:rPr>
            <w:rStyle w:val="Hypertextovodkaz"/>
            <w:i/>
            <w:sz w:val="18"/>
            <w:szCs w:val="18"/>
          </w:rPr>
          <w:t xml:space="preserve">Časová řada sezónně očištěných účtů za </w:t>
        </w:r>
        <w:proofErr w:type="gramStart"/>
        <w:r>
          <w:rPr>
            <w:rStyle w:val="Hypertextovodkaz"/>
            <w:i/>
            <w:sz w:val="18"/>
            <w:szCs w:val="18"/>
          </w:rPr>
          <w:t>S.13</w:t>
        </w:r>
        <w:proofErr w:type="gramEnd"/>
        <w:r>
          <w:rPr>
            <w:rStyle w:val="Hypertextovodkaz"/>
            <w:i/>
            <w:sz w:val="18"/>
            <w:szCs w:val="18"/>
          </w:rPr>
          <w:t xml:space="preserve"> </w:t>
        </w:r>
      </w:hyperlink>
      <w:r>
        <w:rPr>
          <w:i/>
          <w:sz w:val="18"/>
          <w:szCs w:val="18"/>
        </w:rPr>
        <w:t>.</w:t>
      </w:r>
    </w:p>
    <w:p w14:paraId="0AB36F4C" w14:textId="77777777" w:rsidR="00585D47" w:rsidRDefault="00585D47" w:rsidP="00585D47">
      <w:pPr>
        <w:rPr>
          <w:i/>
          <w:sz w:val="18"/>
          <w:szCs w:val="18"/>
        </w:rPr>
      </w:pPr>
    </w:p>
    <w:p w14:paraId="20C16272" w14:textId="77777777" w:rsidR="00585D47" w:rsidRPr="002C1411" w:rsidRDefault="00585D47" w:rsidP="00585D47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5201"/>
      </w:tblGrid>
      <w:tr w:rsidR="00585D47" w14:paraId="6994F52B" w14:textId="77777777" w:rsidTr="00770676">
        <w:tc>
          <w:tcPr>
            <w:tcW w:w="3369" w:type="dxa"/>
          </w:tcPr>
          <w:p w14:paraId="35EA6CDB" w14:textId="77777777" w:rsidR="00585D47" w:rsidRDefault="00585D47" w:rsidP="0077067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7D5EE54C" w14:textId="77777777" w:rsidR="00585D47" w:rsidRDefault="00585D47" w:rsidP="00770676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>
              <w:rPr>
                <w:i/>
                <w:iCs/>
                <w:sz w:val="18"/>
                <w:szCs w:val="18"/>
              </w:rPr>
              <w:t xml:space="preserve"> 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ředitelka odboru vládních a finančních účtů, </w:t>
            </w:r>
          </w:p>
          <w:p w14:paraId="3C8F8959" w14:textId="77777777" w:rsidR="00585D47" w:rsidRDefault="00585D47" w:rsidP="00585D47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tel.: 704 688 734</w:t>
            </w:r>
            <w:r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5" w:history="1">
              <w:r w:rsidRPr="006D1562">
                <w:rPr>
                  <w:rStyle w:val="Hypertextovodkaz"/>
                  <w:sz w:val="18"/>
                </w:rPr>
                <w:t>helena.houzvickova@csu.gov.cz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585D47" w14:paraId="1D152B9F" w14:textId="77777777" w:rsidTr="00770676">
        <w:tc>
          <w:tcPr>
            <w:tcW w:w="3369" w:type="dxa"/>
          </w:tcPr>
          <w:p w14:paraId="128E6AA9" w14:textId="77777777" w:rsidR="00585D47" w:rsidRDefault="00585D47" w:rsidP="0077067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7C9E886B" w14:textId="77777777" w:rsidR="00585D47" w:rsidRDefault="00585D47" w:rsidP="00770676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68E46575" w14:textId="77777777" w:rsidR="00585D47" w:rsidRDefault="00585D47" w:rsidP="00585D47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6" w:history="1">
              <w:r w:rsidRPr="006D1562">
                <w:rPr>
                  <w:rStyle w:val="Hypertextovodkaz"/>
                  <w:sz w:val="18"/>
                </w:rPr>
                <w:t>jaroslav.kahoun@csu.gov.cz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585D47" w14:paraId="1CD0DE05" w14:textId="77777777" w:rsidTr="00770676">
        <w:tc>
          <w:tcPr>
            <w:tcW w:w="3369" w:type="dxa"/>
          </w:tcPr>
          <w:p w14:paraId="50373EBD" w14:textId="77777777" w:rsidR="00585D47" w:rsidRDefault="00585D47" w:rsidP="0077067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726EB98A" w14:textId="77777777" w:rsidR="00585D47" w:rsidRPr="007F7CB9" w:rsidRDefault="00585D47" w:rsidP="0008780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  <w:r w:rsidRPr="00F829FF">
              <w:rPr>
                <w:i/>
                <w:iCs/>
                <w:sz w:val="18"/>
                <w:szCs w:val="18"/>
              </w:rPr>
              <w:t xml:space="preserve">. </w:t>
            </w:r>
            <w:r w:rsidR="00087807">
              <w:rPr>
                <w:i/>
                <w:iCs/>
                <w:sz w:val="18"/>
                <w:szCs w:val="18"/>
              </w:rPr>
              <w:t>10</w:t>
            </w:r>
            <w:r w:rsidRPr="00F829FF">
              <w:rPr>
                <w:i/>
                <w:iCs/>
                <w:sz w:val="18"/>
                <w:szCs w:val="18"/>
              </w:rPr>
              <w:t>. 202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</w:tc>
      </w:tr>
    </w:tbl>
    <w:p w14:paraId="13E21519" w14:textId="77777777" w:rsidR="00585D47" w:rsidRPr="00585D47" w:rsidRDefault="00585D47" w:rsidP="00585D47"/>
    <w:sectPr w:rsidR="00585D47" w:rsidRPr="00585D47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7629" w14:textId="77777777" w:rsidR="000C74ED" w:rsidRDefault="000C74ED" w:rsidP="00BA6370">
      <w:r>
        <w:separator/>
      </w:r>
    </w:p>
  </w:endnote>
  <w:endnote w:type="continuationSeparator" w:id="0">
    <w:p w14:paraId="713A6C7F" w14:textId="77777777" w:rsidR="000C74ED" w:rsidRDefault="000C74E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7428" w14:textId="77777777" w:rsidR="003D0499" w:rsidRDefault="00CE13A2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A2AD95" wp14:editId="7BE9D13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A0904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258B0A6" w14:textId="1785E452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="000C0AAD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: 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17D2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2AD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3A9A0904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258B0A6" w14:textId="1785E452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0C0AAD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="000C0AAD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: 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17D2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D267E" wp14:editId="178A959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E729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6AA5" w14:textId="77777777" w:rsidR="000C74ED" w:rsidRDefault="000C74ED" w:rsidP="00BA6370">
      <w:r>
        <w:separator/>
      </w:r>
    </w:p>
  </w:footnote>
  <w:footnote w:type="continuationSeparator" w:id="0">
    <w:p w14:paraId="39E8ABC6" w14:textId="77777777" w:rsidR="000C74ED" w:rsidRDefault="000C74E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A94A" w14:textId="77777777" w:rsidR="003D0499" w:rsidRDefault="00CE13A2">
    <w:pPr>
      <w:pStyle w:val="Zhlav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615E21D" wp14:editId="4090734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1A20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3C"/>
    <w:rsid w:val="00043BF4"/>
    <w:rsid w:val="000458C3"/>
    <w:rsid w:val="00062643"/>
    <w:rsid w:val="000843A5"/>
    <w:rsid w:val="00087807"/>
    <w:rsid w:val="000910DA"/>
    <w:rsid w:val="00096D6C"/>
    <w:rsid w:val="000B6F63"/>
    <w:rsid w:val="000C0AAD"/>
    <w:rsid w:val="000C74ED"/>
    <w:rsid w:val="000D06CB"/>
    <w:rsid w:val="000D093F"/>
    <w:rsid w:val="000E43CC"/>
    <w:rsid w:val="00115E24"/>
    <w:rsid w:val="00117D23"/>
    <w:rsid w:val="001404AB"/>
    <w:rsid w:val="00140C3C"/>
    <w:rsid w:val="001511B3"/>
    <w:rsid w:val="0017231D"/>
    <w:rsid w:val="001810DC"/>
    <w:rsid w:val="001B264A"/>
    <w:rsid w:val="001B607F"/>
    <w:rsid w:val="001D369A"/>
    <w:rsid w:val="001E2745"/>
    <w:rsid w:val="001E4CBE"/>
    <w:rsid w:val="001F08B3"/>
    <w:rsid w:val="001F2FE0"/>
    <w:rsid w:val="00200854"/>
    <w:rsid w:val="002070FB"/>
    <w:rsid w:val="00213729"/>
    <w:rsid w:val="002406FA"/>
    <w:rsid w:val="00243FCB"/>
    <w:rsid w:val="00244F1B"/>
    <w:rsid w:val="0026107B"/>
    <w:rsid w:val="00275DF8"/>
    <w:rsid w:val="002B2E47"/>
    <w:rsid w:val="002D0113"/>
    <w:rsid w:val="002D7F4F"/>
    <w:rsid w:val="002E35F8"/>
    <w:rsid w:val="002F6016"/>
    <w:rsid w:val="002F7E26"/>
    <w:rsid w:val="0030261B"/>
    <w:rsid w:val="003209B6"/>
    <w:rsid w:val="003301A3"/>
    <w:rsid w:val="003433B9"/>
    <w:rsid w:val="0036777B"/>
    <w:rsid w:val="0038282A"/>
    <w:rsid w:val="00397580"/>
    <w:rsid w:val="003A45C8"/>
    <w:rsid w:val="003C2DCF"/>
    <w:rsid w:val="003C4F7B"/>
    <w:rsid w:val="003C7FE7"/>
    <w:rsid w:val="003D0499"/>
    <w:rsid w:val="003D07D5"/>
    <w:rsid w:val="003D3576"/>
    <w:rsid w:val="003F526A"/>
    <w:rsid w:val="00405244"/>
    <w:rsid w:val="004154C7"/>
    <w:rsid w:val="004436EE"/>
    <w:rsid w:val="0045547F"/>
    <w:rsid w:val="00471DEF"/>
    <w:rsid w:val="00472310"/>
    <w:rsid w:val="004920AD"/>
    <w:rsid w:val="004C6932"/>
    <w:rsid w:val="004D05B3"/>
    <w:rsid w:val="004E479E"/>
    <w:rsid w:val="004F686C"/>
    <w:rsid w:val="004F78E6"/>
    <w:rsid w:val="0050420E"/>
    <w:rsid w:val="00512D99"/>
    <w:rsid w:val="00531DBB"/>
    <w:rsid w:val="00573072"/>
    <w:rsid w:val="00573994"/>
    <w:rsid w:val="005763E3"/>
    <w:rsid w:val="00585D47"/>
    <w:rsid w:val="005F79FB"/>
    <w:rsid w:val="00604406"/>
    <w:rsid w:val="00605F4A"/>
    <w:rsid w:val="00607822"/>
    <w:rsid w:val="006103AA"/>
    <w:rsid w:val="00613BBF"/>
    <w:rsid w:val="00622B80"/>
    <w:rsid w:val="0064139A"/>
    <w:rsid w:val="006450AA"/>
    <w:rsid w:val="00655289"/>
    <w:rsid w:val="00692211"/>
    <w:rsid w:val="006931CF"/>
    <w:rsid w:val="006C58FE"/>
    <w:rsid w:val="006D21EB"/>
    <w:rsid w:val="006E024F"/>
    <w:rsid w:val="006E4E81"/>
    <w:rsid w:val="00707F7D"/>
    <w:rsid w:val="00717EC5"/>
    <w:rsid w:val="00727C3F"/>
    <w:rsid w:val="00754C20"/>
    <w:rsid w:val="007A2048"/>
    <w:rsid w:val="007A57F2"/>
    <w:rsid w:val="007B1333"/>
    <w:rsid w:val="007F4AEB"/>
    <w:rsid w:val="007F75B2"/>
    <w:rsid w:val="00803993"/>
    <w:rsid w:val="008043C4"/>
    <w:rsid w:val="00814DED"/>
    <w:rsid w:val="00831B1B"/>
    <w:rsid w:val="00855FB3"/>
    <w:rsid w:val="00861D0E"/>
    <w:rsid w:val="008662BB"/>
    <w:rsid w:val="00867569"/>
    <w:rsid w:val="008A750A"/>
    <w:rsid w:val="008B3970"/>
    <w:rsid w:val="008B410F"/>
    <w:rsid w:val="008C384C"/>
    <w:rsid w:val="008D0F11"/>
    <w:rsid w:val="008F73B4"/>
    <w:rsid w:val="00934174"/>
    <w:rsid w:val="00986DD7"/>
    <w:rsid w:val="009B55B1"/>
    <w:rsid w:val="009B62A7"/>
    <w:rsid w:val="009F3ECD"/>
    <w:rsid w:val="00A0762A"/>
    <w:rsid w:val="00A1095E"/>
    <w:rsid w:val="00A41DDD"/>
    <w:rsid w:val="00A4343D"/>
    <w:rsid w:val="00A502F1"/>
    <w:rsid w:val="00A70A83"/>
    <w:rsid w:val="00A81EB3"/>
    <w:rsid w:val="00A955BC"/>
    <w:rsid w:val="00AB3410"/>
    <w:rsid w:val="00AD1C8A"/>
    <w:rsid w:val="00AE05EA"/>
    <w:rsid w:val="00B00C1D"/>
    <w:rsid w:val="00B55375"/>
    <w:rsid w:val="00B632CC"/>
    <w:rsid w:val="00BA12F1"/>
    <w:rsid w:val="00BA439F"/>
    <w:rsid w:val="00BA6370"/>
    <w:rsid w:val="00C10F11"/>
    <w:rsid w:val="00C269D4"/>
    <w:rsid w:val="00C35900"/>
    <w:rsid w:val="00C37ADB"/>
    <w:rsid w:val="00C4160D"/>
    <w:rsid w:val="00C566AC"/>
    <w:rsid w:val="00C60263"/>
    <w:rsid w:val="00C8406E"/>
    <w:rsid w:val="00CB2709"/>
    <w:rsid w:val="00CB6F89"/>
    <w:rsid w:val="00CC0AE9"/>
    <w:rsid w:val="00CD618A"/>
    <w:rsid w:val="00CE13A2"/>
    <w:rsid w:val="00CE228C"/>
    <w:rsid w:val="00CE71D9"/>
    <w:rsid w:val="00CF545B"/>
    <w:rsid w:val="00D209A7"/>
    <w:rsid w:val="00D27D69"/>
    <w:rsid w:val="00D33658"/>
    <w:rsid w:val="00D3597A"/>
    <w:rsid w:val="00D448C2"/>
    <w:rsid w:val="00D44A26"/>
    <w:rsid w:val="00D666C3"/>
    <w:rsid w:val="00D67AAE"/>
    <w:rsid w:val="00D9189F"/>
    <w:rsid w:val="00DF47FE"/>
    <w:rsid w:val="00E0156A"/>
    <w:rsid w:val="00E26704"/>
    <w:rsid w:val="00E31980"/>
    <w:rsid w:val="00E6423C"/>
    <w:rsid w:val="00E93830"/>
    <w:rsid w:val="00E93E0E"/>
    <w:rsid w:val="00EB1ED3"/>
    <w:rsid w:val="00F75F2A"/>
    <w:rsid w:val="00FB687C"/>
    <w:rsid w:val="00FF633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2A2CCCA4"/>
  <w15:docId w15:val="{A902F339-120F-473E-A74F-0013780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58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341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17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17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1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17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l.czso.cz/pll/rocenka/rocenka.indexnu_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roslav.kahoun@csu.gov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hyperlink" Target="mailto:helena.houzvickova@csu.gov.cz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pl.czso.cz/pll/rocenka/rocenkavyber.kvart_qs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:%20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:%20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vl&#225;da\RYCHL&#193;%20INFORMACE%20-%20Q%20deficit%20a%20dluh\2024%20Q1\Form_c463_Rychla%20informace_CZ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1Q20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1Q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1Q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graf!$Y$2:$AG$2</c:f>
              <c:strCache>
                <c:ptCount val="9"/>
                <c:pt idx="0">
                  <c:v>1.Q 2022</c:v>
                </c:pt>
                <c:pt idx="1">
                  <c:v>2.Q 2022</c:v>
                </c:pt>
                <c:pt idx="2">
                  <c:v>3.Q 2022</c:v>
                </c:pt>
                <c:pt idx="3">
                  <c:v>4.Q 2022</c:v>
                </c:pt>
                <c:pt idx="4">
                  <c:v>1.Q 2023</c:v>
                </c:pt>
                <c:pt idx="5">
                  <c:v>2.Q 2023</c:v>
                </c:pt>
                <c:pt idx="6">
                  <c:v>3.Q 2023</c:v>
                </c:pt>
                <c:pt idx="7">
                  <c:v>4.Q 2023</c:v>
                </c:pt>
                <c:pt idx="8">
                  <c:v>1.Q 2024</c:v>
                </c:pt>
              </c:strCache>
            </c:strRef>
          </c:cat>
          <c:val>
            <c:numRef>
              <c:f>graf!$Y$3:$AG$3</c:f>
              <c:numCache>
                <c:formatCode>#,##0</c:formatCode>
                <c:ptCount val="9"/>
                <c:pt idx="0">
                  <c:v>2684.15</c:v>
                </c:pt>
                <c:pt idx="1">
                  <c:v>2793.6610000000001</c:v>
                </c:pt>
                <c:pt idx="2">
                  <c:v>2983.299</c:v>
                </c:pt>
                <c:pt idx="3">
                  <c:v>2997.6320000000001</c:v>
                </c:pt>
                <c:pt idx="4">
                  <c:v>3099.4560000000001</c:v>
                </c:pt>
                <c:pt idx="5">
                  <c:v>3150.739</c:v>
                </c:pt>
                <c:pt idx="6">
                  <c:v>3214.0569999999998</c:v>
                </c:pt>
                <c:pt idx="7">
                  <c:v>3228.386</c:v>
                </c:pt>
                <c:pt idx="8">
                  <c:v>3332.259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EE-453B-83A2-F71914B56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dLbl>
              <c:idx val="5"/>
              <c:layout>
                <c:manualLayout>
                  <c:x val="-4.0796413722621043E-2"/>
                  <c:y val="-6.35918786013817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CEE-453B-83A2-F71914B561E1}"/>
                </c:ext>
              </c:extLst>
            </c:dLbl>
            <c:dLbl>
              <c:idx val="6"/>
              <c:layout>
                <c:manualLayout>
                  <c:x val="-4.0796413722620953E-2"/>
                  <c:y val="-5.9760460976860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CEE-453B-83A2-F71914B561E1}"/>
                </c:ext>
              </c:extLst>
            </c:dLbl>
            <c:dLbl>
              <c:idx val="7"/>
              <c:layout>
                <c:manualLayout>
                  <c:x val="-4.0796413722620953E-2"/>
                  <c:y val="-8.2748966723987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CEE-453B-83A2-F71914B561E1}"/>
                </c:ext>
              </c:extLst>
            </c:dLbl>
            <c:dLbl>
              <c:idx val="8"/>
              <c:layout>
                <c:manualLayout>
                  <c:x val="-4.0796413722620953E-2"/>
                  <c:y val="-8.2748966723987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CEE-453B-83A2-F71914B561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graf!$Y$2:$AG$2</c:f>
              <c:strCache>
                <c:ptCount val="9"/>
                <c:pt idx="0">
                  <c:v>1.Q 2022</c:v>
                </c:pt>
                <c:pt idx="1">
                  <c:v>2.Q 2022</c:v>
                </c:pt>
                <c:pt idx="2">
                  <c:v>3.Q 2022</c:v>
                </c:pt>
                <c:pt idx="3">
                  <c:v>4.Q 2022</c:v>
                </c:pt>
                <c:pt idx="4">
                  <c:v>1.Q 2023</c:v>
                </c:pt>
                <c:pt idx="5">
                  <c:v>2.Q 2023</c:v>
                </c:pt>
                <c:pt idx="6">
                  <c:v>3.Q 2023</c:v>
                </c:pt>
                <c:pt idx="7">
                  <c:v>4.Q 2023</c:v>
                </c:pt>
                <c:pt idx="8">
                  <c:v>1.Q 2024</c:v>
                </c:pt>
              </c:strCache>
            </c:strRef>
          </c:xVal>
          <c:yVal>
            <c:numRef>
              <c:f>graf!$Y$4:$AG$4</c:f>
              <c:numCache>
                <c:formatCode>0.0</c:formatCode>
                <c:ptCount val="9"/>
                <c:pt idx="0">
                  <c:v>41.37</c:v>
                </c:pt>
                <c:pt idx="1">
                  <c:v>41.88</c:v>
                </c:pt>
                <c:pt idx="2">
                  <c:v>43.5</c:v>
                </c:pt>
                <c:pt idx="3">
                  <c:v>42.52</c:v>
                </c:pt>
                <c:pt idx="4">
                  <c:v>42.9</c:v>
                </c:pt>
                <c:pt idx="5">
                  <c:v>42.64</c:v>
                </c:pt>
                <c:pt idx="6">
                  <c:v>42.8</c:v>
                </c:pt>
                <c:pt idx="7">
                  <c:v>42.38</c:v>
                </c:pt>
                <c:pt idx="8">
                  <c:v>43.36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CEE-453B-83A2-F71914B56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50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baseline="0">
                <a:solidFill>
                  <a:sysClr val="windowText" lastClr="000000"/>
                </a:solidFill>
              </a:rPr>
              <a:t>Meziroční relativní změna zadlužení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327443169977992"/>
          <c:y val="0.17835633326795464"/>
          <c:w val="0.85717001152802641"/>
          <c:h val="0.60008852633563825"/>
        </c:manualLayout>
      </c:layout>
      <c:barChart>
        <c:barDir val="col"/>
        <c:grouping val="stacked"/>
        <c:varyColors val="0"/>
        <c:ser>
          <c:idx val="2"/>
          <c:order val="1"/>
          <c:tx>
            <c:strRef>
              <c:f>dluh!$B$19</c:f>
              <c:strCache>
                <c:ptCount val="1"/>
                <c:pt idx="0">
                  <c:v>vliv změny HDP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dluh!$CR$3:$CZ$3</c:f>
              <c:strCache>
                <c:ptCount val="9"/>
                <c:pt idx="0">
                  <c:v>1.Q 2022</c:v>
                </c:pt>
                <c:pt idx="1">
                  <c:v>2.Q 2022</c:v>
                </c:pt>
                <c:pt idx="2">
                  <c:v>3.Q 2022</c:v>
                </c:pt>
                <c:pt idx="3">
                  <c:v>4.Q 2022</c:v>
                </c:pt>
                <c:pt idx="4">
                  <c:v>1.Q 2023</c:v>
                </c:pt>
                <c:pt idx="5">
                  <c:v>2.Q 2023</c:v>
                </c:pt>
                <c:pt idx="6">
                  <c:v>3.Q 2023</c:v>
                </c:pt>
                <c:pt idx="7">
                  <c:v>4.Q 2023</c:v>
                </c:pt>
                <c:pt idx="8">
                  <c:v>1.Q 2024</c:v>
                </c:pt>
              </c:strCache>
            </c:strRef>
          </c:cat>
          <c:val>
            <c:numRef>
              <c:f>dluh!$CR$19:$CZ$19</c:f>
              <c:numCache>
                <c:formatCode>0.0</c:formatCode>
                <c:ptCount val="9"/>
                <c:pt idx="0">
                  <c:v>-4.1626434450803842</c:v>
                </c:pt>
                <c:pt idx="1">
                  <c:v>-3.7756722083240533</c:v>
                </c:pt>
                <c:pt idx="2">
                  <c:v>-3.8420355822949617</c:v>
                </c:pt>
                <c:pt idx="3">
                  <c:v>-4.291807056922444</c:v>
                </c:pt>
                <c:pt idx="4">
                  <c:v>-4.2149760162905423</c:v>
                </c:pt>
                <c:pt idx="5">
                  <c:v>-4.078169080755643</c:v>
                </c:pt>
                <c:pt idx="6">
                  <c:v>-3.7641642125620791</c:v>
                </c:pt>
                <c:pt idx="7">
                  <c:v>-3.1739211723105072</c:v>
                </c:pt>
                <c:pt idx="8">
                  <c:v>-2.5735114897319846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19-4B7A-802D-172BFB92AD05}"/>
            </c:ext>
          </c:extLst>
        </c:ser>
        <c:ser>
          <c:idx val="3"/>
          <c:order val="2"/>
          <c:tx>
            <c:strRef>
              <c:f>dluh!$B$20</c:f>
              <c:strCache>
                <c:ptCount val="1"/>
                <c:pt idx="0">
                  <c:v>vliv změny dluhu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dluh!$CR$3:$CZ$3</c:f>
              <c:strCache>
                <c:ptCount val="9"/>
                <c:pt idx="0">
                  <c:v>1.Q 2022</c:v>
                </c:pt>
                <c:pt idx="1">
                  <c:v>2.Q 2022</c:v>
                </c:pt>
                <c:pt idx="2">
                  <c:v>3.Q 2022</c:v>
                </c:pt>
                <c:pt idx="3">
                  <c:v>4.Q 2022</c:v>
                </c:pt>
                <c:pt idx="4">
                  <c:v>1.Q 2023</c:v>
                </c:pt>
                <c:pt idx="5">
                  <c:v>2.Q 2023</c:v>
                </c:pt>
                <c:pt idx="6">
                  <c:v>3.Q 2023</c:v>
                </c:pt>
                <c:pt idx="7">
                  <c:v>4.Q 2023</c:v>
                </c:pt>
                <c:pt idx="8">
                  <c:v>1.Q 2024</c:v>
                </c:pt>
              </c:strCache>
            </c:strRef>
          </c:cat>
          <c:val>
            <c:numRef>
              <c:f>dluh!$CR$20:$CZ$20</c:f>
              <c:numCache>
                <c:formatCode>0.0</c:formatCode>
                <c:ptCount val="9"/>
                <c:pt idx="0">
                  <c:v>2.6626434450803842</c:v>
                </c:pt>
                <c:pt idx="1">
                  <c:v>4.1756722083240536</c:v>
                </c:pt>
                <c:pt idx="2">
                  <c:v>8.042035582294961</c:v>
                </c:pt>
                <c:pt idx="3">
                  <c:v>6.0918070569224438</c:v>
                </c:pt>
                <c:pt idx="4">
                  <c:v>5.7149760162905423</c:v>
                </c:pt>
                <c:pt idx="5">
                  <c:v>4.8781690807556428</c:v>
                </c:pt>
                <c:pt idx="6">
                  <c:v>3.0641642125620789</c:v>
                </c:pt>
                <c:pt idx="7">
                  <c:v>3.0739211723105071</c:v>
                </c:pt>
                <c:pt idx="8">
                  <c:v>3.0735114897319846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19-4B7A-802D-172BFB92A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515520352"/>
        <c:axId val="1515512032"/>
      </c:barChart>
      <c:scatterChart>
        <c:scatterStyle val="lineMarker"/>
        <c:varyColors val="0"/>
        <c:ser>
          <c:idx val="1"/>
          <c:order val="0"/>
          <c:tx>
            <c:strRef>
              <c:f>dluh!$B$18</c:f>
              <c:strCache>
                <c:ptCount val="1"/>
                <c:pt idx="0">
                  <c:v>celková změna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25400">
                <a:solidFill>
                  <a:srgbClr val="FF0000"/>
                </a:solidFill>
              </a:ln>
              <a:effectLst/>
            </c:spPr>
          </c:marker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>
                  <a:solidFill>
                    <a:srgbClr val="FF0000"/>
                  </a:solidFill>
                </a:ln>
                <a:effectLst>
                  <a:outerShdw blurRad="88900" dist="76200" dir="8400000" sx="103000" sy="103000" algn="ctr" rotWithShape="0">
                    <a:srgbClr val="000000">
                      <a:alpha val="43137"/>
                    </a:srgbClr>
                  </a:outerShdw>
                </a:effectLst>
              </c:spPr>
            </c:marker>
            <c:bubble3D val="0"/>
            <c:spPr>
              <a:ln w="25400" cap="rnd">
                <a:noFill/>
                <a:round/>
              </a:ln>
              <a:effectLst>
                <a:outerShdw blurRad="88900" dist="76200" dir="8400000" sx="103000" sy="103000" algn="ctr" rotWithShape="0">
                  <a:srgbClr val="000000">
                    <a:alpha val="43137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419-4B7A-802D-172BFB92AD05}"/>
              </c:ext>
            </c:extLst>
          </c:dPt>
          <c:dLbls>
            <c:dLbl>
              <c:idx val="0"/>
              <c:layout>
                <c:manualLayout>
                  <c:x val="-3.881397174835742E-2"/>
                  <c:y val="6.0750739490896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419-4B7A-802D-172BFB92AD05}"/>
                </c:ext>
              </c:extLst>
            </c:dLbl>
            <c:dLbl>
              <c:idx val="1"/>
              <c:layout>
                <c:manualLayout>
                  <c:x val="-3.1119954667002465E-2"/>
                  <c:y val="7.775955088947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419-4B7A-802D-172BFB92AD05}"/>
                </c:ext>
              </c:extLst>
            </c:dLbl>
            <c:dLbl>
              <c:idx val="2"/>
              <c:layout>
                <c:manualLayout>
                  <c:x val="-3.3176791283027536E-2"/>
                  <c:y val="8.2484481106528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419-4B7A-802D-172BFB92AD05}"/>
                </c:ext>
              </c:extLst>
            </c:dLbl>
            <c:dLbl>
              <c:idx val="3"/>
              <c:layout>
                <c:manualLayout>
                  <c:x val="-3.3674009822149555E-2"/>
                  <c:y val="9.5889055534724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419-4B7A-802D-172BFB92AD05}"/>
                </c:ext>
              </c:extLst>
            </c:dLbl>
            <c:dLbl>
              <c:idx val="4"/>
              <c:layout>
                <c:manualLayout>
                  <c:x val="-3.8105088110458527E-2"/>
                  <c:y val="9.5421926425863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419-4B7A-802D-172BFB92AD05}"/>
                </c:ext>
              </c:extLst>
            </c:dLbl>
            <c:dLbl>
              <c:idx val="5"/>
              <c:layout>
                <c:manualLayout>
                  <c:x val="-3.5540477477944692E-2"/>
                  <c:y val="7.7943382077240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B419-4B7A-802D-172BFB92AD05}"/>
                </c:ext>
              </c:extLst>
            </c:dLbl>
            <c:dLbl>
              <c:idx val="6"/>
              <c:layout>
                <c:manualLayout>
                  <c:x val="-3.6835467885423155E-2"/>
                  <c:y val="6.3768070657834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B419-4B7A-802D-172BFB92AD05}"/>
                </c:ext>
              </c:extLst>
            </c:dLbl>
            <c:dLbl>
              <c:idx val="7"/>
              <c:layout>
                <c:manualLayout>
                  <c:x val="-3.2410130295331144E-2"/>
                  <c:y val="8.4557138690996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B419-4B7A-802D-172BFB92AD05}"/>
                </c:ext>
              </c:extLst>
            </c:dLbl>
            <c:dLbl>
              <c:idx val="8"/>
              <c:layout>
                <c:manualLayout>
                  <c:x val="-3.1344582632721413E-2"/>
                  <c:y val="7.5580656584593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B419-4B7A-802D-172BFB92AD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yVal>
            <c:numRef>
              <c:f>dluh!$CR$18:$CZ$18</c:f>
              <c:numCache>
                <c:formatCode>0.0</c:formatCode>
                <c:ptCount val="9"/>
                <c:pt idx="0">
                  <c:v>-1.5</c:v>
                </c:pt>
                <c:pt idx="1">
                  <c:v>0.4</c:v>
                </c:pt>
                <c:pt idx="2">
                  <c:v>4.2</c:v>
                </c:pt>
                <c:pt idx="3">
                  <c:v>1.8</c:v>
                </c:pt>
                <c:pt idx="4">
                  <c:v>1.5</c:v>
                </c:pt>
                <c:pt idx="5">
                  <c:v>0.8</c:v>
                </c:pt>
                <c:pt idx="6">
                  <c:v>-0.7</c:v>
                </c:pt>
                <c:pt idx="7">
                  <c:v>-0.1</c:v>
                </c:pt>
                <c:pt idx="8">
                  <c:v>0.5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B419-4B7A-802D-172BFB92AD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5520352"/>
        <c:axId val="1515512032"/>
      </c:scatterChart>
      <c:catAx>
        <c:axId val="151552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5512032"/>
        <c:crosses val="autoZero"/>
        <c:auto val="1"/>
        <c:lblAlgn val="ctr"/>
        <c:lblOffset val="100"/>
        <c:noMultiLvlLbl val="0"/>
      </c:catAx>
      <c:valAx>
        <c:axId val="15155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aseline="0">
                    <a:solidFill>
                      <a:sysClr val="windowText" lastClr="000000"/>
                    </a:solidFill>
                  </a:rPr>
                  <a:t>p. b.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55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3.9331753660506064E-2"/>
          <c:w val="0.90350569010863835"/>
          <c:h val="0.9347697979092994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237534805866178E-2"/>
                  <c:y val="5.749403514505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DDA-43B0-A2F6-5FC78E458BFF}"/>
                </c:ext>
              </c:extLst>
            </c:dLbl>
            <c:dLbl>
              <c:idx val="1"/>
              <c:layout>
                <c:manualLayout>
                  <c:x val="-5.1014066562469949E-2"/>
                  <c:y val="8.2860901355557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DDA-43B0-A2F6-5FC78E458BFF}"/>
                </c:ext>
              </c:extLst>
            </c:dLbl>
            <c:dLbl>
              <c:idx val="2"/>
              <c:layout>
                <c:manualLayout>
                  <c:x val="-3.5440663402493272E-2"/>
                  <c:y val="5.728043816866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DDA-43B0-A2F6-5FC78E458BFF}"/>
                </c:ext>
              </c:extLst>
            </c:dLbl>
            <c:dLbl>
              <c:idx val="3"/>
              <c:layout>
                <c:manualLayout>
                  <c:x val="-4.0535070110591771E-2"/>
                  <c:y val="0.111091951394698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4350449255931433E-2"/>
                      <c:h val="0.121034409475720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DDA-43B0-A2F6-5FC78E458BFF}"/>
                </c:ext>
              </c:extLst>
            </c:dLbl>
            <c:dLbl>
              <c:idx val="4"/>
              <c:layout>
                <c:manualLayout>
                  <c:x val="-4.0543790473679377E-2"/>
                  <c:y val="5.4342601548602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DDA-43B0-A2F6-5FC78E458BFF}"/>
                </c:ext>
              </c:extLst>
            </c:dLbl>
            <c:dLbl>
              <c:idx val="5"/>
              <c:layout>
                <c:manualLayout>
                  <c:x val="-3.3840610106385026E-2"/>
                  <c:y val="6.2787658467492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DDA-43B0-A2F6-5FC78E458BFF}"/>
                </c:ext>
              </c:extLst>
            </c:dLbl>
            <c:dLbl>
              <c:idx val="6"/>
              <c:layout>
                <c:manualLayout>
                  <c:x val="-3.20425700212131E-2"/>
                  <c:y val="6.7087557725690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DDA-43B0-A2F6-5FC78E458BFF}"/>
                </c:ext>
              </c:extLst>
            </c:dLbl>
            <c:dLbl>
              <c:idx val="7"/>
              <c:layout>
                <c:manualLayout>
                  <c:x val="-3.1117343208811227E-2"/>
                  <c:y val="5.1831588191983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DDA-43B0-A2F6-5FC78E458BFF}"/>
                </c:ext>
              </c:extLst>
            </c:dLbl>
            <c:dLbl>
              <c:idx val="8"/>
              <c:layout>
                <c:manualLayout>
                  <c:x val="-2.7337815649756108E-2"/>
                  <c:y val="6.268130214826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DDA-43B0-A2F6-5FC78E458B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SEZ!$A$83:$A$91</c:f>
              <c:strCache>
                <c:ptCount val="9"/>
                <c:pt idx="0">
                  <c:v>1.Q 2022</c:v>
                </c:pt>
                <c:pt idx="1">
                  <c:v>2.Q 2022</c:v>
                </c:pt>
                <c:pt idx="2">
                  <c:v>3.Q 2022</c:v>
                </c:pt>
                <c:pt idx="3">
                  <c:v>4.Q 2022</c:v>
                </c:pt>
                <c:pt idx="4">
                  <c:v>1.Q 2023</c:v>
                </c:pt>
                <c:pt idx="5">
                  <c:v>2.Q 2023</c:v>
                </c:pt>
                <c:pt idx="6">
                  <c:v>3.Q 2023</c:v>
                </c:pt>
                <c:pt idx="7">
                  <c:v>4.Q 2023</c:v>
                </c:pt>
                <c:pt idx="8">
                  <c:v>1.Q 2024</c:v>
                </c:pt>
              </c:strCache>
            </c:strRef>
          </c:cat>
          <c:val>
            <c:numRef>
              <c:f>SEZ!$E$83:$E$91</c:f>
              <c:numCache>
                <c:formatCode>0.0</c:formatCode>
                <c:ptCount val="9"/>
                <c:pt idx="0">
                  <c:v>-2.0718050821679319</c:v>
                </c:pt>
                <c:pt idx="1">
                  <c:v>-2.5121890182339084</c:v>
                </c:pt>
                <c:pt idx="2">
                  <c:v>-4.3621212281828381</c:v>
                </c:pt>
                <c:pt idx="3">
                  <c:v>-3.2586756305774665</c:v>
                </c:pt>
                <c:pt idx="4">
                  <c:v>-4.0820638138110166</c:v>
                </c:pt>
                <c:pt idx="5">
                  <c:v>-3.3647944770388509</c:v>
                </c:pt>
                <c:pt idx="6">
                  <c:v>-3.4518214403516114</c:v>
                </c:pt>
                <c:pt idx="7">
                  <c:v>-3.2281339590722711</c:v>
                </c:pt>
                <c:pt idx="8">
                  <c:v>-1.964032882238671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DDA-43B0-A2F6-5FC78E45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8997200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28AD-9EF4-4D7C-84A3-D1E561195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86A37-2A65-48B1-99F0-AC2B4FA7F298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3.xml><?xml version="1.0" encoding="utf-8"?>
<ds:datastoreItem xmlns:ds="http://schemas.openxmlformats.org/officeDocument/2006/customXml" ds:itemID="{769A23DC-DDE1-4F0F-B104-17DBE6E9BBCD}"/>
</file>

<file path=customXml/itemProps4.xml><?xml version="1.0" encoding="utf-8"?>
<ds:datastoreItem xmlns:ds="http://schemas.openxmlformats.org/officeDocument/2006/customXml" ds:itemID="{5D4801ED-0C2F-413B-AA7E-A60DD6BE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Form_c463_Rychla informace_CZ.dotx</Template>
  <TotalTime>4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Houžvičková</dc:creator>
  <cp:lastModifiedBy>Musil Petr</cp:lastModifiedBy>
  <cp:revision>6</cp:revision>
  <dcterms:created xsi:type="dcterms:W3CDTF">2024-06-28T10:16:00Z</dcterms:created>
  <dcterms:modified xsi:type="dcterms:W3CDTF">2024-06-30T19:56:00Z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  <property fmtid="{D5CDD505-2E9C-101B-9397-08002B2CF9AE}" pid="3" name="Názevformuláře">
    <vt:lpwstr>Rychlá informace CZ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6/2020; Manuál jednotného vizuálního stylu ČSÚ
</vt:lpwstr>
  </property>
  <property fmtid="{D5CDD505-2E9C-101B-9397-08002B2CF9AE}" pid="6" name="Ustanovení">
    <vt:lpwstr>čl. 3, odst. 5a; část 11.1
</vt:lpwstr>
  </property>
  <property fmtid="{D5CDD505-2E9C-101B-9397-08002B2CF9AE}" pid="7" name="Účinnostod">
    <vt:filetime>2022-02-08T08:00:00Z</vt:filetime>
  </property>
  <property fmtid="{D5CDD505-2E9C-101B-9397-08002B2CF9AE}" pid="8" name="Označení">
    <vt:lpwstr>Form_c463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