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5F12" w14:textId="0346F54C" w:rsidR="00F21B6A" w:rsidRDefault="00531326" w:rsidP="00F21B6A">
      <w:pPr>
        <w:pStyle w:val="Nadpis1"/>
      </w:pPr>
      <w:r w:rsidRPr="009F599C">
        <w:t>Stavební produkce v </w:t>
      </w:r>
      <w:r w:rsidR="002F2797" w:rsidRPr="009F599C">
        <w:t>1. až 3. čtvrtletí</w:t>
      </w:r>
      <w:r w:rsidRPr="009F599C">
        <w:t xml:space="preserve"> 2026 vzrostla o</w:t>
      </w:r>
      <w:r w:rsidR="003534DF" w:rsidRPr="009F599C">
        <w:t> </w:t>
      </w:r>
      <w:r w:rsidR="001149C4" w:rsidRPr="009F599C">
        <w:t>2,6</w:t>
      </w:r>
      <w:r w:rsidRPr="009F599C">
        <w:t xml:space="preserve"> %</w:t>
      </w:r>
    </w:p>
    <w:p w14:paraId="767F2C5F" w14:textId="4766FE46" w:rsidR="00F21B6A" w:rsidRDefault="00000000" w:rsidP="00200551">
      <w:pPr>
        <w:jc w:val="left"/>
      </w:pPr>
      <w:sdt>
        <w:sdtPr>
          <w:id w:val="902409853"/>
          <w:placeholder>
            <w:docPart w:val="0C05D1EB91874125B9144B96B1236119"/>
          </w:placeholder>
          <w:date w:fullDate="2026-11-0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CE45BE">
            <w:t>06. 11. 2026</w:t>
          </w:r>
        </w:sdtContent>
      </w:sdt>
      <w:r w:rsidR="00C744B6" w:rsidRPr="00C744B6">
        <w:t xml:space="preserve"> </w:t>
      </w:r>
    </w:p>
    <w:p w14:paraId="794A03FE" w14:textId="1853A661" w:rsidR="00531326" w:rsidRDefault="00531326" w:rsidP="00531326">
      <w:pPr>
        <w:pStyle w:val="Nadpis2"/>
      </w:pPr>
      <w:r w:rsidRPr="002F05A1">
        <w:t xml:space="preserve">Doplňující informace k RI Stavebnictví – </w:t>
      </w:r>
      <w:r w:rsidR="002F2797" w:rsidRPr="002F2797">
        <w:t>září</w:t>
      </w:r>
      <w:r w:rsidRPr="002F05A1">
        <w:t xml:space="preserve"> 2026</w:t>
      </w:r>
    </w:p>
    <w:p w14:paraId="52920C97" w14:textId="4AACBF1A" w:rsidR="00531326" w:rsidRDefault="00531326" w:rsidP="00531326">
      <w:pPr>
        <w:jc w:val="left"/>
        <w:rPr>
          <w:rFonts w:cs="Arial"/>
        </w:rPr>
      </w:pPr>
      <w:r>
        <w:rPr>
          <w:rFonts w:cs="Arial"/>
        </w:rPr>
        <w:t xml:space="preserve">Stavební </w:t>
      </w:r>
      <w:r w:rsidRPr="00B176CB">
        <w:rPr>
          <w:rFonts w:cs="Arial"/>
        </w:rPr>
        <w:t xml:space="preserve">produkce v </w:t>
      </w:r>
      <w:r w:rsidR="00351E9A" w:rsidRPr="00351E9A">
        <w:rPr>
          <w:rFonts w:cs="Arial"/>
        </w:rPr>
        <w:t>1. až 3. čtvrtletí</w:t>
      </w:r>
      <w:r w:rsidRPr="004725CA">
        <w:rPr>
          <w:rFonts w:cs="Arial"/>
        </w:rPr>
        <w:t xml:space="preserve"> 20</w:t>
      </w:r>
      <w:r>
        <w:rPr>
          <w:rFonts w:cs="Arial"/>
        </w:rPr>
        <w:t>26</w:t>
      </w:r>
      <w:r w:rsidRPr="00B176CB">
        <w:rPr>
          <w:rFonts w:cs="Arial"/>
        </w:rPr>
        <w:t xml:space="preserve"> meziročně </w:t>
      </w:r>
      <w:r>
        <w:rPr>
          <w:rFonts w:cs="Arial"/>
        </w:rPr>
        <w:t>vzrostla</w:t>
      </w:r>
      <w:r w:rsidRPr="00B176CB">
        <w:rPr>
          <w:rFonts w:cs="Arial"/>
        </w:rPr>
        <w:t xml:space="preserve"> o</w:t>
      </w:r>
      <w:r w:rsidR="001149C4">
        <w:rPr>
          <w:rFonts w:cs="Arial"/>
        </w:rPr>
        <w:t xml:space="preserve"> 2,6 </w:t>
      </w:r>
      <w:r w:rsidRPr="00CF6368">
        <w:rPr>
          <w:rFonts w:cs="Arial"/>
        </w:rPr>
        <w:t>%</w:t>
      </w:r>
      <w:r w:rsidR="001149C4">
        <w:rPr>
          <w:rFonts w:cs="Arial"/>
        </w:rPr>
        <w:t xml:space="preserve">. K tomuto </w:t>
      </w:r>
      <w:r>
        <w:rPr>
          <w:rFonts w:cs="Arial"/>
        </w:rPr>
        <w:t>růstu přispělo pozemní stavitelství, které se meziročně zvýšilo o</w:t>
      </w:r>
      <w:r w:rsidR="001149C4">
        <w:rPr>
          <w:rFonts w:cs="Arial"/>
        </w:rPr>
        <w:t xml:space="preserve"> 5,3</w:t>
      </w:r>
      <w:r>
        <w:rPr>
          <w:rFonts w:cs="Arial"/>
        </w:rPr>
        <w:t xml:space="preserve"> </w:t>
      </w:r>
      <w:r w:rsidRPr="006B38FB">
        <w:rPr>
          <w:rFonts w:cs="Arial"/>
        </w:rPr>
        <w:t>% (s příspěvkem +</w:t>
      </w:r>
      <w:r w:rsidR="00685AAF" w:rsidRPr="006B38FB">
        <w:rPr>
          <w:rFonts w:cs="Arial"/>
        </w:rPr>
        <w:t>3,5</w:t>
      </w:r>
      <w:r w:rsidR="00685AAF">
        <w:rPr>
          <w:rFonts w:cs="Arial"/>
        </w:rPr>
        <w:t xml:space="preserve"> procentního</w:t>
      </w:r>
      <w:r w:rsidRPr="006B38FB">
        <w:rPr>
          <w:rFonts w:cs="Arial"/>
        </w:rPr>
        <w:t xml:space="preserve"> bodu). Produkce v</w:t>
      </w:r>
      <w:r w:rsidR="003534DF" w:rsidRPr="006B38FB">
        <w:rPr>
          <w:rFonts w:cs="Arial"/>
        </w:rPr>
        <w:t> </w:t>
      </w:r>
      <w:r w:rsidRPr="006B38FB">
        <w:rPr>
          <w:rFonts w:cs="Arial"/>
        </w:rPr>
        <w:t>inženýrském stavitelství naopak klesla o</w:t>
      </w:r>
      <w:r w:rsidR="001149C4" w:rsidRPr="006B38FB">
        <w:rPr>
          <w:rFonts w:cs="Arial"/>
        </w:rPr>
        <w:t xml:space="preserve"> 2,4 </w:t>
      </w:r>
      <w:r w:rsidRPr="006B38FB">
        <w:rPr>
          <w:rFonts w:cs="Arial"/>
        </w:rPr>
        <w:t>% (s příspěvkem -</w:t>
      </w:r>
      <w:r w:rsidR="00B259D4" w:rsidRPr="006B38FB">
        <w:rPr>
          <w:rFonts w:cs="Arial"/>
        </w:rPr>
        <w:t>0,8</w:t>
      </w:r>
      <w:r w:rsidRPr="006B38FB">
        <w:rPr>
          <w:rFonts w:cs="Arial"/>
        </w:rPr>
        <w:t xml:space="preserve"> p. b.).</w:t>
      </w:r>
      <w:r>
        <w:rPr>
          <w:rFonts w:cs="Arial"/>
        </w:rPr>
        <w:t xml:space="preserve"> </w:t>
      </w:r>
      <w:r w:rsidR="007132E8">
        <w:rPr>
          <w:rFonts w:cs="Arial"/>
        </w:rPr>
        <w:t>Všechna</w:t>
      </w:r>
      <w:r w:rsidRPr="007132E8">
        <w:rPr>
          <w:rFonts w:cs="Arial"/>
        </w:rPr>
        <w:t xml:space="preserve"> čtvrtletí </w:t>
      </w:r>
      <w:r w:rsidR="007132E8">
        <w:rPr>
          <w:rFonts w:cs="Arial"/>
        </w:rPr>
        <w:t>zaznamenala meziroční</w:t>
      </w:r>
      <w:r w:rsidRPr="007132E8">
        <w:rPr>
          <w:rFonts w:cs="Arial"/>
        </w:rPr>
        <w:t xml:space="preserve"> růst stavební produkce, a to jen díky pozemnímu stavitelství. </w:t>
      </w:r>
      <w:r w:rsidR="009F599C">
        <w:rPr>
          <w:rFonts w:cs="Arial"/>
        </w:rPr>
        <w:t>Produkce inženýrských staveb ve všech čtvrtletích meziročn</w:t>
      </w:r>
      <w:r w:rsidR="003E0A9C">
        <w:rPr>
          <w:rFonts w:cs="Arial"/>
        </w:rPr>
        <w:t>ě</w:t>
      </w:r>
      <w:r w:rsidR="009F599C">
        <w:rPr>
          <w:rFonts w:cs="Arial"/>
        </w:rPr>
        <w:t xml:space="preserve"> klesla. </w:t>
      </w:r>
    </w:p>
    <w:p w14:paraId="47F9ECE0" w14:textId="593B5A74" w:rsidR="00531326" w:rsidRDefault="00531326" w:rsidP="00531326">
      <w:pPr>
        <w:jc w:val="left"/>
        <w:rPr>
          <w:rFonts w:cs="Arial"/>
        </w:rPr>
      </w:pPr>
      <w:r w:rsidRPr="00B176CB">
        <w:rPr>
          <w:rFonts w:cs="Arial"/>
        </w:rPr>
        <w:t xml:space="preserve">Stavební podniky s 50 a více zaměstnanci v </w:t>
      </w:r>
      <w:r w:rsidR="00351E9A" w:rsidRPr="00351E9A">
        <w:rPr>
          <w:rFonts w:cs="Arial"/>
        </w:rPr>
        <w:t>1. až 3. čtvrtletí</w:t>
      </w:r>
      <w:r w:rsidRPr="004725CA">
        <w:rPr>
          <w:rFonts w:cs="Arial"/>
        </w:rPr>
        <w:t xml:space="preserve"> 20</w:t>
      </w:r>
      <w:r>
        <w:rPr>
          <w:rFonts w:cs="Arial"/>
        </w:rPr>
        <w:t xml:space="preserve">26 v tuzemsku uzavřely </w:t>
      </w:r>
      <w:r w:rsidR="00244D63">
        <w:rPr>
          <w:rFonts w:cs="Arial"/>
        </w:rPr>
        <w:t>49 244</w:t>
      </w:r>
      <w:r>
        <w:rPr>
          <w:rFonts w:cs="Arial"/>
        </w:rPr>
        <w:t xml:space="preserve"> </w:t>
      </w:r>
      <w:r w:rsidRPr="00B176CB">
        <w:rPr>
          <w:rFonts w:cs="Arial"/>
        </w:rPr>
        <w:t>stavebních zakázek</w:t>
      </w:r>
      <w:r>
        <w:rPr>
          <w:rFonts w:cs="Arial"/>
        </w:rPr>
        <w:t xml:space="preserve"> a</w:t>
      </w:r>
      <w:r w:rsidRPr="00B176CB">
        <w:rPr>
          <w:rFonts w:cs="Arial"/>
        </w:rPr>
        <w:t xml:space="preserve"> </w:t>
      </w:r>
      <w:r>
        <w:rPr>
          <w:rFonts w:cs="Arial"/>
        </w:rPr>
        <w:t xml:space="preserve">tento počet </w:t>
      </w:r>
      <w:r w:rsidRPr="00B176CB">
        <w:rPr>
          <w:rFonts w:cs="Arial"/>
        </w:rPr>
        <w:t>me</w:t>
      </w:r>
      <w:r>
        <w:rPr>
          <w:rFonts w:cs="Arial"/>
        </w:rPr>
        <w:t>ziročně vzrostl o</w:t>
      </w:r>
      <w:r w:rsidR="00244D63">
        <w:rPr>
          <w:rFonts w:cs="Arial"/>
        </w:rPr>
        <w:t xml:space="preserve"> 3,9 </w:t>
      </w:r>
      <w:r w:rsidRPr="00B176CB">
        <w:rPr>
          <w:rFonts w:cs="Arial"/>
        </w:rPr>
        <w:t xml:space="preserve">%. Celková hodnota těchto zakázek se meziročně </w:t>
      </w:r>
      <w:r w:rsidR="00BC0651">
        <w:rPr>
          <w:rFonts w:cs="Arial"/>
        </w:rPr>
        <w:t>snížila</w:t>
      </w:r>
      <w:r>
        <w:rPr>
          <w:rFonts w:cs="Arial"/>
        </w:rPr>
        <w:t xml:space="preserve"> o </w:t>
      </w:r>
      <w:r w:rsidR="00BC0651">
        <w:rPr>
          <w:rFonts w:cs="Arial"/>
        </w:rPr>
        <w:t>4,7</w:t>
      </w:r>
      <w:r>
        <w:rPr>
          <w:rFonts w:cs="Arial"/>
        </w:rPr>
        <w:t xml:space="preserve"> </w:t>
      </w:r>
      <w:r w:rsidRPr="00B176CB">
        <w:rPr>
          <w:rFonts w:cs="Arial"/>
        </w:rPr>
        <w:t xml:space="preserve">% a činila </w:t>
      </w:r>
      <w:r w:rsidR="00BC0651">
        <w:rPr>
          <w:rFonts w:cs="Arial"/>
        </w:rPr>
        <w:t>313</w:t>
      </w:r>
      <w:r>
        <w:rPr>
          <w:rFonts w:cs="Arial"/>
        </w:rPr>
        <w:t xml:space="preserve"> mld. </w:t>
      </w:r>
      <w:r w:rsidRPr="00B176CB">
        <w:rPr>
          <w:rFonts w:cs="Arial"/>
        </w:rPr>
        <w:t xml:space="preserve">Kč běžných cen. </w:t>
      </w:r>
      <w:r>
        <w:rPr>
          <w:rFonts w:cs="Arial"/>
        </w:rPr>
        <w:t xml:space="preserve">Na pozemním stavitelství dosáhly nové stavební zakázky </w:t>
      </w:r>
      <w:r w:rsidR="00BC0651">
        <w:rPr>
          <w:rFonts w:cs="Arial"/>
        </w:rPr>
        <w:t>146</w:t>
      </w:r>
      <w:r>
        <w:rPr>
          <w:rFonts w:cs="Arial"/>
        </w:rPr>
        <w:t> mld. Kč a meziročně vzrostly o</w:t>
      </w:r>
      <w:r w:rsidR="00BC0651">
        <w:rPr>
          <w:rFonts w:cs="Arial"/>
        </w:rPr>
        <w:t xml:space="preserve"> 5,3 </w:t>
      </w:r>
      <w:r>
        <w:rPr>
          <w:rFonts w:cs="Arial"/>
        </w:rPr>
        <w:t xml:space="preserve">%, naopak inženýrské stavby klesly o </w:t>
      </w:r>
      <w:r w:rsidR="00685AAF">
        <w:rPr>
          <w:rFonts w:cs="Arial"/>
        </w:rPr>
        <w:t xml:space="preserve">12 </w:t>
      </w:r>
      <w:r>
        <w:rPr>
          <w:rFonts w:cs="Arial"/>
        </w:rPr>
        <w:t xml:space="preserve">% na </w:t>
      </w:r>
      <w:r w:rsidR="00685AAF">
        <w:rPr>
          <w:rFonts w:cs="Arial"/>
        </w:rPr>
        <w:t xml:space="preserve">167 </w:t>
      </w:r>
      <w:r>
        <w:rPr>
          <w:rFonts w:cs="Arial"/>
        </w:rPr>
        <w:t xml:space="preserve">mld. Kč. </w:t>
      </w:r>
      <w:r w:rsidRPr="00B176CB">
        <w:rPr>
          <w:rFonts w:cs="Arial"/>
        </w:rPr>
        <w:t xml:space="preserve">Průměrná hodnota nově uzavřené zakázky </w:t>
      </w:r>
      <w:r>
        <w:rPr>
          <w:rFonts w:cs="Arial"/>
        </w:rPr>
        <w:t>v </w:t>
      </w:r>
      <w:r w:rsidR="00351E9A" w:rsidRPr="00351E9A">
        <w:rPr>
          <w:rFonts w:cs="Arial"/>
        </w:rPr>
        <w:t>1. až 3. čtvrtletí</w:t>
      </w:r>
      <w:r>
        <w:rPr>
          <w:rFonts w:cs="Arial"/>
        </w:rPr>
        <w:t xml:space="preserve"> 2026 </w:t>
      </w:r>
      <w:r w:rsidRPr="00B176CB">
        <w:rPr>
          <w:rFonts w:cs="Arial"/>
        </w:rPr>
        <w:t>činila</w:t>
      </w:r>
      <w:r>
        <w:rPr>
          <w:rFonts w:cs="Arial"/>
        </w:rPr>
        <w:t xml:space="preserve"> </w:t>
      </w:r>
      <w:r w:rsidR="00685AAF">
        <w:rPr>
          <w:rFonts w:cs="Arial"/>
        </w:rPr>
        <w:t>6,4</w:t>
      </w:r>
      <w:r>
        <w:rPr>
          <w:rFonts w:cs="Arial"/>
        </w:rPr>
        <w:t> mil. Kč a byla meziročně o </w:t>
      </w:r>
      <w:r w:rsidR="00685AAF">
        <w:rPr>
          <w:rFonts w:cs="Arial"/>
        </w:rPr>
        <w:t>8,3</w:t>
      </w:r>
      <w:r>
        <w:rPr>
          <w:rFonts w:cs="Arial"/>
        </w:rPr>
        <w:t> </w:t>
      </w:r>
      <w:r w:rsidRPr="00B176CB">
        <w:rPr>
          <w:rFonts w:cs="Arial"/>
        </w:rPr>
        <w:t xml:space="preserve">% </w:t>
      </w:r>
      <w:r>
        <w:rPr>
          <w:rFonts w:cs="Arial"/>
        </w:rPr>
        <w:t>nižší</w:t>
      </w:r>
      <w:r w:rsidRPr="00B176CB">
        <w:rPr>
          <w:rFonts w:cs="Arial"/>
        </w:rPr>
        <w:t>.</w:t>
      </w:r>
    </w:p>
    <w:p w14:paraId="5A01160E" w14:textId="5BF0F46C" w:rsidR="00531326" w:rsidRDefault="00531326" w:rsidP="00531326">
      <w:pPr>
        <w:jc w:val="left"/>
        <w:rPr>
          <w:rFonts w:cs="Arial"/>
        </w:rPr>
      </w:pPr>
      <w:r w:rsidRPr="00B51CEC">
        <w:rPr>
          <w:rFonts w:cs="Arial"/>
        </w:rPr>
        <w:t>V </w:t>
      </w:r>
      <w:r w:rsidR="00351E9A" w:rsidRPr="00351E9A">
        <w:rPr>
          <w:rFonts w:cs="Arial"/>
        </w:rPr>
        <w:t>1. až 3. čtvrtletí</w:t>
      </w:r>
      <w:r w:rsidRPr="00B51CEC">
        <w:rPr>
          <w:rFonts w:cs="Arial"/>
        </w:rPr>
        <w:t xml:space="preserve"> 2026 bylo vydáno </w:t>
      </w:r>
      <w:r w:rsidR="008F6DD0" w:rsidRPr="008F6DD0">
        <w:rPr>
          <w:rFonts w:cs="Arial"/>
        </w:rPr>
        <w:t>48</w:t>
      </w:r>
      <w:r w:rsidR="008F6DD0">
        <w:rPr>
          <w:rFonts w:cs="Arial"/>
        </w:rPr>
        <w:t xml:space="preserve"> </w:t>
      </w:r>
      <w:r w:rsidR="008F6DD0" w:rsidRPr="008F6DD0">
        <w:rPr>
          <w:rFonts w:cs="Arial"/>
        </w:rPr>
        <w:t>147</w:t>
      </w:r>
      <w:r w:rsidRPr="00B51CEC">
        <w:rPr>
          <w:rFonts w:cs="Arial"/>
        </w:rPr>
        <w:t xml:space="preserve"> stavebních povolení a tento počet meziročně vzrostl o </w:t>
      </w:r>
      <w:r w:rsidR="008F6DD0">
        <w:rPr>
          <w:rFonts w:cs="Arial"/>
        </w:rPr>
        <w:t>5</w:t>
      </w:r>
      <w:r w:rsidRPr="00B51CEC">
        <w:rPr>
          <w:rFonts w:cs="Arial"/>
        </w:rPr>
        <w:t>,</w:t>
      </w:r>
      <w:r w:rsidR="008F6DD0">
        <w:rPr>
          <w:rFonts w:cs="Arial"/>
        </w:rPr>
        <w:t>1</w:t>
      </w:r>
      <w:r w:rsidRPr="00B51CEC">
        <w:rPr>
          <w:rFonts w:cs="Arial"/>
        </w:rPr>
        <w:t xml:space="preserve"> % </w:t>
      </w:r>
      <w:r w:rsidRPr="008F6DD0">
        <w:rPr>
          <w:rFonts w:cs="Arial"/>
        </w:rPr>
        <w:t>díky nové výstavbě ve všech kategoriích</w:t>
      </w:r>
      <w:r w:rsidR="003534DF" w:rsidRPr="008F6DD0">
        <w:rPr>
          <w:rFonts w:cs="Arial"/>
        </w:rPr>
        <w:t>, p</w:t>
      </w:r>
      <w:r w:rsidRPr="008F6DD0">
        <w:rPr>
          <w:rFonts w:cs="Arial"/>
        </w:rPr>
        <w:t>očet stavebních povolení na změny dokončených staveb me</w:t>
      </w:r>
      <w:r w:rsidRPr="00B51CEC">
        <w:rPr>
          <w:rFonts w:cs="Arial"/>
        </w:rPr>
        <w:t xml:space="preserve">ziročně </w:t>
      </w:r>
      <w:r>
        <w:rPr>
          <w:rFonts w:cs="Arial"/>
        </w:rPr>
        <w:t xml:space="preserve">klesl o </w:t>
      </w:r>
      <w:r w:rsidR="008F6DD0">
        <w:rPr>
          <w:rFonts w:cs="Arial"/>
        </w:rPr>
        <w:t>13</w:t>
      </w:r>
      <w:r>
        <w:rPr>
          <w:rFonts w:cs="Arial"/>
        </w:rPr>
        <w:t>,</w:t>
      </w:r>
      <w:r w:rsidR="008F6DD0">
        <w:rPr>
          <w:rFonts w:cs="Arial"/>
        </w:rPr>
        <w:t>4</w:t>
      </w:r>
      <w:r>
        <w:rPr>
          <w:rFonts w:cs="Arial"/>
        </w:rPr>
        <w:t xml:space="preserve"> %. </w:t>
      </w:r>
      <w:r w:rsidRPr="008F6DD0">
        <w:rPr>
          <w:rFonts w:cs="Arial"/>
        </w:rPr>
        <w:t xml:space="preserve">Nejvíce staveb se povolilo </w:t>
      </w:r>
      <w:r w:rsidRPr="008F6DD0">
        <w:t>ve Středočeském,</w:t>
      </w:r>
      <w:r w:rsidRPr="008F6DD0">
        <w:rPr>
          <w:rFonts w:cs="Arial"/>
        </w:rPr>
        <w:t xml:space="preserve"> v Jihomoravském a Moravskoslezském kraji.</w:t>
      </w:r>
      <w:r w:rsidRPr="00C1567A">
        <w:rPr>
          <w:rFonts w:cs="Arial"/>
        </w:rPr>
        <w:t xml:space="preserve"> Podla</w:t>
      </w:r>
      <w:r w:rsidRPr="006E5627">
        <w:rPr>
          <w:rFonts w:cs="Arial"/>
        </w:rPr>
        <w:t xml:space="preserve">hová plocha u výstavby nových budov meziročně vzrostla o </w:t>
      </w:r>
      <w:r w:rsidR="00AD19B2">
        <w:rPr>
          <w:rFonts w:cs="Arial"/>
        </w:rPr>
        <w:t>21</w:t>
      </w:r>
      <w:r w:rsidRPr="006E5627">
        <w:rPr>
          <w:rFonts w:cs="Arial"/>
        </w:rPr>
        <w:t>,</w:t>
      </w:r>
      <w:r w:rsidR="00AD19B2">
        <w:rPr>
          <w:rFonts w:cs="Arial"/>
        </w:rPr>
        <w:t>2</w:t>
      </w:r>
      <w:r>
        <w:rPr>
          <w:rFonts w:cs="Arial"/>
        </w:rPr>
        <w:t> </w:t>
      </w:r>
      <w:r w:rsidRPr="006E5627">
        <w:rPr>
          <w:rFonts w:cs="Arial"/>
        </w:rPr>
        <w:t>%</w:t>
      </w:r>
      <w:r>
        <w:rPr>
          <w:rFonts w:cs="Arial"/>
        </w:rPr>
        <w:t xml:space="preserve"> na</w:t>
      </w:r>
      <w:r w:rsidRPr="000A408F">
        <w:rPr>
          <w:rFonts w:cs="Arial"/>
        </w:rPr>
        <w:t xml:space="preserve"> </w:t>
      </w:r>
      <w:r w:rsidR="00AD19B2">
        <w:rPr>
          <w:rFonts w:cs="Arial"/>
        </w:rPr>
        <w:t>5</w:t>
      </w:r>
      <w:r>
        <w:rPr>
          <w:rFonts w:cs="Arial"/>
        </w:rPr>
        <w:t> </w:t>
      </w:r>
      <w:r w:rsidR="00AD19B2">
        <w:rPr>
          <w:rFonts w:cs="Arial"/>
        </w:rPr>
        <w:t>570</w:t>
      </w:r>
      <w:r w:rsidRPr="000A408F">
        <w:rPr>
          <w:rFonts w:cs="Arial"/>
        </w:rPr>
        <w:t xml:space="preserve"> tisíc m</w:t>
      </w:r>
      <w:r w:rsidRPr="000A408F">
        <w:rPr>
          <w:rFonts w:cs="Arial"/>
          <w:vertAlign w:val="superscript"/>
        </w:rPr>
        <w:t>2</w:t>
      </w:r>
      <w:r w:rsidRPr="000A408F">
        <w:rPr>
          <w:rFonts w:cs="Arial"/>
        </w:rPr>
        <w:t>.</w:t>
      </w:r>
      <w:r>
        <w:rPr>
          <w:rFonts w:cs="Arial"/>
        </w:rPr>
        <w:t xml:space="preserve"> </w:t>
      </w:r>
      <w:r w:rsidRPr="006E5627">
        <w:rPr>
          <w:rFonts w:cs="Arial"/>
        </w:rPr>
        <w:t xml:space="preserve">Podlahová plocha nových </w:t>
      </w:r>
      <w:r>
        <w:rPr>
          <w:rFonts w:cs="Arial"/>
        </w:rPr>
        <w:t xml:space="preserve">bytových </w:t>
      </w:r>
      <w:r w:rsidRPr="006E5627">
        <w:rPr>
          <w:rFonts w:cs="Arial"/>
        </w:rPr>
        <w:t>budov</w:t>
      </w:r>
      <w:r>
        <w:rPr>
          <w:rFonts w:cs="Arial"/>
        </w:rPr>
        <w:t xml:space="preserve"> vzrostla o </w:t>
      </w:r>
      <w:r w:rsidR="00AD19B2">
        <w:rPr>
          <w:rFonts w:cs="Arial"/>
        </w:rPr>
        <w:t>44</w:t>
      </w:r>
      <w:r>
        <w:rPr>
          <w:rFonts w:cs="Arial"/>
        </w:rPr>
        <w:t>,</w:t>
      </w:r>
      <w:r w:rsidR="00AD19B2">
        <w:rPr>
          <w:rFonts w:cs="Arial"/>
        </w:rPr>
        <w:t>6</w:t>
      </w:r>
      <w:r>
        <w:rPr>
          <w:rFonts w:cs="Arial"/>
        </w:rPr>
        <w:t xml:space="preserve"> %, u nových nebytových budov </w:t>
      </w:r>
      <w:r w:rsidR="00AD19B2">
        <w:rPr>
          <w:rFonts w:cs="Arial"/>
        </w:rPr>
        <w:t>kles</w:t>
      </w:r>
      <w:r>
        <w:rPr>
          <w:rFonts w:cs="Arial"/>
        </w:rPr>
        <w:t xml:space="preserve">la o </w:t>
      </w:r>
      <w:r w:rsidR="00AD19B2">
        <w:rPr>
          <w:rFonts w:cs="Arial"/>
        </w:rPr>
        <w:t>1</w:t>
      </w:r>
      <w:r>
        <w:rPr>
          <w:rFonts w:cs="Arial"/>
        </w:rPr>
        <w:t>,</w:t>
      </w:r>
      <w:r w:rsidR="00AD19B2">
        <w:rPr>
          <w:rFonts w:cs="Arial"/>
        </w:rPr>
        <w:t>4</w:t>
      </w:r>
      <w:r>
        <w:rPr>
          <w:rFonts w:cs="Arial"/>
        </w:rPr>
        <w:t xml:space="preserve"> %</w:t>
      </w:r>
      <w:r w:rsidRPr="006E5627">
        <w:rPr>
          <w:rFonts w:cs="Arial"/>
        </w:rPr>
        <w:t xml:space="preserve">. </w:t>
      </w:r>
    </w:p>
    <w:p w14:paraId="76B7F844" w14:textId="3B28260A" w:rsidR="00531326" w:rsidRDefault="00531326" w:rsidP="00531326">
      <w:pPr>
        <w:jc w:val="left"/>
      </w:pPr>
      <w:r w:rsidRPr="00E15488">
        <w:t>V </w:t>
      </w:r>
      <w:r w:rsidR="00351E9A" w:rsidRPr="00351E9A">
        <w:rPr>
          <w:rFonts w:cs="Arial"/>
        </w:rPr>
        <w:t>1. až 3. čtvrtletí</w:t>
      </w:r>
      <w:r w:rsidRPr="004725CA">
        <w:rPr>
          <w:rFonts w:cs="Arial"/>
        </w:rPr>
        <w:t xml:space="preserve"> 20</w:t>
      </w:r>
      <w:r>
        <w:rPr>
          <w:rFonts w:cs="Arial"/>
        </w:rPr>
        <w:t>26</w:t>
      </w:r>
      <w:r w:rsidRPr="00E15488">
        <w:t xml:space="preserve"> byla zahájena výstavba </w:t>
      </w:r>
      <w:r w:rsidR="007E5D09" w:rsidRPr="007E5D09">
        <w:t>33</w:t>
      </w:r>
      <w:r w:rsidR="007E5D09">
        <w:t xml:space="preserve"> </w:t>
      </w:r>
      <w:r w:rsidR="007E5D09" w:rsidRPr="007E5D09">
        <w:t>029</w:t>
      </w:r>
      <w:r w:rsidRPr="00E15488">
        <w:t xml:space="preserve"> bytů, </w:t>
      </w:r>
      <w:r w:rsidRPr="002E564D">
        <w:t>což znamenalo meziroční růst o </w:t>
      </w:r>
      <w:r w:rsidR="007E5D09">
        <w:t>30</w:t>
      </w:r>
      <w:r w:rsidRPr="002E564D">
        <w:t>,</w:t>
      </w:r>
      <w:r w:rsidR="007E5D09">
        <w:t>9</w:t>
      </w:r>
      <w:r w:rsidRPr="002E564D">
        <w:t> %.</w:t>
      </w:r>
      <w:r w:rsidRPr="00E15488">
        <w:t xml:space="preserve"> </w:t>
      </w:r>
      <w:r w:rsidRPr="00D21244">
        <w:t>K růstu přispěly téměř všechny kategorie, meziroční pokles zaznamenaly byty v nových nebytových budovách a také konverze bytových domů</w:t>
      </w:r>
      <w:r w:rsidRPr="006840F9">
        <w:t>. Počty zahájených bytů rostly v</w:t>
      </w:r>
      <w:r w:rsidR="006840F9" w:rsidRPr="006840F9">
        <w:t>e</w:t>
      </w:r>
      <w:r w:rsidRPr="006840F9">
        <w:t> </w:t>
      </w:r>
      <w:r w:rsidR="00B91BB2">
        <w:t>všech</w:t>
      </w:r>
      <w:r w:rsidRPr="006840F9">
        <w:t xml:space="preserve"> čtvrtletích.</w:t>
      </w:r>
      <w:r w:rsidRPr="00B144B6">
        <w:t xml:space="preserve"> Nejvíce bytů se zahájilo v Jihomoravském kraji </w:t>
      </w:r>
      <w:r w:rsidR="00B144B6" w:rsidRPr="00B144B6">
        <w:t xml:space="preserve">a z velké části šlo o výstavbu bytových domů. Na druhém místě byla Praha, kde také většinový podíl tvoří bytové domy. Rodinné domy se naopak uplatňují více ve Středočeském kraji, kde tvoří téměř polovinu z celkového počtu </w:t>
      </w:r>
      <w:r w:rsidR="007C3C43">
        <w:t>zahájených</w:t>
      </w:r>
      <w:r w:rsidR="00B144B6" w:rsidRPr="00B144B6">
        <w:t xml:space="preserve"> bytů v </w:t>
      </w:r>
      <w:r w:rsidR="00D15D2F" w:rsidRPr="00351E9A">
        <w:rPr>
          <w:rFonts w:cs="Arial"/>
        </w:rPr>
        <w:t>1. až 3. čtvrtletí</w:t>
      </w:r>
      <w:r w:rsidR="00B144B6" w:rsidRPr="00B144B6">
        <w:t>.</w:t>
      </w:r>
    </w:p>
    <w:p w14:paraId="0ABC3919" w14:textId="1FE55ACB" w:rsidR="00531326" w:rsidRDefault="00531326" w:rsidP="00531326">
      <w:pPr>
        <w:jc w:val="left"/>
      </w:pPr>
      <w:r w:rsidRPr="0089553E">
        <w:rPr>
          <w:bCs/>
        </w:rPr>
        <w:t>V </w:t>
      </w:r>
      <w:r w:rsidR="00351E9A" w:rsidRPr="00351E9A">
        <w:rPr>
          <w:rFonts w:cs="Arial"/>
        </w:rPr>
        <w:t>1. až 3. čtvrtletí</w:t>
      </w:r>
      <w:r w:rsidRPr="004725CA">
        <w:rPr>
          <w:rFonts w:cs="Arial"/>
        </w:rPr>
        <w:t xml:space="preserve"> 20</w:t>
      </w:r>
      <w:r>
        <w:rPr>
          <w:rFonts w:cs="Arial"/>
        </w:rPr>
        <w:t>26</w:t>
      </w:r>
      <w:r w:rsidRPr="0089553E">
        <w:rPr>
          <w:bCs/>
        </w:rPr>
        <w:t xml:space="preserve"> bylo dokončeno </w:t>
      </w:r>
      <w:r w:rsidR="00DD7F0D" w:rsidRPr="00DD7F0D">
        <w:t>25</w:t>
      </w:r>
      <w:r w:rsidR="00DD7F0D">
        <w:t xml:space="preserve"> </w:t>
      </w:r>
      <w:r w:rsidR="00DD7F0D" w:rsidRPr="00DD7F0D">
        <w:t>419</w:t>
      </w:r>
      <w:r w:rsidRPr="0089553E">
        <w:t> bytů a tento p</w:t>
      </w:r>
      <w:r w:rsidRPr="0089553E">
        <w:rPr>
          <w:bCs/>
        </w:rPr>
        <w:t xml:space="preserve">očet </w:t>
      </w:r>
      <w:r w:rsidRPr="0089553E">
        <w:t xml:space="preserve">meziročně </w:t>
      </w:r>
      <w:r w:rsidR="00DD7F0D" w:rsidRPr="006E5627">
        <w:rPr>
          <w:rFonts w:cs="Arial"/>
        </w:rPr>
        <w:t>vzrostl</w:t>
      </w:r>
      <w:r w:rsidRPr="0089553E">
        <w:t xml:space="preserve"> o </w:t>
      </w:r>
      <w:r w:rsidR="00DD7F0D">
        <w:t>0</w:t>
      </w:r>
      <w:r w:rsidRPr="0089553E">
        <w:t>,</w:t>
      </w:r>
      <w:r w:rsidR="00DD7F0D">
        <w:t>7</w:t>
      </w:r>
      <w:r>
        <w:t> </w:t>
      </w:r>
      <w:r w:rsidRPr="0089553E">
        <w:t xml:space="preserve">%. </w:t>
      </w:r>
      <w:r w:rsidRPr="008D76C6">
        <w:t xml:space="preserve">Meziroční růst zaznamenaly byty dokončené v bytových domech, </w:t>
      </w:r>
      <w:r w:rsidR="003534DF">
        <w:t>na</w:t>
      </w:r>
      <w:r w:rsidRPr="008D76C6">
        <w:t xml:space="preserve">opak počet dokončených bytů v nových rodinných domech meziročně klesl o </w:t>
      </w:r>
      <w:r w:rsidR="00DD7F0D">
        <w:t>14</w:t>
      </w:r>
      <w:r w:rsidRPr="008D76C6">
        <w:t>,</w:t>
      </w:r>
      <w:r w:rsidR="00DD7F0D">
        <w:t>0</w:t>
      </w:r>
      <w:r w:rsidRPr="008D76C6">
        <w:t xml:space="preserve"> %.</w:t>
      </w:r>
      <w:r w:rsidRPr="002E564D">
        <w:t xml:space="preserve"> </w:t>
      </w:r>
      <w:r w:rsidR="003534DF" w:rsidRPr="004559A2">
        <w:t>Nejvíce bytů se v </w:t>
      </w:r>
      <w:r w:rsidR="0006424C" w:rsidRPr="004559A2">
        <w:rPr>
          <w:rFonts w:cs="Arial"/>
        </w:rPr>
        <w:t>1. až 3. čtvrtletí</w:t>
      </w:r>
      <w:r w:rsidR="003534DF" w:rsidRPr="004559A2">
        <w:t xml:space="preserve"> dokončilo v Praze a jednalo </w:t>
      </w:r>
      <w:r w:rsidR="00F84277">
        <w:t xml:space="preserve">se převážně </w:t>
      </w:r>
      <w:r w:rsidR="003534DF" w:rsidRPr="004559A2">
        <w:t>o byty v bytových domech</w:t>
      </w:r>
      <w:r w:rsidR="00BA4DEA">
        <w:t xml:space="preserve">, dále pak ve Středočeském kraji, kde se staví převážně rodinné domy. </w:t>
      </w:r>
      <w:r w:rsidR="00BA4DEA" w:rsidRPr="00E227FD">
        <w:t>Rodinné domy mají nosné konstrukce v naprosté většině ze zděných materiálů, ale v posledních letech je možné pozorovat zvýšený zájem o dřevěné stavby. Jejich podíl na celkovém počtu dokončených rodinných domů aktuálně tvoří 1</w:t>
      </w:r>
      <w:r w:rsidR="00BA4DEA">
        <w:t>5,3</w:t>
      </w:r>
      <w:r w:rsidR="00BA4DEA" w:rsidRPr="00E227FD">
        <w:t> % a je tak zhruba na úrovni předchozích let. Nejčastěji se rodinné domy-dřevostavby dokončují v Libereckém kraji, kde je jejich podíl téměř třetinový. S odstupem následuj</w:t>
      </w:r>
      <w:r w:rsidR="00BA4DEA">
        <w:t>í</w:t>
      </w:r>
      <w:r w:rsidR="00BA4DEA" w:rsidRPr="00E227FD">
        <w:t xml:space="preserve"> kraj</w:t>
      </w:r>
      <w:r w:rsidR="00BA4DEA">
        <w:t>e</w:t>
      </w:r>
      <w:r w:rsidR="00BA4DEA" w:rsidRPr="00E227FD">
        <w:t xml:space="preserve"> Pardubický a Olomoucký. Naopak nejméně dřevostaveb se dokončuje v Praze, kde se ve výstavbě kromě zděných konstrukcí často uplatňují monolity, a pak také v Jihočeském kraji, kde je naprostá většina dokončených rodinných domů zděných.</w:t>
      </w:r>
      <w:r w:rsidR="00BA4DEA">
        <w:t xml:space="preserve"> Pokud bychom podíl rodinných domů dřevostaveb přepočítali podle podlahové plochy budovy, dostaneme se na 11,3 % celkem, ale pořadí krajů se nezmění.</w:t>
      </w:r>
    </w:p>
    <w:p w14:paraId="71E7393D" w14:textId="77777777" w:rsidR="00531326" w:rsidRPr="00295711" w:rsidRDefault="00531326" w:rsidP="00531326">
      <w:pPr>
        <w:pStyle w:val="Poznmky0"/>
        <w:pBdr>
          <w:top w:val="single" w:sz="4" w:space="1" w:color="auto"/>
        </w:pBdr>
        <w:spacing w:before="0" w:line="240" w:lineRule="auto"/>
        <w:rPr>
          <w:rFonts w:asciiTheme="minorHAnsi" w:hAnsiTheme="minorHAnsi" w:cstheme="minorHAnsi"/>
          <w:iCs/>
        </w:rPr>
      </w:pPr>
      <w:r w:rsidRPr="00295711">
        <w:rPr>
          <w:rFonts w:asciiTheme="minorHAnsi" w:hAnsiTheme="minorHAnsi" w:cstheme="minorHAnsi"/>
        </w:rPr>
        <w:lastRenderedPageBreak/>
        <w:t xml:space="preserve">Poznámky: </w:t>
      </w:r>
      <w:r w:rsidRPr="00295711">
        <w:rPr>
          <w:rFonts w:asciiTheme="minorHAnsi" w:hAnsiTheme="minorHAnsi" w:cstheme="minorHAnsi"/>
          <w:iCs/>
        </w:rPr>
        <w:t>Meziroční vývoj stavební produkce je publikován po očištění o vliv počtu pracovních dnů.</w:t>
      </w:r>
    </w:p>
    <w:p w14:paraId="4E8BCC19" w14:textId="66CD15DF" w:rsidR="00531326" w:rsidRPr="00295711" w:rsidRDefault="00531326" w:rsidP="00531326">
      <w:pPr>
        <w:pStyle w:val="Poznmky0"/>
        <w:pBdr>
          <w:top w:val="none" w:sz="0" w:space="0" w:color="auto"/>
        </w:pBdr>
        <w:tabs>
          <w:tab w:val="left" w:pos="709"/>
          <w:tab w:val="left" w:pos="851"/>
          <w:tab w:val="left" w:pos="2694"/>
          <w:tab w:val="left" w:pos="3544"/>
        </w:tabs>
        <w:spacing w:before="0" w:line="247" w:lineRule="auto"/>
        <w:rPr>
          <w:rFonts w:asciiTheme="minorHAnsi" w:hAnsiTheme="minorHAnsi" w:cstheme="minorHAnsi"/>
          <w:iCs/>
        </w:rPr>
      </w:pPr>
      <w:r w:rsidRPr="00295711">
        <w:rPr>
          <w:rFonts w:asciiTheme="minorHAnsi" w:hAnsiTheme="minorHAnsi" w:cstheme="minorHAnsi"/>
          <w:iCs/>
        </w:rPr>
        <w:t>Metodika</w:t>
      </w:r>
      <w:r>
        <w:rPr>
          <w:rFonts w:asciiTheme="minorHAnsi" w:hAnsiTheme="minorHAnsi" w:cstheme="minorHAnsi"/>
          <w:iCs/>
        </w:rPr>
        <w:t>:</w:t>
      </w:r>
      <w:r>
        <w:rPr>
          <w:rFonts w:asciiTheme="minorHAnsi" w:hAnsiTheme="minorHAnsi" w:cstheme="minorHAnsi"/>
          <w:iCs/>
        </w:rPr>
        <w:tab/>
      </w:r>
      <w:r>
        <w:rPr>
          <w:rFonts w:asciiTheme="minorHAnsi" w:hAnsiTheme="minorHAnsi" w:cstheme="minorHAnsi"/>
          <w:iCs/>
        </w:rPr>
        <w:tab/>
      </w:r>
      <w:hyperlink r:id="rId11" w:history="1">
        <w:r w:rsidRPr="0021658A">
          <w:rPr>
            <w:rStyle w:val="Hypertextovodkaz"/>
            <w:rFonts w:asciiTheme="minorHAnsi" w:hAnsiTheme="minorHAnsi" w:cstheme="minorHAnsi"/>
            <w:iCs/>
          </w:rPr>
          <w:t>https://csu.gov.cz/stavebnictvi_metodika</w:t>
        </w:r>
      </w:hyperlink>
      <w:r w:rsidRPr="00295711">
        <w:rPr>
          <w:rFonts w:asciiTheme="minorHAnsi" w:hAnsiTheme="minorHAnsi" w:cstheme="minorHAnsi"/>
          <w:iCs/>
        </w:rPr>
        <w:t xml:space="preserve"> </w:t>
      </w:r>
    </w:p>
    <w:p w14:paraId="6421CD7F" w14:textId="77777777" w:rsidR="00531326" w:rsidRPr="00295711" w:rsidRDefault="00531326" w:rsidP="00531326">
      <w:pPr>
        <w:pStyle w:val="Poznmky"/>
        <w:pBdr>
          <w:top w:val="none" w:sz="0" w:space="0" w:color="auto"/>
        </w:pBdr>
        <w:spacing w:line="247" w:lineRule="auto"/>
        <w:ind w:left="2694" w:hanging="2694"/>
        <w:jc w:val="both"/>
        <w:rPr>
          <w:rFonts w:cstheme="minorHAnsi"/>
          <w:i w:val="0"/>
        </w:rPr>
      </w:pPr>
      <w:r w:rsidRPr="00295711">
        <w:rPr>
          <w:rFonts w:cstheme="minorHAnsi"/>
        </w:rPr>
        <w:t>Kontaktní osoba:</w:t>
      </w:r>
      <w:r w:rsidRPr="00295711">
        <w:rPr>
          <w:rFonts w:cstheme="minorHAnsi"/>
        </w:rPr>
        <w:tab/>
        <w:t xml:space="preserve">Ing. Petra Cuřínová, vedoucí oddělení statistiky stavebnictví a bytové výstavby, tel.: 737280494, e-mail: </w:t>
      </w:r>
      <w:hyperlink r:id="rId12" w:history="1">
        <w:r w:rsidRPr="00295711">
          <w:rPr>
            <w:rStyle w:val="Hypertextovodkaz"/>
            <w:rFonts w:cstheme="minorHAnsi"/>
          </w:rPr>
          <w:t>petra.curinova@csu.gov.cz</w:t>
        </w:r>
      </w:hyperlink>
      <w:r w:rsidRPr="00295711">
        <w:rPr>
          <w:rFonts w:cstheme="minorHAnsi"/>
        </w:rPr>
        <w:t xml:space="preserve">  </w:t>
      </w:r>
    </w:p>
    <w:p w14:paraId="7FD568FC" w14:textId="77777777" w:rsidR="00531326" w:rsidRPr="00295711" w:rsidRDefault="00531326" w:rsidP="00531326">
      <w:pPr>
        <w:pStyle w:val="Poznmky"/>
        <w:pBdr>
          <w:top w:val="none" w:sz="0" w:space="0" w:color="auto"/>
        </w:pBdr>
        <w:spacing w:line="240" w:lineRule="auto"/>
        <w:ind w:left="2694" w:hanging="2694"/>
        <w:jc w:val="both"/>
        <w:rPr>
          <w:rFonts w:cstheme="minorHAnsi"/>
        </w:rPr>
      </w:pPr>
      <w:r w:rsidRPr="00295711">
        <w:rPr>
          <w:rFonts w:cstheme="minorHAnsi"/>
        </w:rPr>
        <w:t>Navazující výstupy:</w:t>
      </w:r>
      <w:r w:rsidRPr="00295711">
        <w:rPr>
          <w:rFonts w:cstheme="minorHAnsi"/>
        </w:rPr>
        <w:tab/>
      </w:r>
      <w:hyperlink r:id="rId13" w:history="1">
        <w:r w:rsidRPr="00295711">
          <w:rPr>
            <w:rStyle w:val="Hypertextovodkaz"/>
            <w:rFonts w:cstheme="minorHAnsi"/>
          </w:rPr>
          <w:t>https://data.csu.gov.cz/datastat/dash?aPolozka=STAV01</w:t>
        </w:r>
      </w:hyperlink>
    </w:p>
    <w:p w14:paraId="3929824F" w14:textId="77777777" w:rsidR="00531326" w:rsidRPr="00295711" w:rsidRDefault="00531326" w:rsidP="00531326">
      <w:pPr>
        <w:pStyle w:val="Poznmky"/>
        <w:pBdr>
          <w:top w:val="none" w:sz="0" w:space="0" w:color="auto"/>
        </w:pBdr>
        <w:spacing w:line="240" w:lineRule="auto"/>
        <w:ind w:left="2694"/>
        <w:jc w:val="both"/>
        <w:rPr>
          <w:rFonts w:cstheme="minorHAnsi"/>
        </w:rPr>
      </w:pPr>
      <w:hyperlink r:id="rId14" w:history="1">
        <w:r w:rsidRPr="00295711">
          <w:rPr>
            <w:rStyle w:val="Hypertextovodkaz"/>
            <w:rFonts w:cstheme="minorHAnsi"/>
            <w:iCs/>
          </w:rPr>
          <w:t>https://data.csu.gov.cz/datastat/dash?aPolozka=STAV02</w:t>
        </w:r>
      </w:hyperlink>
      <w:r w:rsidRPr="00295711">
        <w:rPr>
          <w:rFonts w:cstheme="minorHAnsi"/>
        </w:rPr>
        <w:t xml:space="preserve"> </w:t>
      </w:r>
      <w:hyperlink r:id="rId15" w:history="1">
        <w:r w:rsidRPr="00295711">
          <w:rPr>
            <w:rStyle w:val="Hypertextovodkaz"/>
            <w:rFonts w:cstheme="minorHAnsi"/>
            <w:iCs/>
          </w:rPr>
          <w:t>https://data.csu.gov.cz/datastat/dash?aPolozka=STAV03</w:t>
        </w:r>
      </w:hyperlink>
    </w:p>
    <w:p w14:paraId="0878E6CC" w14:textId="77777777" w:rsidR="00531326" w:rsidRPr="00295711" w:rsidRDefault="00531326" w:rsidP="00531326">
      <w:pPr>
        <w:pStyle w:val="Poznmky"/>
        <w:pBdr>
          <w:top w:val="none" w:sz="0" w:space="0" w:color="auto"/>
        </w:pBdr>
        <w:spacing w:line="247" w:lineRule="auto"/>
        <w:ind w:left="2694" w:hanging="2694"/>
        <w:jc w:val="both"/>
        <w:rPr>
          <w:rFonts w:cstheme="minorHAnsi"/>
        </w:rPr>
      </w:pPr>
      <w:r w:rsidRPr="00295711">
        <w:rPr>
          <w:rFonts w:cstheme="minorHAnsi"/>
        </w:rPr>
        <w:tab/>
        <w:t xml:space="preserve">mezinárodní srovnání v zemích EU: </w:t>
      </w:r>
      <w:hyperlink r:id="rId16" w:history="1">
        <w:r w:rsidRPr="00295711">
          <w:rPr>
            <w:rStyle w:val="Hypertextovodkaz"/>
            <w:rFonts w:cstheme="minorHAnsi"/>
          </w:rPr>
          <w:t>Eurostat</w:t>
        </w:r>
      </w:hyperlink>
    </w:p>
    <w:p w14:paraId="213AC846" w14:textId="77777777" w:rsidR="00531326" w:rsidRPr="00D259CB" w:rsidRDefault="00531326" w:rsidP="00531326">
      <w:pPr>
        <w:pStyle w:val="Nadpis2"/>
      </w:pPr>
    </w:p>
    <w:p w14:paraId="1B637BD3" w14:textId="77777777" w:rsidR="00531326" w:rsidRPr="00531326" w:rsidRDefault="00531326" w:rsidP="00531326"/>
    <w:sectPr w:rsidR="00531326" w:rsidRPr="00531326" w:rsidSect="00BE2E0B">
      <w:headerReference w:type="default" r:id="rId17"/>
      <w:footerReference w:type="default" r:id="rId18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DD525" w14:textId="77777777" w:rsidR="00D3454F" w:rsidRDefault="00D3454F" w:rsidP="004A01A7">
      <w:pPr>
        <w:spacing w:after="0" w:line="240" w:lineRule="auto"/>
      </w:pPr>
      <w:r>
        <w:separator/>
      </w:r>
    </w:p>
  </w:endnote>
  <w:endnote w:type="continuationSeparator" w:id="0">
    <w:p w14:paraId="61B418D4" w14:textId="77777777" w:rsidR="00D3454F" w:rsidRDefault="00D3454F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04F0" w14:textId="77777777" w:rsidR="006A57CC" w:rsidRDefault="006A57CC" w:rsidP="00F21B6A">
    <w:pPr>
      <w:pStyle w:val="Zpat"/>
    </w:pPr>
    <w:r w:rsidRPr="006A57CC">
      <w:t>Český statistický úřad</w:t>
    </w:r>
  </w:p>
  <w:p w14:paraId="20CF34C5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8282B47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48112819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71DB8" w14:textId="77777777" w:rsidR="00D3454F" w:rsidRDefault="00D3454F" w:rsidP="004A01A7">
      <w:pPr>
        <w:spacing w:after="0" w:line="240" w:lineRule="auto"/>
      </w:pPr>
    </w:p>
  </w:footnote>
  <w:footnote w:type="continuationSeparator" w:id="0">
    <w:p w14:paraId="7A71D33A" w14:textId="77777777" w:rsidR="00D3454F" w:rsidRDefault="00D3454F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7234D9D2" w14:textId="77777777" w:rsidTr="00F21B6A">
      <w:trPr>
        <w:jc w:val="right"/>
      </w:trPr>
      <w:tc>
        <w:tcPr>
          <w:tcW w:w="4253" w:type="dxa"/>
        </w:tcPr>
        <w:p w14:paraId="30095CAB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70954BFD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B97"/>
    <w:rsid w:val="000106FE"/>
    <w:rsid w:val="000120B4"/>
    <w:rsid w:val="00021B9A"/>
    <w:rsid w:val="0002560E"/>
    <w:rsid w:val="00032CCE"/>
    <w:rsid w:val="00035F16"/>
    <w:rsid w:val="00036DBD"/>
    <w:rsid w:val="00043335"/>
    <w:rsid w:val="00054392"/>
    <w:rsid w:val="0005510C"/>
    <w:rsid w:val="00062565"/>
    <w:rsid w:val="0006424C"/>
    <w:rsid w:val="00070445"/>
    <w:rsid w:val="00071F0F"/>
    <w:rsid w:val="00073994"/>
    <w:rsid w:val="00083A55"/>
    <w:rsid w:val="00085436"/>
    <w:rsid w:val="000968A9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149C4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85EBE"/>
    <w:rsid w:val="001909FA"/>
    <w:rsid w:val="0019514E"/>
    <w:rsid w:val="001D52C5"/>
    <w:rsid w:val="001D719A"/>
    <w:rsid w:val="001E0520"/>
    <w:rsid w:val="001E1B82"/>
    <w:rsid w:val="001E417F"/>
    <w:rsid w:val="001E513B"/>
    <w:rsid w:val="001E691A"/>
    <w:rsid w:val="001F493F"/>
    <w:rsid w:val="002000F6"/>
    <w:rsid w:val="00200551"/>
    <w:rsid w:val="002013B0"/>
    <w:rsid w:val="00201DE0"/>
    <w:rsid w:val="0020716F"/>
    <w:rsid w:val="00216463"/>
    <w:rsid w:val="00220E8C"/>
    <w:rsid w:val="00222610"/>
    <w:rsid w:val="002234D1"/>
    <w:rsid w:val="002363CA"/>
    <w:rsid w:val="00244D63"/>
    <w:rsid w:val="0024676C"/>
    <w:rsid w:val="00260DCA"/>
    <w:rsid w:val="00264285"/>
    <w:rsid w:val="00275B42"/>
    <w:rsid w:val="00280346"/>
    <w:rsid w:val="00280D21"/>
    <w:rsid w:val="0028101B"/>
    <w:rsid w:val="002826B4"/>
    <w:rsid w:val="00293F29"/>
    <w:rsid w:val="00297C33"/>
    <w:rsid w:val="002A4B65"/>
    <w:rsid w:val="002C4C20"/>
    <w:rsid w:val="002D11B9"/>
    <w:rsid w:val="002D796B"/>
    <w:rsid w:val="002F2797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1E9A"/>
    <w:rsid w:val="003534DF"/>
    <w:rsid w:val="003540FA"/>
    <w:rsid w:val="00356332"/>
    <w:rsid w:val="00363815"/>
    <w:rsid w:val="003654CD"/>
    <w:rsid w:val="00370110"/>
    <w:rsid w:val="00372598"/>
    <w:rsid w:val="00392F53"/>
    <w:rsid w:val="00393EC0"/>
    <w:rsid w:val="003A2A49"/>
    <w:rsid w:val="003A3966"/>
    <w:rsid w:val="003A7E6A"/>
    <w:rsid w:val="003C027F"/>
    <w:rsid w:val="003C3F6A"/>
    <w:rsid w:val="003D2BE1"/>
    <w:rsid w:val="003D639F"/>
    <w:rsid w:val="003E0572"/>
    <w:rsid w:val="003E0A9C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DC7"/>
    <w:rsid w:val="004559A2"/>
    <w:rsid w:val="004573FA"/>
    <w:rsid w:val="004607B2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7DCA"/>
    <w:rsid w:val="004E7E0E"/>
    <w:rsid w:val="004F5C67"/>
    <w:rsid w:val="00500A63"/>
    <w:rsid w:val="00515106"/>
    <w:rsid w:val="00521746"/>
    <w:rsid w:val="0053132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67AE4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7042F"/>
    <w:rsid w:val="006840F9"/>
    <w:rsid w:val="00685AAF"/>
    <w:rsid w:val="006950C1"/>
    <w:rsid w:val="0069631F"/>
    <w:rsid w:val="006A4940"/>
    <w:rsid w:val="006A57CC"/>
    <w:rsid w:val="006B38FB"/>
    <w:rsid w:val="006C0860"/>
    <w:rsid w:val="006E7273"/>
    <w:rsid w:val="006F4755"/>
    <w:rsid w:val="006F51DB"/>
    <w:rsid w:val="00702BED"/>
    <w:rsid w:val="007049E6"/>
    <w:rsid w:val="00713213"/>
    <w:rsid w:val="007132E8"/>
    <w:rsid w:val="007141CA"/>
    <w:rsid w:val="0071455E"/>
    <w:rsid w:val="00716F0E"/>
    <w:rsid w:val="00724E67"/>
    <w:rsid w:val="0073040F"/>
    <w:rsid w:val="007315FE"/>
    <w:rsid w:val="00733BAF"/>
    <w:rsid w:val="007371E0"/>
    <w:rsid w:val="007647FC"/>
    <w:rsid w:val="00765263"/>
    <w:rsid w:val="00773B0B"/>
    <w:rsid w:val="00787190"/>
    <w:rsid w:val="007B3B77"/>
    <w:rsid w:val="007C3C43"/>
    <w:rsid w:val="007D6A0E"/>
    <w:rsid w:val="007D6F07"/>
    <w:rsid w:val="007E5D09"/>
    <w:rsid w:val="007F78B0"/>
    <w:rsid w:val="00801CDD"/>
    <w:rsid w:val="00811964"/>
    <w:rsid w:val="008340C9"/>
    <w:rsid w:val="00834A49"/>
    <w:rsid w:val="00837E45"/>
    <w:rsid w:val="0084277E"/>
    <w:rsid w:val="00851074"/>
    <w:rsid w:val="008541DA"/>
    <w:rsid w:val="00870D3E"/>
    <w:rsid w:val="00877CF1"/>
    <w:rsid w:val="00881BA3"/>
    <w:rsid w:val="00884306"/>
    <w:rsid w:val="008A4895"/>
    <w:rsid w:val="008B0E87"/>
    <w:rsid w:val="008B5737"/>
    <w:rsid w:val="008C4A49"/>
    <w:rsid w:val="008C591F"/>
    <w:rsid w:val="008D405D"/>
    <w:rsid w:val="008D5575"/>
    <w:rsid w:val="008E29B9"/>
    <w:rsid w:val="008F125B"/>
    <w:rsid w:val="008F533C"/>
    <w:rsid w:val="008F6DD0"/>
    <w:rsid w:val="009149E6"/>
    <w:rsid w:val="00916E60"/>
    <w:rsid w:val="00917C90"/>
    <w:rsid w:val="009307A1"/>
    <w:rsid w:val="00945FB9"/>
    <w:rsid w:val="009475A7"/>
    <w:rsid w:val="00951930"/>
    <w:rsid w:val="009610E2"/>
    <w:rsid w:val="0096469E"/>
    <w:rsid w:val="0097303D"/>
    <w:rsid w:val="00983393"/>
    <w:rsid w:val="00984352"/>
    <w:rsid w:val="00985819"/>
    <w:rsid w:val="00985E6B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9F599C"/>
    <w:rsid w:val="00A15A28"/>
    <w:rsid w:val="00A274A1"/>
    <w:rsid w:val="00A323F0"/>
    <w:rsid w:val="00A3283F"/>
    <w:rsid w:val="00A47859"/>
    <w:rsid w:val="00A55A71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19B2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144B6"/>
    <w:rsid w:val="00B2195A"/>
    <w:rsid w:val="00B259D4"/>
    <w:rsid w:val="00B31BB1"/>
    <w:rsid w:val="00B40D87"/>
    <w:rsid w:val="00B43D9B"/>
    <w:rsid w:val="00B47092"/>
    <w:rsid w:val="00B51C8F"/>
    <w:rsid w:val="00B602D0"/>
    <w:rsid w:val="00B62344"/>
    <w:rsid w:val="00B70022"/>
    <w:rsid w:val="00B7165F"/>
    <w:rsid w:val="00B733E5"/>
    <w:rsid w:val="00B73870"/>
    <w:rsid w:val="00B759AD"/>
    <w:rsid w:val="00B84D39"/>
    <w:rsid w:val="00B8724F"/>
    <w:rsid w:val="00B90BD8"/>
    <w:rsid w:val="00B91BB2"/>
    <w:rsid w:val="00B96F18"/>
    <w:rsid w:val="00BA4DEA"/>
    <w:rsid w:val="00BA64C3"/>
    <w:rsid w:val="00BA6934"/>
    <w:rsid w:val="00BB2466"/>
    <w:rsid w:val="00BB2B9A"/>
    <w:rsid w:val="00BB6195"/>
    <w:rsid w:val="00BB6635"/>
    <w:rsid w:val="00BB77C7"/>
    <w:rsid w:val="00BC0651"/>
    <w:rsid w:val="00BC23FF"/>
    <w:rsid w:val="00BC5C99"/>
    <w:rsid w:val="00BD099F"/>
    <w:rsid w:val="00BD27B2"/>
    <w:rsid w:val="00BD380F"/>
    <w:rsid w:val="00BE2E0B"/>
    <w:rsid w:val="00BE3BE4"/>
    <w:rsid w:val="00BE5550"/>
    <w:rsid w:val="00BF58C9"/>
    <w:rsid w:val="00C044C1"/>
    <w:rsid w:val="00C063DD"/>
    <w:rsid w:val="00C12B28"/>
    <w:rsid w:val="00C15C5E"/>
    <w:rsid w:val="00C206E5"/>
    <w:rsid w:val="00C21594"/>
    <w:rsid w:val="00C240F6"/>
    <w:rsid w:val="00C27B17"/>
    <w:rsid w:val="00C30639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A2564"/>
    <w:rsid w:val="00CA3ABB"/>
    <w:rsid w:val="00CB1B52"/>
    <w:rsid w:val="00CB1E4F"/>
    <w:rsid w:val="00CB5768"/>
    <w:rsid w:val="00CB6B2A"/>
    <w:rsid w:val="00CC0409"/>
    <w:rsid w:val="00CC1F95"/>
    <w:rsid w:val="00CC309B"/>
    <w:rsid w:val="00CC35A2"/>
    <w:rsid w:val="00CC5B97"/>
    <w:rsid w:val="00CC7927"/>
    <w:rsid w:val="00CD0856"/>
    <w:rsid w:val="00CD784B"/>
    <w:rsid w:val="00CE0BC6"/>
    <w:rsid w:val="00CE45BE"/>
    <w:rsid w:val="00CE6555"/>
    <w:rsid w:val="00CF6697"/>
    <w:rsid w:val="00D066AA"/>
    <w:rsid w:val="00D12AC4"/>
    <w:rsid w:val="00D15B3B"/>
    <w:rsid w:val="00D15D2F"/>
    <w:rsid w:val="00D20AC3"/>
    <w:rsid w:val="00D21244"/>
    <w:rsid w:val="00D3454F"/>
    <w:rsid w:val="00D50FAD"/>
    <w:rsid w:val="00D63056"/>
    <w:rsid w:val="00D70040"/>
    <w:rsid w:val="00D7143F"/>
    <w:rsid w:val="00DA10DB"/>
    <w:rsid w:val="00DD3D93"/>
    <w:rsid w:val="00DD4E3E"/>
    <w:rsid w:val="00DD6689"/>
    <w:rsid w:val="00DD7F0D"/>
    <w:rsid w:val="00DF3F66"/>
    <w:rsid w:val="00E12747"/>
    <w:rsid w:val="00E14659"/>
    <w:rsid w:val="00E24FEA"/>
    <w:rsid w:val="00E34849"/>
    <w:rsid w:val="00E414DB"/>
    <w:rsid w:val="00E456D4"/>
    <w:rsid w:val="00E47767"/>
    <w:rsid w:val="00E54F30"/>
    <w:rsid w:val="00E62893"/>
    <w:rsid w:val="00E67257"/>
    <w:rsid w:val="00E704CC"/>
    <w:rsid w:val="00E721D1"/>
    <w:rsid w:val="00E72CDB"/>
    <w:rsid w:val="00E825EC"/>
    <w:rsid w:val="00E86CB2"/>
    <w:rsid w:val="00E8736C"/>
    <w:rsid w:val="00E9571D"/>
    <w:rsid w:val="00E97FB6"/>
    <w:rsid w:val="00EB5DA8"/>
    <w:rsid w:val="00EB6FA7"/>
    <w:rsid w:val="00EC2292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30E1E"/>
    <w:rsid w:val="00F34410"/>
    <w:rsid w:val="00F51E64"/>
    <w:rsid w:val="00F562EF"/>
    <w:rsid w:val="00F668A6"/>
    <w:rsid w:val="00F70F49"/>
    <w:rsid w:val="00F837DE"/>
    <w:rsid w:val="00F84277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40DD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32947C"/>
  <w15:chartTrackingRefBased/>
  <w15:docId w15:val="{9B0873D0-4618-4DCB-AD73-C2D535DD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531326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ata.csu.gov.cz/datastat/dash?aPolozka=STAV01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petra.curinova@csu.gov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eurostat/web/short-term-business-statistics/publication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stavebnictvi_metodika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STAV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csu.gov.cz/datastat/dash?aPolozka=STAV0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cirkova33306\Downloads\Form_c463_Rychla%20informace_CZ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C05D1EB91874125B9144B96B123611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89C3CE-73B1-4F29-A431-670B1C0377A0}"/>
      </w:docPartPr>
      <w:docPartBody>
        <w:p w:rsidR="00B154F1" w:rsidRDefault="00B154F1">
          <w:pPr>
            <w:pStyle w:val="0C05D1EB91874125B9144B96B1236119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F1"/>
    <w:rsid w:val="00036DBD"/>
    <w:rsid w:val="00073994"/>
    <w:rsid w:val="00130CE7"/>
    <w:rsid w:val="002A4B65"/>
    <w:rsid w:val="003B5864"/>
    <w:rsid w:val="005332F0"/>
    <w:rsid w:val="006B30DC"/>
    <w:rsid w:val="00733BAF"/>
    <w:rsid w:val="00814B1C"/>
    <w:rsid w:val="0085231A"/>
    <w:rsid w:val="008A04EE"/>
    <w:rsid w:val="008B5737"/>
    <w:rsid w:val="008C591F"/>
    <w:rsid w:val="008E29B9"/>
    <w:rsid w:val="00906E41"/>
    <w:rsid w:val="00A737E0"/>
    <w:rsid w:val="00B154F1"/>
    <w:rsid w:val="00B73870"/>
    <w:rsid w:val="00B84D39"/>
    <w:rsid w:val="00BD380F"/>
    <w:rsid w:val="00BE194A"/>
    <w:rsid w:val="00CD11E8"/>
    <w:rsid w:val="00D629A6"/>
    <w:rsid w:val="00E54F30"/>
    <w:rsid w:val="00F51E64"/>
    <w:rsid w:val="00FE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0C05D1EB91874125B9144B96B1236119">
    <w:name w:val="0C05D1EB91874125B9144B96B12361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25BBB-6175-4C6D-8145-2580E3414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a4aca-455c-4012-a902-4d97d6c174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 (1).dotx</Template>
  <TotalTime>128</TotalTime>
  <Pages>2</Pages>
  <Words>626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Kačírková Petra</dc:creator>
  <cp:keywords/>
  <dc:description/>
  <cp:lastModifiedBy>Cuřínová Petra</cp:lastModifiedBy>
  <cp:revision>9</cp:revision>
  <dcterms:created xsi:type="dcterms:W3CDTF">2026-11-03T07:03:00Z</dcterms:created>
  <dcterms:modified xsi:type="dcterms:W3CDTF">2026-11-05T08:25:00Z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