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10A8A" w14:textId="57AA496E" w:rsidR="00C20C8C" w:rsidRPr="00A129D5" w:rsidRDefault="00237F91" w:rsidP="00C20C8C">
      <w:pPr>
        <w:pStyle w:val="datum0"/>
        <w:spacing w:line="276" w:lineRule="auto"/>
        <w:rPr>
          <w:lang w:val="en-GB"/>
        </w:rPr>
      </w:pPr>
      <w:r w:rsidRPr="00A129D5">
        <w:rPr>
          <w:lang w:val="en-GB"/>
        </w:rPr>
        <w:t>6 February 2023</w:t>
      </w:r>
    </w:p>
    <w:p w14:paraId="385E2241" w14:textId="1E05BDF4" w:rsidR="00C20C8C" w:rsidRPr="00A129D5" w:rsidRDefault="00DF62B8" w:rsidP="00C20C8C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A129D5">
        <w:rPr>
          <w:color w:val="BD1B21"/>
          <w:sz w:val="32"/>
          <w:szCs w:val="32"/>
        </w:rPr>
        <w:t xml:space="preserve">Construction output in </w:t>
      </w:r>
      <w:r w:rsidR="00AD378C" w:rsidRPr="00A129D5">
        <w:rPr>
          <w:color w:val="BD1B21"/>
          <w:sz w:val="32"/>
          <w:szCs w:val="32"/>
        </w:rPr>
        <w:t>2022</w:t>
      </w:r>
      <w:r w:rsidR="00C20C8C" w:rsidRPr="00A129D5">
        <w:rPr>
          <w:color w:val="BD1B21"/>
          <w:sz w:val="32"/>
          <w:szCs w:val="32"/>
        </w:rPr>
        <w:t xml:space="preserve"> </w:t>
      </w:r>
      <w:r w:rsidR="00566B18" w:rsidRPr="00A129D5">
        <w:rPr>
          <w:color w:val="BD1B21"/>
          <w:sz w:val="32"/>
          <w:szCs w:val="32"/>
        </w:rPr>
        <w:t xml:space="preserve">increased by </w:t>
      </w:r>
      <w:r w:rsidR="00AD378C" w:rsidRPr="00A129D5">
        <w:rPr>
          <w:color w:val="BD1B21"/>
          <w:sz w:val="32"/>
          <w:szCs w:val="32"/>
        </w:rPr>
        <w:t>1</w:t>
      </w:r>
      <w:r w:rsidRPr="00A129D5">
        <w:rPr>
          <w:color w:val="BD1B21"/>
          <w:sz w:val="32"/>
          <w:szCs w:val="32"/>
        </w:rPr>
        <w:t>.</w:t>
      </w:r>
      <w:r w:rsidR="00AD378C" w:rsidRPr="00A129D5">
        <w:rPr>
          <w:color w:val="BD1B21"/>
          <w:sz w:val="32"/>
          <w:szCs w:val="32"/>
        </w:rPr>
        <w:t>9</w:t>
      </w:r>
      <w:r w:rsidR="00C20C8C" w:rsidRPr="00A129D5">
        <w:rPr>
          <w:color w:val="BD1B21"/>
          <w:sz w:val="32"/>
          <w:szCs w:val="32"/>
        </w:rPr>
        <w:t xml:space="preserve">% </w:t>
      </w:r>
    </w:p>
    <w:p w14:paraId="0E54F474" w14:textId="5BB0AE1A" w:rsidR="00C20C8C" w:rsidRPr="00A129D5" w:rsidRDefault="00DF62B8" w:rsidP="00C20C8C">
      <w:pPr>
        <w:pStyle w:val="Podtitulek"/>
      </w:pPr>
      <w:r w:rsidRPr="00A129D5">
        <w:t xml:space="preserve">Supplementary information to the News Release on Construction </w:t>
      </w:r>
      <w:r w:rsidR="00C20C8C" w:rsidRPr="00A129D5">
        <w:t xml:space="preserve">– </w:t>
      </w:r>
      <w:r w:rsidR="00AD378C" w:rsidRPr="00A129D5">
        <w:t>December</w:t>
      </w:r>
      <w:r w:rsidR="00C20C8C" w:rsidRPr="00A129D5">
        <w:t xml:space="preserve"> 2022</w:t>
      </w:r>
    </w:p>
    <w:p w14:paraId="2E5B7719" w14:textId="3AEA1A9F" w:rsidR="00F80DAA" w:rsidRPr="00A129D5" w:rsidRDefault="00A160F0" w:rsidP="00F80DAA">
      <w:pPr>
        <w:rPr>
          <w:rFonts w:cs="Arial"/>
          <w:szCs w:val="20"/>
          <w:lang w:val="en-GB"/>
        </w:rPr>
      </w:pPr>
      <w:r w:rsidRPr="00A129D5">
        <w:rPr>
          <w:rFonts w:cs="Arial"/>
          <w:lang w:val="en-GB"/>
        </w:rPr>
        <w:t xml:space="preserve">Construction output </w:t>
      </w:r>
      <w:r w:rsidR="00066897" w:rsidRPr="00A129D5">
        <w:rPr>
          <w:rFonts w:cs="Arial"/>
          <w:lang w:val="en-GB"/>
        </w:rPr>
        <w:t xml:space="preserve">in </w:t>
      </w:r>
      <w:r w:rsidR="007C358E" w:rsidRPr="00A129D5">
        <w:rPr>
          <w:rFonts w:cs="Arial"/>
          <w:lang w:val="en-GB"/>
        </w:rPr>
        <w:t xml:space="preserve">2022 </w:t>
      </w:r>
      <w:r w:rsidR="00BD0A7A" w:rsidRPr="00A129D5">
        <w:rPr>
          <w:rFonts w:cs="Arial"/>
          <w:lang w:val="en-GB"/>
        </w:rPr>
        <w:t xml:space="preserve">was by </w:t>
      </w:r>
      <w:r w:rsidR="00EF66CA" w:rsidRPr="00A129D5">
        <w:rPr>
          <w:rFonts w:cs="Arial"/>
          <w:lang w:val="en-GB"/>
        </w:rPr>
        <w:t>1</w:t>
      </w:r>
      <w:r w:rsidR="00BD0A7A" w:rsidRPr="00A129D5">
        <w:rPr>
          <w:rFonts w:cs="Arial"/>
          <w:lang w:val="en-GB"/>
        </w:rPr>
        <w:t>.</w:t>
      </w:r>
      <w:r w:rsidR="00EF66CA" w:rsidRPr="00A129D5">
        <w:rPr>
          <w:rFonts w:cs="Arial"/>
          <w:lang w:val="en-GB"/>
        </w:rPr>
        <w:t>9</w:t>
      </w:r>
      <w:r w:rsidR="00066897" w:rsidRPr="00A129D5">
        <w:rPr>
          <w:rFonts w:cs="Arial"/>
          <w:lang w:val="en-GB"/>
        </w:rPr>
        <w:t>%</w:t>
      </w:r>
      <w:r w:rsidR="00CD0828" w:rsidRPr="00CD0828">
        <w:rPr>
          <w:rFonts w:cs="Arial"/>
          <w:lang w:val="en-GB"/>
        </w:rPr>
        <w:t xml:space="preserve"> </w:t>
      </w:r>
      <w:r w:rsidR="00CD0828" w:rsidRPr="00A129D5">
        <w:rPr>
          <w:rFonts w:cs="Arial"/>
          <w:lang w:val="en-GB"/>
        </w:rPr>
        <w:t>higher</w:t>
      </w:r>
      <w:r w:rsidR="00066897" w:rsidRPr="00A129D5">
        <w:rPr>
          <w:rFonts w:cs="Arial"/>
          <w:lang w:val="en-GB"/>
        </w:rPr>
        <w:t>, year-on-year, and</w:t>
      </w:r>
      <w:r w:rsidR="006670D8" w:rsidRPr="00A129D5">
        <w:rPr>
          <w:rFonts w:cs="Arial"/>
          <w:lang w:val="en-GB"/>
        </w:rPr>
        <w:t xml:space="preserve"> </w:t>
      </w:r>
      <w:r w:rsidR="00066897" w:rsidRPr="00A129D5">
        <w:rPr>
          <w:rFonts w:cs="Arial"/>
          <w:lang w:val="en-GB"/>
        </w:rPr>
        <w:t>the growth</w:t>
      </w:r>
      <w:r w:rsidR="006670D8" w:rsidRPr="00A129D5">
        <w:rPr>
          <w:rFonts w:cs="Arial"/>
          <w:lang w:val="en-GB"/>
        </w:rPr>
        <w:t xml:space="preserve"> was contributed to by both the </w:t>
      </w:r>
      <w:r w:rsidR="006670D8" w:rsidRPr="00A129D5">
        <w:rPr>
          <w:lang w:val="en-GB"/>
        </w:rPr>
        <w:t xml:space="preserve">building construction and </w:t>
      </w:r>
      <w:r w:rsidR="002802A5" w:rsidRPr="00A129D5">
        <w:rPr>
          <w:lang w:val="en-GB"/>
        </w:rPr>
        <w:t xml:space="preserve">the </w:t>
      </w:r>
      <w:r w:rsidR="006670D8" w:rsidRPr="00A129D5">
        <w:rPr>
          <w:bCs/>
          <w:lang w:val="en-GB"/>
        </w:rPr>
        <w:t>civil engineering construction.</w:t>
      </w:r>
      <w:r w:rsidR="009450D4" w:rsidRPr="00A129D5">
        <w:rPr>
          <w:bCs/>
          <w:lang w:val="en-GB"/>
        </w:rPr>
        <w:t xml:space="preserve"> </w:t>
      </w:r>
      <w:r w:rsidR="009450D4" w:rsidRPr="00A129D5">
        <w:rPr>
          <w:rFonts w:cs="Arial"/>
          <w:szCs w:val="20"/>
          <w:lang w:val="en-GB"/>
        </w:rPr>
        <w:t>P</w:t>
      </w:r>
      <w:r w:rsidR="009450D4" w:rsidRPr="00A129D5">
        <w:rPr>
          <w:lang w:val="en-GB"/>
        </w:rPr>
        <w:t>roduction in buil</w:t>
      </w:r>
      <w:r w:rsidR="00BD0A7A" w:rsidRPr="00A129D5">
        <w:rPr>
          <w:lang w:val="en-GB"/>
        </w:rPr>
        <w:t xml:space="preserve">ding construction increased by </w:t>
      </w:r>
      <w:r w:rsidR="00AA04C3" w:rsidRPr="00A129D5">
        <w:rPr>
          <w:lang w:val="en-GB"/>
        </w:rPr>
        <w:t>1.9</w:t>
      </w:r>
      <w:r w:rsidR="009450D4" w:rsidRPr="00A129D5">
        <w:rPr>
          <w:lang w:val="en-GB"/>
        </w:rPr>
        <w:t>% (contribution +</w:t>
      </w:r>
      <w:r w:rsidR="00AA04C3" w:rsidRPr="00A129D5">
        <w:rPr>
          <w:lang w:val="en-GB"/>
        </w:rPr>
        <w:t>1.3 </w:t>
      </w:r>
      <w:r w:rsidR="009450D4" w:rsidRPr="00A129D5">
        <w:rPr>
          <w:lang w:val="en-GB"/>
        </w:rPr>
        <w:t>percentage point (p. p.)), p</w:t>
      </w:r>
      <w:r w:rsidR="009450D4" w:rsidRPr="00A129D5">
        <w:rPr>
          <w:rFonts w:cs="Arial"/>
          <w:lang w:val="en-GB"/>
        </w:rPr>
        <w:t xml:space="preserve">roduction of </w:t>
      </w:r>
      <w:r w:rsidR="009450D4" w:rsidRPr="00A129D5">
        <w:rPr>
          <w:bCs/>
          <w:lang w:val="en-GB"/>
        </w:rPr>
        <w:t>civil engineering construction</w:t>
      </w:r>
      <w:r w:rsidR="00AA04C3" w:rsidRPr="00A129D5">
        <w:rPr>
          <w:lang w:val="en-GB"/>
        </w:rPr>
        <w:t xml:space="preserve"> increased by 1.9</w:t>
      </w:r>
      <w:r w:rsidR="00BD0A7A" w:rsidRPr="00A129D5">
        <w:rPr>
          <w:lang w:val="en-GB"/>
        </w:rPr>
        <w:t>%,</w:t>
      </w:r>
      <w:r w:rsidR="00AA04C3" w:rsidRPr="00A129D5">
        <w:rPr>
          <w:lang w:val="en-GB"/>
        </w:rPr>
        <w:t xml:space="preserve"> year-on-year (contribution +0.6</w:t>
      </w:r>
      <w:r w:rsidR="00BD0A7A" w:rsidRPr="00A129D5">
        <w:rPr>
          <w:lang w:val="en-GB"/>
        </w:rPr>
        <w:t> </w:t>
      </w:r>
      <w:r w:rsidR="009450D4" w:rsidRPr="00A129D5">
        <w:rPr>
          <w:lang w:val="en-GB"/>
        </w:rPr>
        <w:t xml:space="preserve">p. p.). </w:t>
      </w:r>
      <w:r w:rsidR="005D57AB" w:rsidRPr="00A129D5">
        <w:rPr>
          <w:lang w:val="en-GB"/>
        </w:rPr>
        <w:t xml:space="preserve">Production was growing </w:t>
      </w:r>
      <w:r w:rsidR="004D6610" w:rsidRPr="00A129D5">
        <w:rPr>
          <w:lang w:val="en-GB"/>
        </w:rPr>
        <w:t>the fastest in the Q1</w:t>
      </w:r>
      <w:r w:rsidR="005D57AB" w:rsidRPr="00A129D5">
        <w:rPr>
          <w:lang w:val="en-GB"/>
        </w:rPr>
        <w:t xml:space="preserve"> (+9.9%); a low comparison basis and favourable weather contributed to the good result.</w:t>
      </w:r>
      <w:r w:rsidR="003C398D" w:rsidRPr="00A129D5">
        <w:rPr>
          <w:lang w:val="en-GB"/>
        </w:rPr>
        <w:t xml:space="preserve"> The growth </w:t>
      </w:r>
      <w:r w:rsidR="00D801C1">
        <w:rPr>
          <w:lang w:val="en-GB"/>
        </w:rPr>
        <w:t>occurred</w:t>
      </w:r>
      <w:r w:rsidR="003C398D" w:rsidRPr="00A129D5">
        <w:rPr>
          <w:lang w:val="en-GB"/>
        </w:rPr>
        <w:t xml:space="preserve"> in both the segments; </w:t>
      </w:r>
      <w:r w:rsidR="003C398D" w:rsidRPr="00A129D5">
        <w:rPr>
          <w:bCs/>
          <w:lang w:val="en-GB"/>
        </w:rPr>
        <w:t>civil engineering construction was growing faster.</w:t>
      </w:r>
      <w:r w:rsidR="004D6610" w:rsidRPr="00A129D5">
        <w:rPr>
          <w:bCs/>
          <w:lang w:val="en-GB"/>
        </w:rPr>
        <w:t xml:space="preserve"> In the Q2</w:t>
      </w:r>
      <w:r w:rsidR="00AF3D28">
        <w:rPr>
          <w:bCs/>
          <w:lang w:val="en-GB"/>
        </w:rPr>
        <w:t>, production of</w:t>
      </w:r>
      <w:r w:rsidR="00DB4530" w:rsidRPr="00A129D5">
        <w:rPr>
          <w:bCs/>
          <w:lang w:val="en-GB"/>
        </w:rPr>
        <w:t xml:space="preserve"> civil engineering construction</w:t>
      </w:r>
      <w:r w:rsidR="00F27F6E" w:rsidRPr="00A129D5">
        <w:rPr>
          <w:bCs/>
          <w:lang w:val="en-GB"/>
        </w:rPr>
        <w:t xml:space="preserve"> was approximately on </w:t>
      </w:r>
      <w:r w:rsidR="00DB4530" w:rsidRPr="00A129D5">
        <w:rPr>
          <w:bCs/>
          <w:lang w:val="en-GB"/>
        </w:rPr>
        <w:t>the level of the previous year</w:t>
      </w:r>
      <w:r w:rsidR="00615045">
        <w:rPr>
          <w:bCs/>
          <w:lang w:val="en-GB"/>
        </w:rPr>
        <w:t xml:space="preserve"> and</w:t>
      </w:r>
      <w:r w:rsidR="00F27F6E" w:rsidRPr="00A129D5">
        <w:rPr>
          <w:bCs/>
          <w:lang w:val="en-GB"/>
        </w:rPr>
        <w:t xml:space="preserve"> the total production was kept in positive figures (+</w:t>
      </w:r>
      <w:r w:rsidR="00BA1AC7" w:rsidRPr="00A129D5">
        <w:rPr>
          <w:bCs/>
          <w:lang w:val="en-GB"/>
        </w:rPr>
        <w:t>4.4</w:t>
      </w:r>
      <w:r w:rsidR="00F27F6E" w:rsidRPr="00A129D5">
        <w:rPr>
          <w:bCs/>
          <w:lang w:val="en-GB"/>
        </w:rPr>
        <w:t xml:space="preserve">%) by </w:t>
      </w:r>
      <w:r w:rsidR="00DB4530" w:rsidRPr="00A129D5">
        <w:rPr>
          <w:lang w:val="en-GB"/>
        </w:rPr>
        <w:t>building construction</w:t>
      </w:r>
      <w:r w:rsidR="00F27F6E" w:rsidRPr="00A129D5">
        <w:rPr>
          <w:lang w:val="en-GB"/>
        </w:rPr>
        <w:t>.</w:t>
      </w:r>
      <w:r w:rsidR="00F434EF" w:rsidRPr="00A129D5">
        <w:rPr>
          <w:lang w:val="en-GB"/>
        </w:rPr>
        <w:t xml:space="preserve"> </w:t>
      </w:r>
      <w:r w:rsidR="00A640BD" w:rsidRPr="00A129D5">
        <w:rPr>
          <w:lang w:val="en-GB"/>
        </w:rPr>
        <w:t xml:space="preserve">The worst result was recorded </w:t>
      </w:r>
      <w:r w:rsidR="00A640BD" w:rsidRPr="00413CDC">
        <w:rPr>
          <w:lang w:val="en-GB"/>
        </w:rPr>
        <w:t xml:space="preserve">by construction </w:t>
      </w:r>
      <w:r w:rsidR="00413CDC" w:rsidRPr="00413CDC">
        <w:rPr>
          <w:lang w:val="en-GB"/>
        </w:rPr>
        <w:t>output</w:t>
      </w:r>
      <w:r w:rsidR="00A640BD" w:rsidRPr="00A129D5">
        <w:rPr>
          <w:lang w:val="en-GB"/>
        </w:rPr>
        <w:t xml:space="preserve"> in the Q3 (</w:t>
      </w:r>
      <w:r w:rsidR="00BA1AC7" w:rsidRPr="00A129D5">
        <w:rPr>
          <w:rFonts w:cs="Arial"/>
          <w:szCs w:val="20"/>
          <w:lang w:val="en-GB"/>
        </w:rPr>
        <w:t>-1.7</w:t>
      </w:r>
      <w:r w:rsidR="00A640BD" w:rsidRPr="00A129D5">
        <w:rPr>
          <w:rFonts w:cs="Arial"/>
          <w:szCs w:val="20"/>
          <w:lang w:val="en-GB"/>
        </w:rPr>
        <w:t>%), when both the segments decreased, year-on-year, by similar pace.</w:t>
      </w:r>
      <w:r w:rsidR="00BA1AC7" w:rsidRPr="00A129D5">
        <w:rPr>
          <w:rFonts w:cs="Arial"/>
          <w:szCs w:val="20"/>
          <w:lang w:val="en-GB"/>
        </w:rPr>
        <w:t xml:space="preserve"> </w:t>
      </w:r>
      <w:r w:rsidR="00794E5B" w:rsidRPr="00A129D5">
        <w:rPr>
          <w:rFonts w:cs="Arial"/>
          <w:szCs w:val="20"/>
          <w:lang w:val="en-GB"/>
        </w:rPr>
        <w:t xml:space="preserve">In the Q4, </w:t>
      </w:r>
      <w:r w:rsidR="00D62DF0">
        <w:rPr>
          <w:rFonts w:cs="Arial"/>
          <w:szCs w:val="20"/>
          <w:lang w:val="en-GB"/>
        </w:rPr>
        <w:t>the production stagnated and the</w:t>
      </w:r>
      <w:r w:rsidR="00794E5B" w:rsidRPr="00A129D5">
        <w:rPr>
          <w:rFonts w:cs="Arial"/>
          <w:szCs w:val="20"/>
          <w:lang w:val="en-GB"/>
        </w:rPr>
        <w:t xml:space="preserve"> decrease was </w:t>
      </w:r>
      <w:r w:rsidR="00D62DF0">
        <w:rPr>
          <w:rFonts w:cs="Arial"/>
          <w:szCs w:val="20"/>
          <w:lang w:val="en-GB"/>
        </w:rPr>
        <w:t>slowed down</w:t>
      </w:r>
      <w:r w:rsidR="00794E5B" w:rsidRPr="00A129D5">
        <w:rPr>
          <w:rFonts w:cs="Arial"/>
          <w:szCs w:val="20"/>
          <w:lang w:val="en-GB"/>
        </w:rPr>
        <w:t xml:space="preserve"> by </w:t>
      </w:r>
      <w:r w:rsidR="00794E5B" w:rsidRPr="00A129D5">
        <w:rPr>
          <w:bCs/>
          <w:lang w:val="en-GB"/>
        </w:rPr>
        <w:t xml:space="preserve">civil engineering construction </w:t>
      </w:r>
      <w:r w:rsidR="00794E5B" w:rsidRPr="00A129D5">
        <w:rPr>
          <w:rFonts w:cs="Arial"/>
          <w:szCs w:val="20"/>
          <w:lang w:val="en-GB"/>
        </w:rPr>
        <w:t>(+2.</w:t>
      </w:r>
      <w:r w:rsidR="00BA1AC7" w:rsidRPr="00A129D5">
        <w:rPr>
          <w:rFonts w:cs="Arial"/>
          <w:szCs w:val="20"/>
          <w:lang w:val="en-GB"/>
        </w:rPr>
        <w:t>0%).</w:t>
      </w:r>
      <w:r w:rsidR="00A640BD" w:rsidRPr="00A129D5">
        <w:rPr>
          <w:rFonts w:cs="Arial"/>
          <w:szCs w:val="20"/>
          <w:lang w:val="en-GB"/>
        </w:rPr>
        <w:t xml:space="preserve"> </w:t>
      </w:r>
    </w:p>
    <w:p w14:paraId="71555093" w14:textId="03AB333B" w:rsidR="008F40D4" w:rsidRPr="00A129D5" w:rsidRDefault="008F40D4" w:rsidP="00C20C8C">
      <w:pPr>
        <w:spacing w:before="120"/>
        <w:rPr>
          <w:lang w:val="en-GB"/>
        </w:rPr>
      </w:pPr>
      <w:r w:rsidRPr="00A129D5">
        <w:rPr>
          <w:rFonts w:cs="Arial"/>
          <w:lang w:val="en-GB"/>
        </w:rPr>
        <w:t>Cons</w:t>
      </w:r>
      <w:r w:rsidR="000A4631" w:rsidRPr="00A129D5">
        <w:rPr>
          <w:rFonts w:cs="Arial"/>
          <w:lang w:val="en-GB"/>
        </w:rPr>
        <w:t>truction enterprises with 50+ employees</w:t>
      </w:r>
      <w:r w:rsidR="0086231A" w:rsidRPr="00A129D5">
        <w:rPr>
          <w:rFonts w:cs="Arial"/>
          <w:lang w:val="en-GB"/>
        </w:rPr>
        <w:t xml:space="preserve"> concluded in the Czech Republic </w:t>
      </w:r>
      <w:r w:rsidR="00CD2BBD" w:rsidRPr="00A129D5">
        <w:rPr>
          <w:lang w:val="en-GB"/>
        </w:rPr>
        <w:t>78 850</w:t>
      </w:r>
      <w:r w:rsidR="0086231A" w:rsidRPr="00A129D5">
        <w:rPr>
          <w:rFonts w:cs="Arial"/>
          <w:lang w:val="en-GB"/>
        </w:rPr>
        <w:t xml:space="preserve"> construction orders in</w:t>
      </w:r>
      <w:r w:rsidR="00CD02D6" w:rsidRPr="00A129D5">
        <w:rPr>
          <w:rFonts w:cs="Arial"/>
          <w:lang w:val="en-GB"/>
        </w:rPr>
        <w:t> </w:t>
      </w:r>
      <w:r w:rsidR="007340D4">
        <w:rPr>
          <w:rFonts w:cs="Arial"/>
          <w:lang w:val="en-GB"/>
        </w:rPr>
        <w:t>2022 and</w:t>
      </w:r>
      <w:r w:rsidR="00A31A5B" w:rsidRPr="00A129D5">
        <w:rPr>
          <w:rFonts w:cs="Arial"/>
          <w:lang w:val="en-GB"/>
        </w:rPr>
        <w:t xml:space="preserve"> the number </w:t>
      </w:r>
      <w:r w:rsidR="00CD2BBD" w:rsidRPr="00A129D5">
        <w:rPr>
          <w:rFonts w:cs="Arial"/>
          <w:lang w:val="en-GB"/>
        </w:rPr>
        <w:t>remained unchanged</w:t>
      </w:r>
      <w:r w:rsidR="007340D4">
        <w:rPr>
          <w:rFonts w:cs="Arial"/>
          <w:lang w:val="en-GB"/>
        </w:rPr>
        <w:t>, year-on-year</w:t>
      </w:r>
      <w:r w:rsidR="00CD2BBD" w:rsidRPr="00A129D5">
        <w:rPr>
          <w:rFonts w:cs="Arial"/>
          <w:lang w:val="en-GB"/>
        </w:rPr>
        <w:t xml:space="preserve">. </w:t>
      </w:r>
      <w:r w:rsidR="0086231A" w:rsidRPr="00A129D5">
        <w:rPr>
          <w:rFonts w:cs="Arial"/>
          <w:lang w:val="en-GB"/>
        </w:rPr>
        <w:t>The total valu</w:t>
      </w:r>
      <w:r w:rsidR="00853688" w:rsidRPr="00A129D5">
        <w:rPr>
          <w:rFonts w:cs="Arial"/>
          <w:lang w:val="en-GB"/>
        </w:rPr>
        <w:t>e</w:t>
      </w:r>
      <w:r w:rsidR="00CD2BBD" w:rsidRPr="00A129D5">
        <w:rPr>
          <w:rFonts w:cs="Arial"/>
          <w:lang w:val="en-GB"/>
        </w:rPr>
        <w:t xml:space="preserve"> of these orders increased by 14.4</w:t>
      </w:r>
      <w:r w:rsidR="0086231A" w:rsidRPr="00A129D5">
        <w:rPr>
          <w:rFonts w:cs="Arial"/>
          <w:lang w:val="en-GB"/>
        </w:rPr>
        <w:t>%, year-on-year, and amounted to CZK</w:t>
      </w:r>
      <w:r w:rsidR="00CD2BBD" w:rsidRPr="00A129D5">
        <w:rPr>
          <w:rFonts w:cs="Arial"/>
          <w:lang w:val="en-GB"/>
        </w:rPr>
        <w:t> 331.9 </w:t>
      </w:r>
      <w:r w:rsidR="0086231A" w:rsidRPr="00A129D5">
        <w:rPr>
          <w:rFonts w:cs="Arial"/>
          <w:lang w:val="en-GB"/>
        </w:rPr>
        <w:t xml:space="preserve">billion at current prices. </w:t>
      </w:r>
      <w:r w:rsidR="00E54463" w:rsidRPr="00A129D5">
        <w:rPr>
          <w:rFonts w:cs="Arial"/>
          <w:lang w:val="en-GB"/>
        </w:rPr>
        <w:t xml:space="preserve">New construction orders in </w:t>
      </w:r>
      <w:r w:rsidR="00504266" w:rsidRPr="00A129D5">
        <w:rPr>
          <w:rFonts w:cs="Arial"/>
          <w:lang w:val="en-GB"/>
        </w:rPr>
        <w:t xml:space="preserve">the </w:t>
      </w:r>
      <w:r w:rsidR="00E54463" w:rsidRPr="00A129D5">
        <w:rPr>
          <w:lang w:val="en-GB"/>
        </w:rPr>
        <w:t xml:space="preserve">building </w:t>
      </w:r>
      <w:r w:rsidR="00E54463" w:rsidRPr="008F7C81">
        <w:rPr>
          <w:lang w:val="en-GB"/>
        </w:rPr>
        <w:t>construction reached</w:t>
      </w:r>
      <w:r w:rsidR="00E54463" w:rsidRPr="00A129D5">
        <w:rPr>
          <w:lang w:val="en-GB"/>
        </w:rPr>
        <w:t xml:space="preserve"> the value of CZK</w:t>
      </w:r>
      <w:r w:rsidR="00CD2BBD" w:rsidRPr="00A129D5">
        <w:rPr>
          <w:lang w:val="en-GB"/>
        </w:rPr>
        <w:t> 141</w:t>
      </w:r>
      <w:r w:rsidR="00885E87" w:rsidRPr="00A129D5">
        <w:rPr>
          <w:lang w:val="en-GB"/>
        </w:rPr>
        <w:t>.</w:t>
      </w:r>
      <w:r w:rsidR="00CD2BBD" w:rsidRPr="00A129D5">
        <w:rPr>
          <w:lang w:val="en-GB"/>
        </w:rPr>
        <w:t>8 billion and grew by 12.2</w:t>
      </w:r>
      <w:r w:rsidR="0085336C" w:rsidRPr="00A129D5">
        <w:rPr>
          <w:lang w:val="en-GB"/>
        </w:rPr>
        <w:t xml:space="preserve">%, year-on-year; </w:t>
      </w:r>
      <w:r w:rsidR="00504266" w:rsidRPr="00A129D5">
        <w:rPr>
          <w:lang w:val="en-GB"/>
        </w:rPr>
        <w:t xml:space="preserve">the </w:t>
      </w:r>
      <w:r w:rsidR="00E54463" w:rsidRPr="00A129D5">
        <w:rPr>
          <w:bCs/>
          <w:lang w:val="en-GB"/>
        </w:rPr>
        <w:t>civil engineering construction</w:t>
      </w:r>
      <w:r w:rsidR="002C03E0" w:rsidRPr="00A129D5">
        <w:rPr>
          <w:bCs/>
          <w:lang w:val="en-GB"/>
        </w:rPr>
        <w:t xml:space="preserve"> recorded a year-on-year in</w:t>
      </w:r>
      <w:r w:rsidR="00E54463" w:rsidRPr="00A129D5">
        <w:rPr>
          <w:bCs/>
          <w:lang w:val="en-GB"/>
        </w:rPr>
        <w:t>cr</w:t>
      </w:r>
      <w:r w:rsidR="002C03E0" w:rsidRPr="00A129D5">
        <w:rPr>
          <w:bCs/>
          <w:lang w:val="en-GB"/>
        </w:rPr>
        <w:t>e</w:t>
      </w:r>
      <w:r w:rsidR="00885E87" w:rsidRPr="00A129D5">
        <w:rPr>
          <w:bCs/>
          <w:lang w:val="en-GB"/>
        </w:rPr>
        <w:t>ase in the value of orders by</w:t>
      </w:r>
      <w:r w:rsidR="00CD2BBD" w:rsidRPr="00A129D5">
        <w:rPr>
          <w:bCs/>
          <w:lang w:val="en-GB"/>
        </w:rPr>
        <w:t xml:space="preserve"> 16.1</w:t>
      </w:r>
      <w:r w:rsidR="00E54463" w:rsidRPr="00A129D5">
        <w:rPr>
          <w:bCs/>
          <w:lang w:val="en-GB"/>
        </w:rPr>
        <w:t xml:space="preserve">% </w:t>
      </w:r>
      <w:r w:rsidR="002C03E0" w:rsidRPr="00A129D5">
        <w:rPr>
          <w:bCs/>
          <w:lang w:val="en-GB"/>
        </w:rPr>
        <w:t>to CZK</w:t>
      </w:r>
      <w:r w:rsidR="009D13F2" w:rsidRPr="00A129D5">
        <w:rPr>
          <w:bCs/>
          <w:lang w:val="en-GB"/>
        </w:rPr>
        <w:t> 190</w:t>
      </w:r>
      <w:r w:rsidR="00885E87" w:rsidRPr="00A129D5">
        <w:rPr>
          <w:bCs/>
          <w:lang w:val="en-GB"/>
        </w:rPr>
        <w:t>.2 </w:t>
      </w:r>
      <w:r w:rsidR="002C03E0" w:rsidRPr="00A129D5">
        <w:rPr>
          <w:bCs/>
          <w:lang w:val="en-GB"/>
        </w:rPr>
        <w:t>billion</w:t>
      </w:r>
      <w:r w:rsidR="00E54463" w:rsidRPr="00A129D5">
        <w:rPr>
          <w:bCs/>
          <w:lang w:val="en-GB"/>
        </w:rPr>
        <w:t>.</w:t>
      </w:r>
      <w:r w:rsidR="00CF3000" w:rsidRPr="00A129D5">
        <w:rPr>
          <w:bCs/>
          <w:lang w:val="en-GB"/>
        </w:rPr>
        <w:t xml:space="preserve"> </w:t>
      </w:r>
      <w:r w:rsidR="007E395D" w:rsidRPr="00A129D5">
        <w:rPr>
          <w:bCs/>
          <w:lang w:val="en-GB"/>
        </w:rPr>
        <w:t xml:space="preserve">Development in segments and quarters considerably differed. While the total growth of new orders was driven in the Q1 by </w:t>
      </w:r>
      <w:r w:rsidR="007E395D" w:rsidRPr="00A129D5">
        <w:rPr>
          <w:rFonts w:cs="Arial"/>
          <w:lang w:val="en-GB"/>
        </w:rPr>
        <w:t xml:space="preserve">the </w:t>
      </w:r>
      <w:r w:rsidR="007E395D" w:rsidRPr="00A129D5">
        <w:rPr>
          <w:lang w:val="en-GB"/>
        </w:rPr>
        <w:t xml:space="preserve">building construction and the </w:t>
      </w:r>
      <w:r w:rsidR="007E395D" w:rsidRPr="00A129D5">
        <w:rPr>
          <w:bCs/>
          <w:lang w:val="en-GB"/>
        </w:rPr>
        <w:t xml:space="preserve">civil engineering construction was rather stagnating, in the Q2 a decrease </w:t>
      </w:r>
      <w:r w:rsidR="007776E7" w:rsidRPr="00A129D5">
        <w:rPr>
          <w:bCs/>
          <w:lang w:val="en-GB"/>
        </w:rPr>
        <w:t xml:space="preserve">of </w:t>
      </w:r>
      <w:r w:rsidR="005319FB" w:rsidRPr="00A129D5">
        <w:rPr>
          <w:bCs/>
          <w:lang w:val="en-GB"/>
        </w:rPr>
        <w:t xml:space="preserve">the </w:t>
      </w:r>
      <w:r w:rsidR="005319FB" w:rsidRPr="00A129D5">
        <w:rPr>
          <w:lang w:val="en-GB"/>
        </w:rPr>
        <w:t>value</w:t>
      </w:r>
      <w:r w:rsidR="007776E7" w:rsidRPr="00A129D5">
        <w:rPr>
          <w:lang w:val="en-GB"/>
        </w:rPr>
        <w:t xml:space="preserve"> of orders </w:t>
      </w:r>
      <w:r w:rsidR="007E395D" w:rsidRPr="00A129D5">
        <w:rPr>
          <w:bCs/>
          <w:lang w:val="en-GB"/>
        </w:rPr>
        <w:t xml:space="preserve">was recorded in </w:t>
      </w:r>
      <w:r w:rsidR="007E395D" w:rsidRPr="00A129D5">
        <w:rPr>
          <w:rFonts w:cs="Arial"/>
          <w:lang w:val="en-GB"/>
        </w:rPr>
        <w:t xml:space="preserve">the </w:t>
      </w:r>
      <w:r w:rsidR="007E395D" w:rsidRPr="00A129D5">
        <w:rPr>
          <w:lang w:val="en-GB"/>
        </w:rPr>
        <w:t>building construction and</w:t>
      </w:r>
      <w:r w:rsidR="007776E7" w:rsidRPr="00A129D5">
        <w:rPr>
          <w:lang w:val="en-GB"/>
        </w:rPr>
        <w:t xml:space="preserve"> the growth was supported by the </w:t>
      </w:r>
      <w:r w:rsidR="007776E7" w:rsidRPr="00A129D5">
        <w:rPr>
          <w:bCs/>
          <w:lang w:val="en-GB"/>
        </w:rPr>
        <w:t>civil engineering construction.</w:t>
      </w:r>
      <w:r w:rsidR="00885E87" w:rsidRPr="00A129D5">
        <w:rPr>
          <w:bCs/>
          <w:lang w:val="en-GB"/>
        </w:rPr>
        <w:t xml:space="preserve"> In the Q3</w:t>
      </w:r>
      <w:r w:rsidR="000E44BA" w:rsidRPr="00A129D5">
        <w:rPr>
          <w:bCs/>
          <w:lang w:val="en-GB"/>
        </w:rPr>
        <w:t xml:space="preserve"> and Q4</w:t>
      </w:r>
      <w:r w:rsidR="00885E87" w:rsidRPr="00A129D5">
        <w:rPr>
          <w:bCs/>
          <w:lang w:val="en-GB"/>
        </w:rPr>
        <w:t>, the value of new orders grew in both the segments</w:t>
      </w:r>
      <w:r w:rsidR="000E44BA" w:rsidRPr="00A129D5">
        <w:rPr>
          <w:bCs/>
          <w:lang w:val="en-GB"/>
        </w:rPr>
        <w:t>.</w:t>
      </w:r>
      <w:r w:rsidR="000E1072" w:rsidRPr="00A129D5">
        <w:rPr>
          <w:bCs/>
          <w:lang w:val="en-GB"/>
        </w:rPr>
        <w:t xml:space="preserve"> B</w:t>
      </w:r>
      <w:r w:rsidR="00885E87" w:rsidRPr="00A129D5">
        <w:rPr>
          <w:lang w:val="en-GB"/>
        </w:rPr>
        <w:t>uilding construction was growing faster</w:t>
      </w:r>
      <w:r w:rsidR="000E1072" w:rsidRPr="00A129D5">
        <w:rPr>
          <w:lang w:val="en-GB"/>
        </w:rPr>
        <w:t xml:space="preserve"> at first,</w:t>
      </w:r>
      <w:r w:rsidR="0032129C" w:rsidRPr="00A129D5">
        <w:rPr>
          <w:lang w:val="en-GB"/>
        </w:rPr>
        <w:t xml:space="preserve"> whereas orders for </w:t>
      </w:r>
      <w:r w:rsidR="0032129C" w:rsidRPr="00A129D5">
        <w:rPr>
          <w:bCs/>
          <w:lang w:val="en-GB"/>
        </w:rPr>
        <w:t>civil engineering construction were increasing</w:t>
      </w:r>
      <w:r w:rsidR="0032129C" w:rsidRPr="00A129D5">
        <w:rPr>
          <w:lang w:val="en-GB"/>
        </w:rPr>
        <w:t xml:space="preserve"> at the end of the year. </w:t>
      </w:r>
      <w:r w:rsidR="00CF3000" w:rsidRPr="00A129D5">
        <w:rPr>
          <w:bCs/>
          <w:lang w:val="en-GB"/>
        </w:rPr>
        <w:t>The average value of a newly concluded construction order</w:t>
      </w:r>
      <w:r w:rsidR="00733085" w:rsidRPr="00A129D5">
        <w:rPr>
          <w:bCs/>
          <w:lang w:val="en-GB"/>
        </w:rPr>
        <w:t xml:space="preserve"> in </w:t>
      </w:r>
      <w:r w:rsidR="0032129C" w:rsidRPr="00A129D5">
        <w:rPr>
          <w:bCs/>
          <w:lang w:val="en-GB"/>
        </w:rPr>
        <w:t>2022</w:t>
      </w:r>
      <w:r w:rsidR="00CF3000" w:rsidRPr="00A129D5">
        <w:rPr>
          <w:bCs/>
          <w:lang w:val="en-GB"/>
        </w:rPr>
        <w:t xml:space="preserve"> amounted to CZK</w:t>
      </w:r>
      <w:r w:rsidR="00C630EA" w:rsidRPr="00A129D5">
        <w:rPr>
          <w:bCs/>
          <w:lang w:val="en-GB"/>
        </w:rPr>
        <w:t> 4.</w:t>
      </w:r>
      <w:r w:rsidR="0032129C" w:rsidRPr="00A129D5">
        <w:rPr>
          <w:bCs/>
          <w:lang w:val="en-GB"/>
        </w:rPr>
        <w:t>2 million and was by 14.4</w:t>
      </w:r>
      <w:r w:rsidR="00CF3000" w:rsidRPr="00A129D5">
        <w:rPr>
          <w:bCs/>
          <w:lang w:val="en-GB"/>
        </w:rPr>
        <w:t xml:space="preserve">% higher, year-on-year.  </w:t>
      </w:r>
      <w:r w:rsidR="00E54463" w:rsidRPr="00A129D5">
        <w:rPr>
          <w:bCs/>
          <w:lang w:val="en-GB"/>
        </w:rPr>
        <w:t xml:space="preserve"> </w:t>
      </w:r>
      <w:r w:rsidR="0086231A" w:rsidRPr="00A129D5">
        <w:rPr>
          <w:rFonts w:cs="Arial"/>
          <w:lang w:val="en-GB"/>
        </w:rPr>
        <w:t xml:space="preserve"> </w:t>
      </w:r>
      <w:r w:rsidR="000A4631" w:rsidRPr="00A129D5">
        <w:rPr>
          <w:rFonts w:cs="Arial"/>
          <w:lang w:val="en-GB"/>
        </w:rPr>
        <w:t xml:space="preserve"> </w:t>
      </w:r>
    </w:p>
    <w:p w14:paraId="71011B0C" w14:textId="73419AB8" w:rsidR="005A184E" w:rsidRPr="00A129D5" w:rsidRDefault="00030D5A" w:rsidP="00C20C8C">
      <w:pPr>
        <w:spacing w:before="120"/>
        <w:rPr>
          <w:bCs/>
          <w:lang w:val="en-GB"/>
        </w:rPr>
      </w:pPr>
      <w:r w:rsidRPr="00A129D5">
        <w:rPr>
          <w:bCs/>
          <w:lang w:val="en-GB"/>
        </w:rPr>
        <w:t xml:space="preserve">The planning and building control authorities granted </w:t>
      </w:r>
      <w:r w:rsidR="00286FF9" w:rsidRPr="00A129D5">
        <w:rPr>
          <w:bCs/>
          <w:lang w:val="en-GB"/>
        </w:rPr>
        <w:t>8</w:t>
      </w:r>
      <w:r w:rsidR="007475E6" w:rsidRPr="00A129D5">
        <w:rPr>
          <w:rFonts w:cs="Arial"/>
          <w:bCs/>
          <w:szCs w:val="20"/>
          <w:lang w:val="en-GB"/>
        </w:rPr>
        <w:t>6</w:t>
      </w:r>
      <w:r w:rsidR="00286FF9" w:rsidRPr="00A129D5">
        <w:rPr>
          <w:rFonts w:cs="Arial"/>
          <w:bCs/>
          <w:szCs w:val="20"/>
          <w:lang w:val="en-GB"/>
        </w:rPr>
        <w:t> 047</w:t>
      </w:r>
      <w:r w:rsidR="007475E6" w:rsidRPr="00A129D5">
        <w:rPr>
          <w:rFonts w:cs="Arial"/>
          <w:bCs/>
          <w:szCs w:val="20"/>
          <w:lang w:val="en-GB"/>
        </w:rPr>
        <w:t> </w:t>
      </w:r>
      <w:r w:rsidRPr="00A129D5">
        <w:rPr>
          <w:bCs/>
          <w:lang w:val="en-GB"/>
        </w:rPr>
        <w:t>building permits in</w:t>
      </w:r>
      <w:r w:rsidR="001D6BF0" w:rsidRPr="00A129D5">
        <w:rPr>
          <w:bCs/>
          <w:lang w:val="en-GB"/>
        </w:rPr>
        <w:t> </w:t>
      </w:r>
      <w:r w:rsidRPr="00A129D5">
        <w:rPr>
          <w:bCs/>
          <w:lang w:val="en-GB"/>
        </w:rPr>
        <w:t xml:space="preserve">2022, which was </w:t>
      </w:r>
      <w:r w:rsidR="00DB547E" w:rsidRPr="00A129D5">
        <w:rPr>
          <w:bCs/>
          <w:lang w:val="en-GB"/>
        </w:rPr>
        <w:t xml:space="preserve">a year-on-year </w:t>
      </w:r>
      <w:r w:rsidR="00FC3777" w:rsidRPr="00A129D5">
        <w:rPr>
          <w:bCs/>
          <w:lang w:val="en-GB"/>
        </w:rPr>
        <w:t>decrease by 5.4</w:t>
      </w:r>
      <w:r w:rsidR="00DB547E" w:rsidRPr="00A129D5">
        <w:rPr>
          <w:bCs/>
          <w:lang w:val="en-GB"/>
        </w:rPr>
        <w:t>%</w:t>
      </w:r>
      <w:r w:rsidR="00A803FC" w:rsidRPr="00A129D5">
        <w:rPr>
          <w:bCs/>
          <w:lang w:val="en-GB"/>
        </w:rPr>
        <w:t xml:space="preserve">. </w:t>
      </w:r>
      <w:r w:rsidR="00DB547E" w:rsidRPr="00A129D5">
        <w:rPr>
          <w:bCs/>
          <w:lang w:val="en-GB"/>
        </w:rPr>
        <w:t xml:space="preserve">The numbers </w:t>
      </w:r>
      <w:r w:rsidR="001D6BF0" w:rsidRPr="00A129D5">
        <w:rPr>
          <w:bCs/>
          <w:lang w:val="en-GB"/>
        </w:rPr>
        <w:t>of building permits de</w:t>
      </w:r>
      <w:r w:rsidR="00D906D3" w:rsidRPr="00A129D5">
        <w:rPr>
          <w:bCs/>
          <w:lang w:val="en-GB"/>
        </w:rPr>
        <w:t>creas</w:t>
      </w:r>
      <w:r w:rsidR="00FC3777" w:rsidRPr="00A129D5">
        <w:rPr>
          <w:bCs/>
          <w:lang w:val="en-GB"/>
        </w:rPr>
        <w:t>ed</w:t>
      </w:r>
      <w:r w:rsidR="00D906D3" w:rsidRPr="00A129D5">
        <w:rPr>
          <w:bCs/>
          <w:lang w:val="en-GB"/>
        </w:rPr>
        <w:t xml:space="preserve"> </w:t>
      </w:r>
      <w:r w:rsidR="00FC3777" w:rsidRPr="00A129D5">
        <w:rPr>
          <w:bCs/>
          <w:lang w:val="en-GB"/>
        </w:rPr>
        <w:t>as for new</w:t>
      </w:r>
      <w:r w:rsidR="00D906D3" w:rsidRPr="00A129D5">
        <w:rPr>
          <w:bCs/>
          <w:lang w:val="en-GB"/>
        </w:rPr>
        <w:t xml:space="preserve"> constructions</w:t>
      </w:r>
      <w:r w:rsidR="000D2147" w:rsidRPr="00A129D5">
        <w:rPr>
          <w:bCs/>
          <w:lang w:val="en-GB"/>
        </w:rPr>
        <w:t xml:space="preserve"> and </w:t>
      </w:r>
      <w:r w:rsidR="00FC3777" w:rsidRPr="00A129D5">
        <w:rPr>
          <w:bCs/>
          <w:lang w:val="en-GB"/>
        </w:rPr>
        <w:t>even a bigger decrease occurred</w:t>
      </w:r>
      <w:r w:rsidR="000D2147" w:rsidRPr="00A129D5">
        <w:rPr>
          <w:bCs/>
          <w:lang w:val="en-GB"/>
        </w:rPr>
        <w:t xml:space="preserve"> as for </w:t>
      </w:r>
      <w:r w:rsidR="0001565C" w:rsidRPr="00A129D5">
        <w:rPr>
          <w:bCs/>
          <w:lang w:val="en-GB"/>
        </w:rPr>
        <w:t>modifications</w:t>
      </w:r>
      <w:r w:rsidR="00D906D3" w:rsidRPr="00A129D5">
        <w:rPr>
          <w:bCs/>
          <w:lang w:val="en-GB"/>
        </w:rPr>
        <w:t xml:space="preserve"> to completed </w:t>
      </w:r>
      <w:r w:rsidR="0001565C" w:rsidRPr="00A129D5">
        <w:rPr>
          <w:bCs/>
          <w:lang w:val="en-GB"/>
        </w:rPr>
        <w:t>buildings</w:t>
      </w:r>
      <w:r w:rsidR="00D906D3" w:rsidRPr="00A129D5">
        <w:rPr>
          <w:bCs/>
          <w:lang w:val="en-GB"/>
        </w:rPr>
        <w:t>.</w:t>
      </w:r>
      <w:r w:rsidR="0001565C" w:rsidRPr="00A129D5">
        <w:rPr>
          <w:bCs/>
          <w:lang w:val="en-GB"/>
        </w:rPr>
        <w:t xml:space="preserve"> </w:t>
      </w:r>
      <w:r w:rsidR="00FB6064" w:rsidRPr="00A129D5">
        <w:rPr>
          <w:bCs/>
          <w:lang w:val="en-GB"/>
        </w:rPr>
        <w:t xml:space="preserve">The numbers of permits </w:t>
      </w:r>
      <w:r w:rsidR="005D29C6" w:rsidRPr="00A129D5">
        <w:rPr>
          <w:bCs/>
          <w:lang w:val="en-GB"/>
        </w:rPr>
        <w:t>decreased in all categories of construction and the decrease was also influenced by a higher comparison basis of the previous year.</w:t>
      </w:r>
      <w:r w:rsidR="00316EC2" w:rsidRPr="00A129D5">
        <w:rPr>
          <w:bCs/>
          <w:lang w:val="en-GB"/>
        </w:rPr>
        <w:t xml:space="preserve"> </w:t>
      </w:r>
      <w:r w:rsidR="0001565C" w:rsidRPr="00A129D5">
        <w:rPr>
          <w:bCs/>
          <w:lang w:val="en-GB"/>
        </w:rPr>
        <w:t>The highest number of building permits was granted in the</w:t>
      </w:r>
      <w:r w:rsidR="00DB547E" w:rsidRPr="00A129D5">
        <w:rPr>
          <w:bCs/>
          <w:lang w:val="en-GB"/>
        </w:rPr>
        <w:t xml:space="preserve"> </w:t>
      </w:r>
      <w:proofErr w:type="spellStart"/>
      <w:r w:rsidR="0001565C" w:rsidRPr="00A129D5">
        <w:rPr>
          <w:rFonts w:cs="Arial"/>
          <w:i/>
          <w:szCs w:val="20"/>
          <w:lang w:val="en-GB"/>
        </w:rPr>
        <w:t>Středočeský</w:t>
      </w:r>
      <w:proofErr w:type="spellEnd"/>
      <w:r w:rsidR="0001565C" w:rsidRPr="00A129D5">
        <w:rPr>
          <w:rFonts w:cs="Arial"/>
          <w:szCs w:val="20"/>
          <w:lang w:val="en-GB"/>
        </w:rPr>
        <w:t xml:space="preserve"> Region</w:t>
      </w:r>
      <w:r w:rsidR="00C20C8C" w:rsidRPr="00A129D5">
        <w:rPr>
          <w:rFonts w:cs="Arial"/>
          <w:szCs w:val="20"/>
          <w:lang w:val="en-GB"/>
        </w:rPr>
        <w:t>,</w:t>
      </w:r>
      <w:r w:rsidR="0001565C" w:rsidRPr="00A129D5">
        <w:rPr>
          <w:rFonts w:cs="Arial"/>
          <w:szCs w:val="20"/>
          <w:lang w:val="en-GB"/>
        </w:rPr>
        <w:t xml:space="preserve"> in the</w:t>
      </w:r>
      <w:r w:rsidR="00C20C8C" w:rsidRPr="00A129D5">
        <w:rPr>
          <w:rFonts w:cs="Arial"/>
          <w:szCs w:val="20"/>
          <w:lang w:val="en-GB"/>
        </w:rPr>
        <w:t xml:space="preserve"> </w:t>
      </w:r>
      <w:proofErr w:type="spellStart"/>
      <w:r w:rsidR="00C20C8C" w:rsidRPr="00A129D5">
        <w:rPr>
          <w:rFonts w:cs="Arial"/>
          <w:i/>
          <w:szCs w:val="20"/>
          <w:lang w:val="en-GB"/>
        </w:rPr>
        <w:t>Jihomoravsk</w:t>
      </w:r>
      <w:r w:rsidR="0001565C" w:rsidRPr="00A129D5">
        <w:rPr>
          <w:rFonts w:cs="Arial"/>
          <w:i/>
          <w:szCs w:val="20"/>
          <w:lang w:val="en-GB"/>
        </w:rPr>
        <w:t>ý</w:t>
      </w:r>
      <w:proofErr w:type="spellEnd"/>
      <w:r w:rsidR="0001565C" w:rsidRPr="00A129D5">
        <w:rPr>
          <w:rFonts w:cs="Arial"/>
          <w:szCs w:val="20"/>
          <w:lang w:val="en-GB"/>
        </w:rPr>
        <w:t xml:space="preserve"> Region,</w:t>
      </w:r>
      <w:r w:rsidR="00C20C8C" w:rsidRPr="00A129D5">
        <w:rPr>
          <w:rFonts w:cs="Arial"/>
          <w:szCs w:val="20"/>
          <w:lang w:val="en-GB"/>
        </w:rPr>
        <w:t xml:space="preserve"> a</w:t>
      </w:r>
      <w:r w:rsidR="0001565C" w:rsidRPr="00A129D5">
        <w:rPr>
          <w:rFonts w:cs="Arial"/>
          <w:szCs w:val="20"/>
          <w:lang w:val="en-GB"/>
        </w:rPr>
        <w:t>nd in the</w:t>
      </w:r>
      <w:r w:rsidR="00C20C8C" w:rsidRPr="00A129D5">
        <w:rPr>
          <w:rFonts w:cs="Arial"/>
          <w:szCs w:val="20"/>
          <w:lang w:val="en-GB"/>
        </w:rPr>
        <w:t xml:space="preserve"> </w:t>
      </w:r>
      <w:proofErr w:type="spellStart"/>
      <w:r w:rsidR="00C20C8C" w:rsidRPr="00A129D5">
        <w:rPr>
          <w:rFonts w:cs="Arial"/>
          <w:i/>
          <w:szCs w:val="20"/>
          <w:lang w:val="en-GB"/>
        </w:rPr>
        <w:t>Moravskoslezsk</w:t>
      </w:r>
      <w:r w:rsidR="0001565C" w:rsidRPr="00A129D5">
        <w:rPr>
          <w:rFonts w:cs="Arial"/>
          <w:i/>
          <w:szCs w:val="20"/>
          <w:lang w:val="en-GB"/>
        </w:rPr>
        <w:t>ý</w:t>
      </w:r>
      <w:proofErr w:type="spellEnd"/>
      <w:r w:rsidR="0001565C" w:rsidRPr="00A129D5">
        <w:rPr>
          <w:rFonts w:cs="Arial"/>
          <w:szCs w:val="20"/>
          <w:lang w:val="en-GB"/>
        </w:rPr>
        <w:t xml:space="preserve"> Region</w:t>
      </w:r>
      <w:r w:rsidR="00C20C8C" w:rsidRPr="00A129D5">
        <w:rPr>
          <w:rFonts w:cs="Arial"/>
          <w:szCs w:val="20"/>
          <w:lang w:val="en-GB"/>
        </w:rPr>
        <w:t>.</w:t>
      </w:r>
    </w:p>
    <w:p w14:paraId="17613569" w14:textId="1E6ED472" w:rsidR="00E50AD5" w:rsidRPr="00A129D5" w:rsidRDefault="008F7C81" w:rsidP="00C20C8C">
      <w:pPr>
        <w:spacing w:before="120"/>
        <w:rPr>
          <w:bCs/>
          <w:lang w:val="en-GB"/>
        </w:rPr>
      </w:pPr>
      <w:r>
        <w:rPr>
          <w:bCs/>
          <w:lang w:val="en-GB"/>
        </w:rPr>
        <w:t>The</w:t>
      </w:r>
      <w:r w:rsidR="00F45AB9" w:rsidRPr="00A129D5">
        <w:rPr>
          <w:bCs/>
          <w:lang w:val="en-GB"/>
        </w:rPr>
        <w:t xml:space="preserve"> approximate value of the permitted constructions reached</w:t>
      </w:r>
      <w:r w:rsidR="00890F16" w:rsidRPr="00A129D5">
        <w:rPr>
          <w:bCs/>
          <w:lang w:val="en-GB"/>
        </w:rPr>
        <w:t xml:space="preserve"> </w:t>
      </w:r>
      <w:r w:rsidR="00F45AB9" w:rsidRPr="00A129D5">
        <w:rPr>
          <w:bCs/>
          <w:lang w:val="en-GB"/>
        </w:rPr>
        <w:t>CZK</w:t>
      </w:r>
      <w:r w:rsidR="00E94ED7" w:rsidRPr="00A129D5">
        <w:rPr>
          <w:bCs/>
          <w:lang w:val="en-GB"/>
        </w:rPr>
        <w:t> </w:t>
      </w:r>
      <w:r w:rsidR="006978A0" w:rsidRPr="00A129D5">
        <w:rPr>
          <w:bCs/>
          <w:lang w:val="en-GB"/>
        </w:rPr>
        <w:t>512.8 billion</w:t>
      </w:r>
      <w:r w:rsidR="001F47D3" w:rsidRPr="00A129D5">
        <w:rPr>
          <w:bCs/>
          <w:lang w:val="en-GB"/>
        </w:rPr>
        <w:t xml:space="preserve"> in 2022</w:t>
      </w:r>
      <w:r w:rsidR="006978A0" w:rsidRPr="00A129D5">
        <w:rPr>
          <w:bCs/>
          <w:lang w:val="en-GB"/>
        </w:rPr>
        <w:t xml:space="preserve"> and decreased by 1.6</w:t>
      </w:r>
      <w:r w:rsidR="00F45AB9" w:rsidRPr="00A129D5">
        <w:rPr>
          <w:bCs/>
          <w:lang w:val="en-GB"/>
        </w:rPr>
        <w:t>%</w:t>
      </w:r>
      <w:r w:rsidR="006509B0" w:rsidRPr="00A129D5">
        <w:rPr>
          <w:bCs/>
          <w:lang w:val="en-GB"/>
        </w:rPr>
        <w:t>, year-on-year</w:t>
      </w:r>
      <w:r w:rsidR="00F45AB9" w:rsidRPr="00A129D5">
        <w:rPr>
          <w:bCs/>
          <w:lang w:val="en-GB"/>
        </w:rPr>
        <w:t>.</w:t>
      </w:r>
      <w:r w:rsidR="00880A7E" w:rsidRPr="00A129D5">
        <w:rPr>
          <w:bCs/>
          <w:lang w:val="en-GB"/>
        </w:rPr>
        <w:t xml:space="preserve"> </w:t>
      </w:r>
      <w:r w:rsidR="00C16C20" w:rsidRPr="00A129D5">
        <w:rPr>
          <w:bCs/>
          <w:lang w:val="en-GB"/>
        </w:rPr>
        <w:t xml:space="preserve">The approximate value decreased thanks to new construction of civil engineering constructions, in which it increased over three times last July owing to granting </w:t>
      </w:r>
      <w:r w:rsidR="00C16C20" w:rsidRPr="00A129D5">
        <w:rPr>
          <w:bCs/>
          <w:lang w:val="en-GB"/>
        </w:rPr>
        <w:lastRenderedPageBreak/>
        <w:t xml:space="preserve">a building permit for the construction of line D of the underground. Should we make a model, in which we eliminate constructions for over </w:t>
      </w:r>
      <w:r w:rsidR="0034581F">
        <w:rPr>
          <w:bCs/>
          <w:lang w:val="en-GB"/>
        </w:rPr>
        <w:t>CZK </w:t>
      </w:r>
      <w:r w:rsidR="00C16C20" w:rsidRPr="00A129D5">
        <w:rPr>
          <w:bCs/>
          <w:lang w:val="en-GB"/>
        </w:rPr>
        <w:t xml:space="preserve">1 billion, we would get the year-on-year growth of the approximate value of </w:t>
      </w:r>
      <w:r w:rsidR="006113DE" w:rsidRPr="00A129D5">
        <w:rPr>
          <w:bCs/>
          <w:lang w:val="en-GB"/>
        </w:rPr>
        <w:t>building</w:t>
      </w:r>
      <w:r w:rsidR="00C16C20" w:rsidRPr="00A129D5">
        <w:rPr>
          <w:bCs/>
          <w:lang w:val="en-GB"/>
        </w:rPr>
        <w:t xml:space="preserve"> permits by</w:t>
      </w:r>
      <w:r w:rsidR="003E2627" w:rsidRPr="00A129D5">
        <w:rPr>
          <w:bCs/>
          <w:lang w:val="en-GB"/>
        </w:rPr>
        <w:t xml:space="preserve"> 8.7</w:t>
      </w:r>
      <w:r w:rsidR="00C16C20" w:rsidRPr="00A129D5">
        <w:rPr>
          <w:bCs/>
          <w:lang w:val="en-GB"/>
        </w:rPr>
        <w:t>%.</w:t>
      </w:r>
      <w:r w:rsidR="0077225C" w:rsidRPr="00A129D5">
        <w:rPr>
          <w:bCs/>
          <w:lang w:val="en-GB"/>
        </w:rPr>
        <w:t xml:space="preserve"> </w:t>
      </w:r>
      <w:r w:rsidR="00E536AE" w:rsidRPr="00A129D5">
        <w:rPr>
          <w:bCs/>
          <w:lang w:val="en-GB"/>
        </w:rPr>
        <w:t>As for construction c</w:t>
      </w:r>
      <w:r w:rsidR="00D80C56">
        <w:rPr>
          <w:bCs/>
          <w:lang w:val="en-GB"/>
        </w:rPr>
        <w:t>ategories (types), new building</w:t>
      </w:r>
      <w:r w:rsidR="00E536AE" w:rsidRPr="00A129D5">
        <w:rPr>
          <w:bCs/>
          <w:lang w:val="en-GB"/>
        </w:rPr>
        <w:t xml:space="preserve"> construction was the biggest contributor to the growth; only modifications to completed non-residential buildings decreased. </w:t>
      </w:r>
      <w:r w:rsidR="00880A7E" w:rsidRPr="00A129D5">
        <w:rPr>
          <w:bCs/>
          <w:lang w:val="en-GB"/>
        </w:rPr>
        <w:t xml:space="preserve">Higher investments </w:t>
      </w:r>
      <w:r w:rsidR="0007417B">
        <w:rPr>
          <w:bCs/>
          <w:lang w:val="en-GB"/>
        </w:rPr>
        <w:t xml:space="preserve">are </w:t>
      </w:r>
      <w:r w:rsidR="00880A7E" w:rsidRPr="00A129D5">
        <w:rPr>
          <w:bCs/>
          <w:lang w:val="en-GB"/>
        </w:rPr>
        <w:t xml:space="preserve">planned in the </w:t>
      </w:r>
      <w:proofErr w:type="spellStart"/>
      <w:r w:rsidR="00880A7E" w:rsidRPr="00A129D5">
        <w:rPr>
          <w:rFonts w:cs="Arial"/>
          <w:i/>
          <w:szCs w:val="20"/>
          <w:lang w:val="en-GB"/>
        </w:rPr>
        <w:t>Středočeský</w:t>
      </w:r>
      <w:proofErr w:type="spellEnd"/>
      <w:r w:rsidR="00880A7E" w:rsidRPr="00A129D5">
        <w:rPr>
          <w:rFonts w:cs="Arial"/>
          <w:szCs w:val="20"/>
          <w:lang w:val="en-GB"/>
        </w:rPr>
        <w:t xml:space="preserve"> Region and in the </w:t>
      </w:r>
      <w:proofErr w:type="spellStart"/>
      <w:r w:rsidR="00880A7E" w:rsidRPr="00A129D5">
        <w:rPr>
          <w:rFonts w:cs="Arial"/>
          <w:i/>
          <w:szCs w:val="20"/>
          <w:lang w:val="en-GB"/>
        </w:rPr>
        <w:t>Jihomoravský</w:t>
      </w:r>
      <w:proofErr w:type="spellEnd"/>
      <w:r w:rsidR="00880A7E" w:rsidRPr="00A129D5">
        <w:rPr>
          <w:rFonts w:cs="Arial"/>
          <w:szCs w:val="20"/>
          <w:lang w:val="en-GB"/>
        </w:rPr>
        <w:t xml:space="preserve"> Region.</w:t>
      </w:r>
    </w:p>
    <w:p w14:paraId="51BCFBEA" w14:textId="07414209" w:rsidR="00093208" w:rsidRPr="00A129D5" w:rsidRDefault="00611CA2" w:rsidP="00C20C8C">
      <w:pPr>
        <w:spacing w:before="120"/>
        <w:rPr>
          <w:lang w:val="en-GB"/>
        </w:rPr>
      </w:pPr>
      <w:r>
        <w:rPr>
          <w:lang w:val="en-GB"/>
        </w:rPr>
        <w:t>C</w:t>
      </w:r>
      <w:r w:rsidR="00F6518D" w:rsidRPr="00A129D5">
        <w:rPr>
          <w:lang w:val="en-GB"/>
        </w:rPr>
        <w:t xml:space="preserve">onstruction of </w:t>
      </w:r>
      <w:r w:rsidR="00BB7E15" w:rsidRPr="00A129D5">
        <w:rPr>
          <w:lang w:val="en-GB"/>
        </w:rPr>
        <w:t>4</w:t>
      </w:r>
      <w:r w:rsidR="001D4A25" w:rsidRPr="00A129D5">
        <w:t>1</w:t>
      </w:r>
      <w:r w:rsidR="006036FA" w:rsidRPr="00A129D5">
        <w:t> </w:t>
      </w:r>
      <w:r w:rsidR="00BB7E15" w:rsidRPr="00A129D5">
        <w:t>5</w:t>
      </w:r>
      <w:r w:rsidR="006036FA" w:rsidRPr="00A129D5">
        <w:t>4</w:t>
      </w:r>
      <w:r w:rsidR="00BB7E15" w:rsidRPr="00A129D5">
        <w:t>6</w:t>
      </w:r>
      <w:r w:rsidR="006036FA" w:rsidRPr="00A129D5">
        <w:t> </w:t>
      </w:r>
      <w:r w:rsidR="00F6518D" w:rsidRPr="00A129D5">
        <w:rPr>
          <w:lang w:val="en-GB"/>
        </w:rPr>
        <w:t xml:space="preserve">dwellings </w:t>
      </w:r>
      <w:r w:rsidR="006036FA" w:rsidRPr="00A129D5">
        <w:rPr>
          <w:lang w:val="en-GB"/>
        </w:rPr>
        <w:t xml:space="preserve">started </w:t>
      </w:r>
      <w:r>
        <w:rPr>
          <w:lang w:val="en-GB"/>
        </w:rPr>
        <w:t>i</w:t>
      </w:r>
      <w:r w:rsidRPr="00A129D5">
        <w:rPr>
          <w:lang w:val="en-GB"/>
        </w:rPr>
        <w:t>n 2022</w:t>
      </w:r>
      <w:r>
        <w:rPr>
          <w:lang w:val="en-GB"/>
        </w:rPr>
        <w:t xml:space="preserve"> </w:t>
      </w:r>
      <w:r w:rsidR="006036FA" w:rsidRPr="00A129D5">
        <w:rPr>
          <w:lang w:val="en-GB"/>
        </w:rPr>
        <w:t>and the number de</w:t>
      </w:r>
      <w:r w:rsidR="00F6518D" w:rsidRPr="00A129D5">
        <w:rPr>
          <w:lang w:val="en-GB"/>
        </w:rPr>
        <w:t xml:space="preserve">creased by </w:t>
      </w:r>
      <w:r w:rsidR="00BB7E15" w:rsidRPr="00A129D5">
        <w:rPr>
          <w:lang w:val="en-GB"/>
        </w:rPr>
        <w:t>7</w:t>
      </w:r>
      <w:r w:rsidR="006036FA" w:rsidRPr="00A129D5">
        <w:rPr>
          <w:lang w:val="en-GB"/>
        </w:rPr>
        <w:t>.7%</w:t>
      </w:r>
      <w:r w:rsidR="00F6518D" w:rsidRPr="00A129D5">
        <w:rPr>
          <w:lang w:val="en-GB"/>
        </w:rPr>
        <w:t>, year-on-year.</w:t>
      </w:r>
      <w:r w:rsidR="00E73E4D" w:rsidRPr="00A129D5">
        <w:rPr>
          <w:lang w:val="en-GB"/>
        </w:rPr>
        <w:t xml:space="preserve"> </w:t>
      </w:r>
      <w:r w:rsidR="00F6518D" w:rsidRPr="00A129D5">
        <w:rPr>
          <w:lang w:val="en-GB"/>
        </w:rPr>
        <w:t xml:space="preserve">The </w:t>
      </w:r>
      <w:r w:rsidR="00E60FA5" w:rsidRPr="00A129D5">
        <w:rPr>
          <w:lang w:val="en-GB"/>
        </w:rPr>
        <w:t>growth was</w:t>
      </w:r>
      <w:r w:rsidR="00F6518D" w:rsidRPr="00A129D5">
        <w:rPr>
          <w:lang w:val="en-GB"/>
        </w:rPr>
        <w:t xml:space="preserve"> contributed to by</w:t>
      </w:r>
      <w:r w:rsidR="00E60FA5" w:rsidRPr="00A129D5">
        <w:rPr>
          <w:lang w:val="en-GB"/>
        </w:rPr>
        <w:t xml:space="preserve"> results from the Q1 influenced by </w:t>
      </w:r>
      <w:r w:rsidR="00F6518D" w:rsidRPr="00A129D5">
        <w:rPr>
          <w:lang w:val="en-GB"/>
        </w:rPr>
        <w:t>a lower comparison basis from the</w:t>
      </w:r>
      <w:r w:rsidR="00E60FA5" w:rsidRPr="00A129D5">
        <w:rPr>
          <w:lang w:val="en-GB"/>
        </w:rPr>
        <w:t xml:space="preserve"> beginning of the</w:t>
      </w:r>
      <w:r w:rsidR="00F6518D" w:rsidRPr="00A129D5">
        <w:rPr>
          <w:lang w:val="en-GB"/>
        </w:rPr>
        <w:t xml:space="preserve"> previous year</w:t>
      </w:r>
      <w:r w:rsidR="00444381">
        <w:rPr>
          <w:lang w:val="en-GB"/>
        </w:rPr>
        <w:t>, which was</w:t>
      </w:r>
      <w:r w:rsidR="00F6518D" w:rsidRPr="00A129D5">
        <w:rPr>
          <w:lang w:val="en-GB"/>
        </w:rPr>
        <w:t xml:space="preserve"> affected by covid.</w:t>
      </w:r>
      <w:r w:rsidR="00792BED" w:rsidRPr="00A129D5">
        <w:rPr>
          <w:lang w:val="en-GB"/>
        </w:rPr>
        <w:t xml:space="preserve"> In the Q2 </w:t>
      </w:r>
      <w:r w:rsidR="00BB7E15" w:rsidRPr="00A129D5">
        <w:rPr>
          <w:lang w:val="en-GB"/>
        </w:rPr>
        <w:t>to</w:t>
      </w:r>
      <w:r w:rsidR="00792BED" w:rsidRPr="00A129D5">
        <w:rPr>
          <w:lang w:val="en-GB"/>
        </w:rPr>
        <w:t xml:space="preserve"> Q</w:t>
      </w:r>
      <w:r w:rsidR="00BB7E15" w:rsidRPr="00A129D5">
        <w:rPr>
          <w:lang w:val="en-GB"/>
        </w:rPr>
        <w:t>4</w:t>
      </w:r>
      <w:r w:rsidR="00792BED" w:rsidRPr="00A129D5">
        <w:rPr>
          <w:lang w:val="en-GB"/>
        </w:rPr>
        <w:t xml:space="preserve">, the numbers of dwellings were decreasing. </w:t>
      </w:r>
      <w:r w:rsidR="006652D3">
        <w:rPr>
          <w:lang w:val="en-GB"/>
        </w:rPr>
        <w:t xml:space="preserve">In family houses, </w:t>
      </w:r>
      <w:r w:rsidR="00792BED" w:rsidRPr="00A129D5">
        <w:rPr>
          <w:lang w:val="en-GB"/>
        </w:rPr>
        <w:t xml:space="preserve">the numbers of dwellings started </w:t>
      </w:r>
      <w:r w:rsidR="00570982" w:rsidRPr="00A129D5">
        <w:rPr>
          <w:lang w:val="en-GB"/>
        </w:rPr>
        <w:t>decreased</w:t>
      </w:r>
      <w:r w:rsidR="006652D3">
        <w:rPr>
          <w:lang w:val="en-GB"/>
        </w:rPr>
        <w:t xml:space="preserve"> </w:t>
      </w:r>
      <w:r w:rsidR="006652D3" w:rsidRPr="00A129D5">
        <w:rPr>
          <w:lang w:val="en-GB"/>
        </w:rPr>
        <w:t>this year</w:t>
      </w:r>
      <w:r w:rsidR="00570982" w:rsidRPr="00A129D5">
        <w:rPr>
          <w:lang w:val="en-GB"/>
        </w:rPr>
        <w:t xml:space="preserve"> below the level of the year 2021 by 5.5%; </w:t>
      </w:r>
      <w:r w:rsidR="00586242" w:rsidRPr="00A129D5">
        <w:rPr>
          <w:lang w:val="en-GB"/>
        </w:rPr>
        <w:t>in dwellings in multi-dwelling build</w:t>
      </w:r>
      <w:r w:rsidR="003A349A" w:rsidRPr="00A129D5">
        <w:rPr>
          <w:lang w:val="en-GB"/>
        </w:rPr>
        <w:t>ings</w:t>
      </w:r>
      <w:r w:rsidR="00A666BE">
        <w:rPr>
          <w:lang w:val="en-GB"/>
        </w:rPr>
        <w:t>,</w:t>
      </w:r>
      <w:r w:rsidR="003A349A" w:rsidRPr="00A129D5">
        <w:rPr>
          <w:lang w:val="en-GB"/>
        </w:rPr>
        <w:t xml:space="preserve"> a </w:t>
      </w:r>
      <w:r w:rsidR="00570982" w:rsidRPr="00A129D5">
        <w:rPr>
          <w:lang w:val="en-GB"/>
        </w:rPr>
        <w:t>decrease by 15.2</w:t>
      </w:r>
      <w:r w:rsidR="00586242" w:rsidRPr="00A129D5">
        <w:rPr>
          <w:lang w:val="en-GB"/>
        </w:rPr>
        <w:t>%</w:t>
      </w:r>
      <w:r w:rsidR="00B62D17" w:rsidRPr="00A129D5">
        <w:rPr>
          <w:lang w:val="en-GB"/>
        </w:rPr>
        <w:t xml:space="preserve"> was recorded</w:t>
      </w:r>
      <w:r w:rsidR="00586242" w:rsidRPr="00A129D5">
        <w:rPr>
          <w:lang w:val="en-GB"/>
        </w:rPr>
        <w:t xml:space="preserve">. The highest number of dwellings started were in the </w:t>
      </w:r>
      <w:proofErr w:type="spellStart"/>
      <w:r w:rsidR="00586242" w:rsidRPr="00A129D5">
        <w:rPr>
          <w:rFonts w:cs="Arial"/>
          <w:i/>
          <w:szCs w:val="20"/>
          <w:lang w:val="en-GB"/>
        </w:rPr>
        <w:t>Středočeský</w:t>
      </w:r>
      <w:proofErr w:type="spellEnd"/>
      <w:r w:rsidR="00586242" w:rsidRPr="00A129D5">
        <w:rPr>
          <w:rFonts w:cs="Arial"/>
          <w:szCs w:val="20"/>
          <w:lang w:val="en-GB"/>
        </w:rPr>
        <w:t xml:space="preserve"> Regio</w:t>
      </w:r>
      <w:r w:rsidR="00096A9C" w:rsidRPr="00A129D5">
        <w:rPr>
          <w:rFonts w:cs="Arial"/>
          <w:szCs w:val="20"/>
          <w:lang w:val="en-GB"/>
        </w:rPr>
        <w:t>n (predominantly family houses) and</w:t>
      </w:r>
      <w:r w:rsidR="00586242" w:rsidRPr="00A129D5">
        <w:rPr>
          <w:rFonts w:cs="Arial"/>
          <w:szCs w:val="20"/>
          <w:lang w:val="en-GB"/>
        </w:rPr>
        <w:t xml:space="preserve"> in Prague (</w:t>
      </w:r>
      <w:r w:rsidR="00586242" w:rsidRPr="00A129D5">
        <w:rPr>
          <w:lang w:val="en-GB"/>
        </w:rPr>
        <w:t>multi-dwelling buildings</w:t>
      </w:r>
      <w:r w:rsidR="00096A9C" w:rsidRPr="00A129D5">
        <w:rPr>
          <w:lang w:val="en-GB"/>
        </w:rPr>
        <w:t>)</w:t>
      </w:r>
      <w:r w:rsidR="00586242" w:rsidRPr="00A129D5">
        <w:rPr>
          <w:rFonts w:cs="Arial"/>
          <w:szCs w:val="20"/>
          <w:lang w:val="en-GB"/>
        </w:rPr>
        <w:t xml:space="preserve">. </w:t>
      </w:r>
      <w:r w:rsidR="00586242" w:rsidRPr="00A129D5">
        <w:rPr>
          <w:lang w:val="en-GB"/>
        </w:rPr>
        <w:t xml:space="preserve"> </w:t>
      </w:r>
    </w:p>
    <w:p w14:paraId="0AA99500" w14:textId="21C4DF04" w:rsidR="00C36B9D" w:rsidRPr="00A129D5" w:rsidRDefault="00695AB2" w:rsidP="00C20C8C">
      <w:pPr>
        <w:spacing w:before="120"/>
        <w:rPr>
          <w:lang w:val="en-GB"/>
        </w:rPr>
      </w:pPr>
      <w:r w:rsidRPr="00A129D5">
        <w:rPr>
          <w:bCs/>
          <w:lang w:val="en-GB"/>
        </w:rPr>
        <w:t xml:space="preserve">In </w:t>
      </w:r>
      <w:r w:rsidR="00074E29" w:rsidRPr="00A129D5">
        <w:rPr>
          <w:bCs/>
          <w:lang w:val="en-GB"/>
        </w:rPr>
        <w:t>2022</w:t>
      </w:r>
      <w:r w:rsidRPr="00A129D5">
        <w:rPr>
          <w:bCs/>
          <w:lang w:val="en-GB"/>
        </w:rPr>
        <w:t xml:space="preserve">, </w:t>
      </w:r>
      <w:r w:rsidR="00074E29" w:rsidRPr="00A129D5">
        <w:rPr>
          <w:bCs/>
          <w:lang w:val="en-GB"/>
        </w:rPr>
        <w:t>39 460</w:t>
      </w:r>
      <w:r w:rsidRPr="00A129D5">
        <w:rPr>
          <w:bCs/>
          <w:lang w:val="en-GB"/>
        </w:rPr>
        <w:t> </w:t>
      </w:r>
      <w:r w:rsidR="00456978" w:rsidRPr="00A129D5">
        <w:rPr>
          <w:lang w:val="en-GB"/>
        </w:rPr>
        <w:t>dwellings were completed</w:t>
      </w:r>
      <w:r w:rsidR="00074E29" w:rsidRPr="00A129D5">
        <w:rPr>
          <w:lang w:val="en-GB"/>
        </w:rPr>
        <w:t xml:space="preserve">, which is the highest value since 2007 </w:t>
      </w:r>
      <w:r w:rsidR="00456978" w:rsidRPr="00A129D5">
        <w:rPr>
          <w:lang w:val="en-GB"/>
        </w:rPr>
        <w:t xml:space="preserve">and their number </w:t>
      </w:r>
      <w:r w:rsidR="004F3385" w:rsidRPr="00A129D5">
        <w:rPr>
          <w:lang w:val="en-GB"/>
        </w:rPr>
        <w:t>increased</w:t>
      </w:r>
      <w:r w:rsidRPr="00A129D5">
        <w:rPr>
          <w:lang w:val="en-GB"/>
        </w:rPr>
        <w:t xml:space="preserve"> by over a tenth</w:t>
      </w:r>
      <w:r w:rsidR="00565E1C" w:rsidRPr="00A129D5">
        <w:rPr>
          <w:lang w:val="en-GB"/>
        </w:rPr>
        <w:t>, year-on-year</w:t>
      </w:r>
      <w:r w:rsidR="00074E29" w:rsidRPr="00A129D5">
        <w:rPr>
          <w:lang w:val="en-GB"/>
        </w:rPr>
        <w:t xml:space="preserve"> (+14.1</w:t>
      </w:r>
      <w:r w:rsidR="00456978" w:rsidRPr="00A129D5">
        <w:rPr>
          <w:lang w:val="en-GB"/>
        </w:rPr>
        <w:t>%).</w:t>
      </w:r>
      <w:r w:rsidR="001747BB" w:rsidRPr="00A129D5">
        <w:rPr>
          <w:lang w:val="en-GB"/>
        </w:rPr>
        <w:t xml:space="preserve"> </w:t>
      </w:r>
      <w:r w:rsidR="0020106D" w:rsidRPr="00A129D5">
        <w:rPr>
          <w:lang w:val="en-GB"/>
        </w:rPr>
        <w:t>Both the main categories of construction were increasing; however, the</w:t>
      </w:r>
      <w:r w:rsidR="00D84D2C">
        <w:rPr>
          <w:lang w:val="en-GB"/>
        </w:rPr>
        <w:t>ir</w:t>
      </w:r>
      <w:r w:rsidR="0020106D" w:rsidRPr="00A129D5">
        <w:rPr>
          <w:lang w:val="en-GB"/>
        </w:rPr>
        <w:t xml:space="preserve"> development</w:t>
      </w:r>
      <w:r w:rsidR="00B84375" w:rsidRPr="00A129D5">
        <w:rPr>
          <w:lang w:val="en-GB"/>
        </w:rPr>
        <w:t xml:space="preserve"> was</w:t>
      </w:r>
      <w:r w:rsidR="0020106D" w:rsidRPr="00A129D5">
        <w:rPr>
          <w:lang w:val="en-GB"/>
        </w:rPr>
        <w:t xml:space="preserve"> differe</w:t>
      </w:r>
      <w:r w:rsidR="00B84375" w:rsidRPr="00A129D5">
        <w:rPr>
          <w:lang w:val="en-GB"/>
        </w:rPr>
        <w:t>nt</w:t>
      </w:r>
      <w:r w:rsidR="0020106D" w:rsidRPr="00A129D5">
        <w:rPr>
          <w:lang w:val="en-GB"/>
        </w:rPr>
        <w:t>.</w:t>
      </w:r>
      <w:r w:rsidR="00074E29" w:rsidRPr="00A129D5">
        <w:rPr>
          <w:lang w:val="en-GB"/>
        </w:rPr>
        <w:t xml:space="preserve"> While it seemed in the Q1</w:t>
      </w:r>
      <w:r w:rsidR="0020106D" w:rsidRPr="00A129D5">
        <w:rPr>
          <w:lang w:val="en-GB"/>
        </w:rPr>
        <w:t xml:space="preserve"> that completing of family houses was successfully started after unconvincing results from the previous year</w:t>
      </w:r>
      <w:r w:rsidR="00D4622E" w:rsidRPr="00A129D5">
        <w:rPr>
          <w:lang w:val="en-GB"/>
        </w:rPr>
        <w:t xml:space="preserve"> and multi-dwelling buildings were stagnating, in the Q2 the situation was the reverse.</w:t>
      </w:r>
      <w:r w:rsidR="00D271D8" w:rsidRPr="00A129D5">
        <w:rPr>
          <w:lang w:val="en-GB"/>
        </w:rPr>
        <w:t xml:space="preserve"> The number of completed dwellings was increasing thanks to the category of multi-dwelling buildings</w:t>
      </w:r>
      <w:r w:rsidR="00074E29" w:rsidRPr="00A129D5">
        <w:rPr>
          <w:lang w:val="en-GB"/>
        </w:rPr>
        <w:t>; however,</w:t>
      </w:r>
      <w:r w:rsidR="00BE31F3" w:rsidRPr="00A129D5">
        <w:rPr>
          <w:lang w:val="en-GB"/>
        </w:rPr>
        <w:t xml:space="preserve"> completing of family houses was slowed also due to price growth of materials and a lack of construction capacities. </w:t>
      </w:r>
      <w:r w:rsidR="00843231" w:rsidRPr="00A129D5">
        <w:rPr>
          <w:lang w:val="en-GB"/>
        </w:rPr>
        <w:t xml:space="preserve">In the </w:t>
      </w:r>
      <w:r w:rsidR="00074E29" w:rsidRPr="00A129D5">
        <w:rPr>
          <w:lang w:val="en-GB"/>
        </w:rPr>
        <w:t>second half-year</w:t>
      </w:r>
      <w:r w:rsidR="00843231" w:rsidRPr="00A129D5">
        <w:rPr>
          <w:lang w:val="en-GB"/>
        </w:rPr>
        <w:t>, both the categories got above the last year’s level and this growth was considerable especially as for multi-dwelling buildings</w:t>
      </w:r>
      <w:r w:rsidR="009E5DEF" w:rsidRPr="00A129D5">
        <w:rPr>
          <w:lang w:val="en-GB"/>
        </w:rPr>
        <w:t xml:space="preserve">. </w:t>
      </w:r>
      <w:r w:rsidR="004C01BF" w:rsidRPr="00A129D5">
        <w:rPr>
          <w:lang w:val="en-GB"/>
        </w:rPr>
        <w:t xml:space="preserve">The highest number of completions was in the </w:t>
      </w:r>
      <w:proofErr w:type="spellStart"/>
      <w:r w:rsidR="004C01BF" w:rsidRPr="00A129D5">
        <w:rPr>
          <w:rFonts w:cs="Arial"/>
          <w:i/>
          <w:szCs w:val="20"/>
          <w:lang w:val="en-GB"/>
        </w:rPr>
        <w:t>Středočeský</w:t>
      </w:r>
      <w:proofErr w:type="spellEnd"/>
      <w:r w:rsidR="004C01BF" w:rsidRPr="00A129D5">
        <w:rPr>
          <w:rFonts w:cs="Arial"/>
          <w:szCs w:val="20"/>
          <w:lang w:val="en-GB"/>
        </w:rPr>
        <w:t xml:space="preserve"> Region and in Prague. </w:t>
      </w:r>
      <w:r w:rsidR="003A748C" w:rsidRPr="00A129D5">
        <w:t xml:space="preserve"> </w:t>
      </w:r>
    </w:p>
    <w:p w14:paraId="117F33F4" w14:textId="1A438F99" w:rsidR="00C20C8C" w:rsidRPr="00A129D5" w:rsidRDefault="00CD01C9" w:rsidP="00C20C8C">
      <w:pPr>
        <w:spacing w:before="120"/>
        <w:rPr>
          <w:bCs/>
          <w:lang w:val="en-GB"/>
        </w:rPr>
      </w:pPr>
      <w:r w:rsidRPr="00A129D5">
        <w:rPr>
          <w:rFonts w:cs="Arial"/>
          <w:szCs w:val="20"/>
          <w:lang w:val="en-GB"/>
        </w:rPr>
        <w:t xml:space="preserve">The average registered number of employees in construction increased </w:t>
      </w:r>
      <w:r w:rsidR="00F54618" w:rsidRPr="00A129D5">
        <w:rPr>
          <w:rFonts w:cs="Arial"/>
          <w:szCs w:val="20"/>
          <w:lang w:val="en-GB"/>
        </w:rPr>
        <w:t>by 0.8</w:t>
      </w:r>
      <w:r w:rsidRPr="00A129D5">
        <w:rPr>
          <w:rFonts w:cs="Arial"/>
          <w:szCs w:val="20"/>
          <w:lang w:val="en-GB"/>
        </w:rPr>
        <w:t>%, year-on-year</w:t>
      </w:r>
      <w:r w:rsidR="00E16E87">
        <w:rPr>
          <w:rFonts w:cs="Arial"/>
          <w:szCs w:val="20"/>
          <w:lang w:val="en-GB"/>
        </w:rPr>
        <w:t xml:space="preserve">, </w:t>
      </w:r>
      <w:r w:rsidR="00E16E87" w:rsidRPr="00A129D5">
        <w:rPr>
          <w:rFonts w:cs="Arial"/>
          <w:szCs w:val="20"/>
          <w:lang w:val="en-GB"/>
        </w:rPr>
        <w:t>in 2022</w:t>
      </w:r>
      <w:r w:rsidRPr="00A129D5">
        <w:rPr>
          <w:rFonts w:cs="Arial"/>
          <w:szCs w:val="20"/>
          <w:lang w:val="en-GB"/>
        </w:rPr>
        <w:t>. Their average gross mon</w:t>
      </w:r>
      <w:r w:rsidR="00664271" w:rsidRPr="00A129D5">
        <w:rPr>
          <w:rFonts w:cs="Arial"/>
          <w:szCs w:val="20"/>
          <w:lang w:val="en-GB"/>
        </w:rPr>
        <w:t>thly nom</w:t>
      </w:r>
      <w:r w:rsidR="00144FD9" w:rsidRPr="00A129D5">
        <w:rPr>
          <w:rFonts w:cs="Arial"/>
          <w:szCs w:val="20"/>
          <w:lang w:val="en-GB"/>
        </w:rPr>
        <w:t>inal wage increased by 7.7</w:t>
      </w:r>
      <w:r w:rsidRPr="00A129D5">
        <w:rPr>
          <w:rFonts w:cs="Arial"/>
          <w:szCs w:val="20"/>
          <w:lang w:val="en-GB"/>
        </w:rPr>
        <w:t>%, year-on-y</w:t>
      </w:r>
      <w:r w:rsidR="00664271" w:rsidRPr="00A129D5">
        <w:rPr>
          <w:rFonts w:cs="Arial"/>
          <w:szCs w:val="20"/>
          <w:lang w:val="en-GB"/>
        </w:rPr>
        <w:t>ear</w:t>
      </w:r>
      <w:r w:rsidRPr="00A129D5">
        <w:rPr>
          <w:rFonts w:cs="Arial"/>
          <w:szCs w:val="20"/>
          <w:lang w:val="en-GB"/>
        </w:rPr>
        <w:t xml:space="preserve">. </w:t>
      </w:r>
      <w:r w:rsidRPr="00A129D5">
        <w:rPr>
          <w:lang w:val="en-GB"/>
        </w:rPr>
        <w:t xml:space="preserve"> </w:t>
      </w:r>
      <w:r w:rsidR="001747BB" w:rsidRPr="00A129D5">
        <w:rPr>
          <w:lang w:val="en-GB"/>
        </w:rPr>
        <w:t xml:space="preserve"> </w:t>
      </w:r>
    </w:p>
    <w:p w14:paraId="57F8CAF7" w14:textId="77777777" w:rsidR="00B727B7" w:rsidRPr="00A129D5" w:rsidRDefault="00B727B7" w:rsidP="00B727B7">
      <w:pPr>
        <w:pStyle w:val="Poznmky0"/>
        <w:pBdr>
          <w:top w:val="single" w:sz="4" w:space="1" w:color="auto"/>
        </w:pBdr>
        <w:spacing w:before="120" w:line="244" w:lineRule="auto"/>
        <w:rPr>
          <w:lang w:val="cs-CZ"/>
        </w:rPr>
      </w:pPr>
      <w:r w:rsidRPr="00A129D5">
        <w:rPr>
          <w:lang w:val="cs-CZ"/>
        </w:rPr>
        <w:t>Notes:</w:t>
      </w:r>
    </w:p>
    <w:p w14:paraId="7E8F4FD3" w14:textId="12065F68" w:rsidR="00C20C8C" w:rsidRPr="00A129D5" w:rsidRDefault="00B727B7" w:rsidP="00B727B7">
      <w:pPr>
        <w:pStyle w:val="Poznmky0"/>
        <w:pBdr>
          <w:top w:val="none" w:sz="0" w:space="0" w:color="auto"/>
        </w:pBdr>
        <w:spacing w:before="0" w:line="247" w:lineRule="auto"/>
        <w:rPr>
          <w:i w:val="0"/>
          <w:lang w:val="cs-CZ"/>
        </w:rPr>
      </w:pPr>
      <w:r w:rsidRPr="00A129D5">
        <w:rPr>
          <w:iCs/>
        </w:rPr>
        <w:t>The year-on-year development of construction output (production)</w:t>
      </w:r>
      <w:r w:rsidR="00E2167A">
        <w:rPr>
          <w:iCs/>
        </w:rPr>
        <w:t xml:space="preserve"> is published after having</w:t>
      </w:r>
      <w:r w:rsidRPr="00A129D5">
        <w:rPr>
          <w:iCs/>
        </w:rPr>
        <w:t xml:space="preserve"> been adjusted for</w:t>
      </w:r>
      <w:r w:rsidR="001E6016">
        <w:rPr>
          <w:iCs/>
        </w:rPr>
        <w:t xml:space="preserve"> the influence of</w:t>
      </w:r>
      <w:r w:rsidRPr="00A129D5">
        <w:rPr>
          <w:iCs/>
        </w:rPr>
        <w:t xml:space="preserve"> </w:t>
      </w:r>
      <w:bookmarkStart w:id="0" w:name="_GoBack"/>
      <w:bookmarkEnd w:id="0"/>
      <w:r w:rsidRPr="00A129D5">
        <w:rPr>
          <w:iCs/>
        </w:rPr>
        <w:t xml:space="preserve">working days. Month-on-month or quarter-on-quarter rates </w:t>
      </w:r>
      <w:r w:rsidR="003D58F2" w:rsidRPr="00A129D5">
        <w:rPr>
          <w:iCs/>
        </w:rPr>
        <w:t>have</w:t>
      </w:r>
      <w:r w:rsidRPr="00A129D5">
        <w:rPr>
          <w:iCs/>
        </w:rPr>
        <w:t xml:space="preserve"> also</w:t>
      </w:r>
      <w:r w:rsidR="003D58F2" w:rsidRPr="00A129D5">
        <w:rPr>
          <w:iCs/>
        </w:rPr>
        <w:t xml:space="preserve"> been</w:t>
      </w:r>
      <w:r w:rsidRPr="00A129D5">
        <w:rPr>
          <w:iCs/>
        </w:rPr>
        <w:t xml:space="preserve"> seasonally adjusted</w:t>
      </w:r>
      <w:r w:rsidR="00C20C8C" w:rsidRPr="00A129D5">
        <w:rPr>
          <w:iCs/>
          <w:lang w:val="cs-CZ"/>
        </w:rPr>
        <w:t xml:space="preserve">. </w:t>
      </w:r>
    </w:p>
    <w:p w14:paraId="5AF659A5" w14:textId="77777777" w:rsidR="00C20C8C" w:rsidRPr="00A129D5" w:rsidRDefault="00B727B7" w:rsidP="00C20C8C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A129D5">
        <w:rPr>
          <w:iCs/>
        </w:rPr>
        <w:t xml:space="preserve">Methodology: </w:t>
      </w:r>
      <w:hyperlink r:id="rId7" w:history="1">
        <w:r w:rsidRPr="00A129D5">
          <w:rPr>
            <w:rStyle w:val="Hypertextovodkaz"/>
          </w:rPr>
          <w:t>https://www.czso.cz/csu/czso/sta_m</w:t>
        </w:r>
      </w:hyperlink>
      <w:r w:rsidR="00C20C8C" w:rsidRPr="00A129D5">
        <w:rPr>
          <w:iCs/>
        </w:rPr>
        <w:t xml:space="preserve"> </w:t>
      </w:r>
    </w:p>
    <w:p w14:paraId="37DA02DB" w14:textId="77777777" w:rsidR="00C20C8C" w:rsidRPr="00A129D5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A129D5">
        <w:rPr>
          <w:i/>
          <w:color w:val="auto"/>
          <w:lang w:val="en-GB"/>
        </w:rPr>
        <w:t>Contact person</w:t>
      </w:r>
      <w:r w:rsidRPr="00A129D5">
        <w:rPr>
          <w:i/>
        </w:rPr>
        <w:t>:</w:t>
      </w:r>
      <w:r w:rsidRPr="00A129D5">
        <w:rPr>
          <w:i/>
        </w:rPr>
        <w:tab/>
      </w:r>
      <w:r w:rsidR="00C20C8C" w:rsidRPr="00A129D5">
        <w:rPr>
          <w:i/>
        </w:rPr>
        <w:t xml:space="preserve">Petra Cuřínová, </w:t>
      </w:r>
      <w:r w:rsidRPr="00A129D5">
        <w:rPr>
          <w:i/>
          <w:color w:val="auto"/>
          <w:lang w:val="en-GB"/>
        </w:rPr>
        <w:t xml:space="preserve">Head of the Construction Statistics Unit, phone number: (+420) </w:t>
      </w:r>
      <w:r w:rsidRPr="00A129D5">
        <w:rPr>
          <w:i/>
        </w:rPr>
        <w:t>737 280 494</w:t>
      </w:r>
      <w:r w:rsidR="00C20C8C" w:rsidRPr="00A129D5">
        <w:rPr>
          <w:i/>
        </w:rPr>
        <w:t xml:space="preserve">, e-mail: </w:t>
      </w:r>
      <w:hyperlink r:id="rId8" w:history="1">
        <w:r w:rsidR="00C20C8C" w:rsidRPr="00A129D5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C20C8C" w:rsidRPr="00A129D5">
        <w:rPr>
          <w:rFonts w:ascii="ArialMT" w:hAnsi="ArialMT"/>
          <w:i/>
        </w:rPr>
        <w:t xml:space="preserve"> </w:t>
      </w:r>
    </w:p>
    <w:p w14:paraId="41AC6553" w14:textId="77777777" w:rsidR="00C20C8C" w:rsidRPr="00A129D5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A129D5">
        <w:rPr>
          <w:i/>
          <w:color w:val="auto"/>
          <w:lang w:val="en-GB"/>
        </w:rPr>
        <w:t>Related outputs</w:t>
      </w:r>
      <w:r w:rsidR="00C20C8C" w:rsidRPr="00A129D5">
        <w:rPr>
          <w:i/>
          <w:color w:val="auto"/>
        </w:rPr>
        <w:t>:</w:t>
      </w:r>
      <w:r w:rsidR="00C20C8C" w:rsidRPr="00A129D5">
        <w:rPr>
          <w:i/>
          <w:color w:val="auto"/>
        </w:rPr>
        <w:tab/>
      </w:r>
      <w:hyperlink r:id="rId9" w:history="1">
        <w:r w:rsidRPr="00A129D5">
          <w:rPr>
            <w:rStyle w:val="Hypertextovodkaz"/>
            <w:i/>
          </w:rPr>
          <w:t>https://www.czso.cz/csu/czso/sta_ts</w:t>
        </w:r>
      </w:hyperlink>
      <w:r w:rsidR="00C20C8C" w:rsidRPr="00A129D5">
        <w:rPr>
          <w:rFonts w:cs="Arial"/>
          <w:i/>
        </w:rPr>
        <w:t xml:space="preserve"> </w:t>
      </w:r>
      <w:r w:rsidR="00C20C8C" w:rsidRPr="00A129D5">
        <w:rPr>
          <w:i/>
          <w:color w:val="auto"/>
        </w:rPr>
        <w:t xml:space="preserve">   </w:t>
      </w:r>
      <w:hyperlink r:id="rId10" w:history="1">
        <w:r w:rsidRPr="00A129D5">
          <w:rPr>
            <w:rStyle w:val="Hypertextovodkaz"/>
            <w:i/>
          </w:rPr>
          <w:t>https://www.czso.cz/csu/czso/bvz_ts</w:t>
        </w:r>
      </w:hyperlink>
    </w:p>
    <w:p w14:paraId="0DB7EBDC" w14:textId="77777777" w:rsidR="00C20C8C" w:rsidRDefault="00C20C8C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A129D5">
        <w:rPr>
          <w:i/>
        </w:rPr>
        <w:tab/>
      </w:r>
      <w:r w:rsidR="00B727B7" w:rsidRPr="00A129D5">
        <w:rPr>
          <w:i/>
          <w:color w:val="auto"/>
          <w:lang w:val="fr-FR"/>
        </w:rPr>
        <w:t>international comparison in EU countries</w:t>
      </w:r>
      <w:r w:rsidR="00B727B7" w:rsidRPr="00A129D5">
        <w:rPr>
          <w:i/>
          <w:color w:val="auto"/>
        </w:rPr>
        <w:t xml:space="preserve">: </w:t>
      </w:r>
      <w:hyperlink r:id="rId11" w:history="1">
        <w:proofErr w:type="spellStart"/>
        <w:r w:rsidR="00B727B7" w:rsidRPr="00A129D5">
          <w:rPr>
            <w:rStyle w:val="Hypertextovodkaz"/>
            <w:i/>
          </w:rPr>
          <w:t>Eurostat</w:t>
        </w:r>
        <w:proofErr w:type="spellEnd"/>
      </w:hyperlink>
    </w:p>
    <w:p w14:paraId="63E00E11" w14:textId="77777777" w:rsidR="00D209A7" w:rsidRPr="00C20C8C" w:rsidRDefault="00D209A7" w:rsidP="00C20C8C"/>
    <w:sectPr w:rsidR="00D209A7" w:rsidRPr="00C20C8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83A8C" w14:textId="77777777" w:rsidR="009D42E1" w:rsidRDefault="009D42E1" w:rsidP="00BA6370">
      <w:r>
        <w:separator/>
      </w:r>
    </w:p>
  </w:endnote>
  <w:endnote w:type="continuationSeparator" w:id="0">
    <w:p w14:paraId="4F4E1CEA" w14:textId="77777777" w:rsidR="009D42E1" w:rsidRDefault="009D42E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8508" w14:textId="77777777" w:rsidR="002608B0" w:rsidRDefault="002608B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8A7361" wp14:editId="627919F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F5265" w14:textId="77777777" w:rsidR="002608B0" w:rsidRPr="00D52A09" w:rsidRDefault="002608B0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6098D4B1" w14:textId="77777777" w:rsidR="002608B0" w:rsidRDefault="002608B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22468A2" w14:textId="77777777" w:rsidR="002608B0" w:rsidRPr="00D52A09" w:rsidRDefault="002608B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9CF02FE" w14:textId="7C874860" w:rsidR="002608B0" w:rsidRPr="000172E7" w:rsidRDefault="002608B0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E601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73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4CF5265" w14:textId="77777777" w:rsidR="002608B0" w:rsidRPr="00D52A09" w:rsidRDefault="002608B0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6098D4B1" w14:textId="77777777" w:rsidR="002608B0" w:rsidRDefault="002608B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22468A2" w14:textId="77777777" w:rsidR="002608B0" w:rsidRPr="00D52A09" w:rsidRDefault="002608B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9CF02FE" w14:textId="7C874860" w:rsidR="002608B0" w:rsidRPr="000172E7" w:rsidRDefault="002608B0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E601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AE60EBE" wp14:editId="46D06C1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07D59" w14:textId="77777777" w:rsidR="009D42E1" w:rsidRDefault="009D42E1" w:rsidP="00BA6370">
      <w:r>
        <w:separator/>
      </w:r>
    </w:p>
  </w:footnote>
  <w:footnote w:type="continuationSeparator" w:id="0">
    <w:p w14:paraId="108DA567" w14:textId="77777777" w:rsidR="009D42E1" w:rsidRDefault="009D42E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1155" w14:textId="77777777" w:rsidR="002608B0" w:rsidRDefault="002608B0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DB1279" wp14:editId="4C606188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7F50"/>
    <w:rsid w:val="0001565C"/>
    <w:rsid w:val="000206BF"/>
    <w:rsid w:val="00030D5A"/>
    <w:rsid w:val="00033596"/>
    <w:rsid w:val="00041028"/>
    <w:rsid w:val="00043BF4"/>
    <w:rsid w:val="000574E2"/>
    <w:rsid w:val="000637C9"/>
    <w:rsid w:val="00064B01"/>
    <w:rsid w:val="00066897"/>
    <w:rsid w:val="0007417B"/>
    <w:rsid w:val="00074E29"/>
    <w:rsid w:val="00081D44"/>
    <w:rsid w:val="000843A5"/>
    <w:rsid w:val="00091722"/>
    <w:rsid w:val="00093208"/>
    <w:rsid w:val="00096A9C"/>
    <w:rsid w:val="000A388F"/>
    <w:rsid w:val="000A416D"/>
    <w:rsid w:val="000A4631"/>
    <w:rsid w:val="000B1C50"/>
    <w:rsid w:val="000B6773"/>
    <w:rsid w:val="000B6F63"/>
    <w:rsid w:val="000D2147"/>
    <w:rsid w:val="000D63CD"/>
    <w:rsid w:val="000E1072"/>
    <w:rsid w:val="000E44BA"/>
    <w:rsid w:val="000E5668"/>
    <w:rsid w:val="001026B7"/>
    <w:rsid w:val="00116ED1"/>
    <w:rsid w:val="00123849"/>
    <w:rsid w:val="001313DE"/>
    <w:rsid w:val="0013242C"/>
    <w:rsid w:val="0013359B"/>
    <w:rsid w:val="001404AB"/>
    <w:rsid w:val="00144FD9"/>
    <w:rsid w:val="001542AF"/>
    <w:rsid w:val="0016006E"/>
    <w:rsid w:val="0016650B"/>
    <w:rsid w:val="00167F1C"/>
    <w:rsid w:val="0017231D"/>
    <w:rsid w:val="001747BB"/>
    <w:rsid w:val="00175B25"/>
    <w:rsid w:val="00176E26"/>
    <w:rsid w:val="0018061F"/>
    <w:rsid w:val="001810DC"/>
    <w:rsid w:val="00190C5A"/>
    <w:rsid w:val="00190EF2"/>
    <w:rsid w:val="0019270A"/>
    <w:rsid w:val="001957DF"/>
    <w:rsid w:val="001A0677"/>
    <w:rsid w:val="001A0E9E"/>
    <w:rsid w:val="001A2213"/>
    <w:rsid w:val="001A4B37"/>
    <w:rsid w:val="001B607F"/>
    <w:rsid w:val="001C71FD"/>
    <w:rsid w:val="001D369A"/>
    <w:rsid w:val="001D4A25"/>
    <w:rsid w:val="001D6BF0"/>
    <w:rsid w:val="001E6016"/>
    <w:rsid w:val="001F08B3"/>
    <w:rsid w:val="001F47D3"/>
    <w:rsid w:val="001F47D7"/>
    <w:rsid w:val="001F49AD"/>
    <w:rsid w:val="0020106D"/>
    <w:rsid w:val="002070FB"/>
    <w:rsid w:val="00213729"/>
    <w:rsid w:val="002231A1"/>
    <w:rsid w:val="00237F91"/>
    <w:rsid w:val="002406FA"/>
    <w:rsid w:val="00244FD3"/>
    <w:rsid w:val="002608B0"/>
    <w:rsid w:val="002613FD"/>
    <w:rsid w:val="0026296D"/>
    <w:rsid w:val="00263619"/>
    <w:rsid w:val="002674E1"/>
    <w:rsid w:val="002802A5"/>
    <w:rsid w:val="00286FF9"/>
    <w:rsid w:val="00295497"/>
    <w:rsid w:val="00297900"/>
    <w:rsid w:val="002A3BCD"/>
    <w:rsid w:val="002B2E47"/>
    <w:rsid w:val="002B793D"/>
    <w:rsid w:val="002C03E0"/>
    <w:rsid w:val="002D37F5"/>
    <w:rsid w:val="002D5D71"/>
    <w:rsid w:val="00316EC2"/>
    <w:rsid w:val="0032129C"/>
    <w:rsid w:val="00321C92"/>
    <w:rsid w:val="0032398D"/>
    <w:rsid w:val="003301A3"/>
    <w:rsid w:val="00343C13"/>
    <w:rsid w:val="0034581F"/>
    <w:rsid w:val="00350C56"/>
    <w:rsid w:val="0036414F"/>
    <w:rsid w:val="0036777B"/>
    <w:rsid w:val="00372ADD"/>
    <w:rsid w:val="00373DFF"/>
    <w:rsid w:val="00375422"/>
    <w:rsid w:val="00380178"/>
    <w:rsid w:val="0038282A"/>
    <w:rsid w:val="00386D3E"/>
    <w:rsid w:val="00397580"/>
    <w:rsid w:val="003A349A"/>
    <w:rsid w:val="003A45C8"/>
    <w:rsid w:val="003A4D4C"/>
    <w:rsid w:val="003A748C"/>
    <w:rsid w:val="003B7F42"/>
    <w:rsid w:val="003C2DCF"/>
    <w:rsid w:val="003C3372"/>
    <w:rsid w:val="003C398D"/>
    <w:rsid w:val="003C7FE7"/>
    <w:rsid w:val="003D0499"/>
    <w:rsid w:val="003D204C"/>
    <w:rsid w:val="003D3576"/>
    <w:rsid w:val="003D51C8"/>
    <w:rsid w:val="003D58F2"/>
    <w:rsid w:val="003D797F"/>
    <w:rsid w:val="003E2627"/>
    <w:rsid w:val="003E4764"/>
    <w:rsid w:val="003F2E53"/>
    <w:rsid w:val="003F526A"/>
    <w:rsid w:val="003F6B21"/>
    <w:rsid w:val="00405244"/>
    <w:rsid w:val="00406918"/>
    <w:rsid w:val="00413CDC"/>
    <w:rsid w:val="004341C5"/>
    <w:rsid w:val="00436D82"/>
    <w:rsid w:val="004436EE"/>
    <w:rsid w:val="00444381"/>
    <w:rsid w:val="0044607E"/>
    <w:rsid w:val="0045547F"/>
    <w:rsid w:val="00456978"/>
    <w:rsid w:val="004812CB"/>
    <w:rsid w:val="00484D05"/>
    <w:rsid w:val="00485BC4"/>
    <w:rsid w:val="004920AD"/>
    <w:rsid w:val="004A308F"/>
    <w:rsid w:val="004B0C59"/>
    <w:rsid w:val="004C01BF"/>
    <w:rsid w:val="004C3CFE"/>
    <w:rsid w:val="004D05B3"/>
    <w:rsid w:val="004D5FD8"/>
    <w:rsid w:val="004D6610"/>
    <w:rsid w:val="004E479E"/>
    <w:rsid w:val="004F3385"/>
    <w:rsid w:val="004F78E6"/>
    <w:rsid w:val="00504266"/>
    <w:rsid w:val="00512D99"/>
    <w:rsid w:val="00524653"/>
    <w:rsid w:val="005319FB"/>
    <w:rsid w:val="00531DBB"/>
    <w:rsid w:val="00564213"/>
    <w:rsid w:val="00565E1C"/>
    <w:rsid w:val="00566B18"/>
    <w:rsid w:val="00570982"/>
    <w:rsid w:val="00586242"/>
    <w:rsid w:val="005A184E"/>
    <w:rsid w:val="005A712F"/>
    <w:rsid w:val="005C31E9"/>
    <w:rsid w:val="005D29C6"/>
    <w:rsid w:val="005D57AB"/>
    <w:rsid w:val="005E239B"/>
    <w:rsid w:val="005E5A9E"/>
    <w:rsid w:val="005F79FB"/>
    <w:rsid w:val="006036FA"/>
    <w:rsid w:val="00604406"/>
    <w:rsid w:val="00605B85"/>
    <w:rsid w:val="00605F4A"/>
    <w:rsid w:val="00607822"/>
    <w:rsid w:val="006103AA"/>
    <w:rsid w:val="006113DE"/>
    <w:rsid w:val="00611CA2"/>
    <w:rsid w:val="00612E3B"/>
    <w:rsid w:val="00613BBF"/>
    <w:rsid w:val="00614341"/>
    <w:rsid w:val="00615045"/>
    <w:rsid w:val="00622B80"/>
    <w:rsid w:val="006234F5"/>
    <w:rsid w:val="0064139A"/>
    <w:rsid w:val="00644164"/>
    <w:rsid w:val="006509B0"/>
    <w:rsid w:val="00664271"/>
    <w:rsid w:val="006652D3"/>
    <w:rsid w:val="006670D8"/>
    <w:rsid w:val="00675275"/>
    <w:rsid w:val="00695AB2"/>
    <w:rsid w:val="006978A0"/>
    <w:rsid w:val="006D5C60"/>
    <w:rsid w:val="006D6AA2"/>
    <w:rsid w:val="006E024F"/>
    <w:rsid w:val="006E4E81"/>
    <w:rsid w:val="006F38DA"/>
    <w:rsid w:val="006F5ABD"/>
    <w:rsid w:val="00702A95"/>
    <w:rsid w:val="00703569"/>
    <w:rsid w:val="00707F7D"/>
    <w:rsid w:val="00712E32"/>
    <w:rsid w:val="00717EC5"/>
    <w:rsid w:val="00733085"/>
    <w:rsid w:val="007340D4"/>
    <w:rsid w:val="00744F9F"/>
    <w:rsid w:val="007475E6"/>
    <w:rsid w:val="00755D8B"/>
    <w:rsid w:val="00757426"/>
    <w:rsid w:val="00763787"/>
    <w:rsid w:val="0077225C"/>
    <w:rsid w:val="00774854"/>
    <w:rsid w:val="007776E7"/>
    <w:rsid w:val="00784615"/>
    <w:rsid w:val="00792BED"/>
    <w:rsid w:val="00793870"/>
    <w:rsid w:val="00793D5F"/>
    <w:rsid w:val="00794E5B"/>
    <w:rsid w:val="007A0CA5"/>
    <w:rsid w:val="007A57F2"/>
    <w:rsid w:val="007A6045"/>
    <w:rsid w:val="007B1333"/>
    <w:rsid w:val="007C358E"/>
    <w:rsid w:val="007C6E37"/>
    <w:rsid w:val="007D3BD6"/>
    <w:rsid w:val="007E2FC1"/>
    <w:rsid w:val="007E395D"/>
    <w:rsid w:val="007E61F9"/>
    <w:rsid w:val="007E7EDC"/>
    <w:rsid w:val="007F4AEB"/>
    <w:rsid w:val="007F583D"/>
    <w:rsid w:val="007F75B2"/>
    <w:rsid w:val="008043C4"/>
    <w:rsid w:val="00825E3E"/>
    <w:rsid w:val="00831B1B"/>
    <w:rsid w:val="00837F3F"/>
    <w:rsid w:val="00841B06"/>
    <w:rsid w:val="00843231"/>
    <w:rsid w:val="008464AF"/>
    <w:rsid w:val="00846F1D"/>
    <w:rsid w:val="0085336C"/>
    <w:rsid w:val="00853688"/>
    <w:rsid w:val="008552EA"/>
    <w:rsid w:val="00855FB3"/>
    <w:rsid w:val="00861D0E"/>
    <w:rsid w:val="0086231A"/>
    <w:rsid w:val="008661AB"/>
    <w:rsid w:val="00866688"/>
    <w:rsid w:val="00867569"/>
    <w:rsid w:val="0087143E"/>
    <w:rsid w:val="00877BB2"/>
    <w:rsid w:val="00880A7E"/>
    <w:rsid w:val="00885C0D"/>
    <w:rsid w:val="00885E87"/>
    <w:rsid w:val="00890F16"/>
    <w:rsid w:val="008A750A"/>
    <w:rsid w:val="008B3970"/>
    <w:rsid w:val="008C384C"/>
    <w:rsid w:val="008D0F11"/>
    <w:rsid w:val="008D32CA"/>
    <w:rsid w:val="008D5831"/>
    <w:rsid w:val="008F40D4"/>
    <w:rsid w:val="008F73B4"/>
    <w:rsid w:val="008F7C81"/>
    <w:rsid w:val="00902BA7"/>
    <w:rsid w:val="009035E8"/>
    <w:rsid w:val="009317E9"/>
    <w:rsid w:val="00931D2B"/>
    <w:rsid w:val="009416D8"/>
    <w:rsid w:val="0094348E"/>
    <w:rsid w:val="0094433F"/>
    <w:rsid w:val="009450D4"/>
    <w:rsid w:val="00953416"/>
    <w:rsid w:val="00953AB9"/>
    <w:rsid w:val="00955183"/>
    <w:rsid w:val="00962158"/>
    <w:rsid w:val="00971374"/>
    <w:rsid w:val="009B55B1"/>
    <w:rsid w:val="009C1838"/>
    <w:rsid w:val="009C4D55"/>
    <w:rsid w:val="009D13F2"/>
    <w:rsid w:val="009D42E1"/>
    <w:rsid w:val="009E006F"/>
    <w:rsid w:val="009E39C5"/>
    <w:rsid w:val="009E5DEF"/>
    <w:rsid w:val="009F5915"/>
    <w:rsid w:val="00A07BA7"/>
    <w:rsid w:val="00A129D5"/>
    <w:rsid w:val="00A160F0"/>
    <w:rsid w:val="00A17409"/>
    <w:rsid w:val="00A23693"/>
    <w:rsid w:val="00A31A5B"/>
    <w:rsid w:val="00A35AD1"/>
    <w:rsid w:val="00A4343D"/>
    <w:rsid w:val="00A457B3"/>
    <w:rsid w:val="00A502F1"/>
    <w:rsid w:val="00A63B9A"/>
    <w:rsid w:val="00A640BD"/>
    <w:rsid w:val="00A666BE"/>
    <w:rsid w:val="00A70A83"/>
    <w:rsid w:val="00A803FC"/>
    <w:rsid w:val="00A8095D"/>
    <w:rsid w:val="00A81EB3"/>
    <w:rsid w:val="00AA04C3"/>
    <w:rsid w:val="00AB5A31"/>
    <w:rsid w:val="00AB6196"/>
    <w:rsid w:val="00AC3140"/>
    <w:rsid w:val="00AD378C"/>
    <w:rsid w:val="00AE524C"/>
    <w:rsid w:val="00AF3D28"/>
    <w:rsid w:val="00B00C1D"/>
    <w:rsid w:val="00B06844"/>
    <w:rsid w:val="00B2096E"/>
    <w:rsid w:val="00B25E42"/>
    <w:rsid w:val="00B32C80"/>
    <w:rsid w:val="00B475F0"/>
    <w:rsid w:val="00B50D14"/>
    <w:rsid w:val="00B62D17"/>
    <w:rsid w:val="00B632CC"/>
    <w:rsid w:val="00B727B7"/>
    <w:rsid w:val="00B8176F"/>
    <w:rsid w:val="00B84375"/>
    <w:rsid w:val="00BA12F1"/>
    <w:rsid w:val="00BA1AC7"/>
    <w:rsid w:val="00BA439F"/>
    <w:rsid w:val="00BA50B1"/>
    <w:rsid w:val="00BA6370"/>
    <w:rsid w:val="00BB1CB6"/>
    <w:rsid w:val="00BB7E15"/>
    <w:rsid w:val="00BD0A7A"/>
    <w:rsid w:val="00BE31F3"/>
    <w:rsid w:val="00BE6568"/>
    <w:rsid w:val="00BE7293"/>
    <w:rsid w:val="00BF6B57"/>
    <w:rsid w:val="00C16C20"/>
    <w:rsid w:val="00C20C8C"/>
    <w:rsid w:val="00C269D4"/>
    <w:rsid w:val="00C36B9D"/>
    <w:rsid w:val="00C4160D"/>
    <w:rsid w:val="00C630EA"/>
    <w:rsid w:val="00C6490A"/>
    <w:rsid w:val="00C74AEA"/>
    <w:rsid w:val="00C8406E"/>
    <w:rsid w:val="00C87220"/>
    <w:rsid w:val="00CA0648"/>
    <w:rsid w:val="00CA2498"/>
    <w:rsid w:val="00CB2709"/>
    <w:rsid w:val="00CB6F89"/>
    <w:rsid w:val="00CD01C9"/>
    <w:rsid w:val="00CD02D6"/>
    <w:rsid w:val="00CD0828"/>
    <w:rsid w:val="00CD2BBD"/>
    <w:rsid w:val="00CE228C"/>
    <w:rsid w:val="00CE233F"/>
    <w:rsid w:val="00CE25DD"/>
    <w:rsid w:val="00CE5A21"/>
    <w:rsid w:val="00CE71D9"/>
    <w:rsid w:val="00CF3000"/>
    <w:rsid w:val="00CF545B"/>
    <w:rsid w:val="00CF7302"/>
    <w:rsid w:val="00D002DF"/>
    <w:rsid w:val="00D11CAC"/>
    <w:rsid w:val="00D209A7"/>
    <w:rsid w:val="00D271D8"/>
    <w:rsid w:val="00D27D69"/>
    <w:rsid w:val="00D448C2"/>
    <w:rsid w:val="00D4622E"/>
    <w:rsid w:val="00D62DF0"/>
    <w:rsid w:val="00D666C3"/>
    <w:rsid w:val="00D71A7C"/>
    <w:rsid w:val="00D801C1"/>
    <w:rsid w:val="00D80C56"/>
    <w:rsid w:val="00D811AB"/>
    <w:rsid w:val="00D84D2C"/>
    <w:rsid w:val="00D906D3"/>
    <w:rsid w:val="00D95A34"/>
    <w:rsid w:val="00DB01F8"/>
    <w:rsid w:val="00DB4530"/>
    <w:rsid w:val="00DB547E"/>
    <w:rsid w:val="00DD237F"/>
    <w:rsid w:val="00DD6B13"/>
    <w:rsid w:val="00DF33CD"/>
    <w:rsid w:val="00DF47FE"/>
    <w:rsid w:val="00DF62B8"/>
    <w:rsid w:val="00E0156A"/>
    <w:rsid w:val="00E05A63"/>
    <w:rsid w:val="00E1630A"/>
    <w:rsid w:val="00E16412"/>
    <w:rsid w:val="00E16E87"/>
    <w:rsid w:val="00E2167A"/>
    <w:rsid w:val="00E26704"/>
    <w:rsid w:val="00E31980"/>
    <w:rsid w:val="00E33B24"/>
    <w:rsid w:val="00E41A88"/>
    <w:rsid w:val="00E4684A"/>
    <w:rsid w:val="00E50AD5"/>
    <w:rsid w:val="00E533C9"/>
    <w:rsid w:val="00E536AE"/>
    <w:rsid w:val="00E537AB"/>
    <w:rsid w:val="00E54463"/>
    <w:rsid w:val="00E60FA5"/>
    <w:rsid w:val="00E6423C"/>
    <w:rsid w:val="00E71483"/>
    <w:rsid w:val="00E73B1E"/>
    <w:rsid w:val="00E73E4D"/>
    <w:rsid w:val="00E81A41"/>
    <w:rsid w:val="00E8614C"/>
    <w:rsid w:val="00E93830"/>
    <w:rsid w:val="00E93E0E"/>
    <w:rsid w:val="00E94ED7"/>
    <w:rsid w:val="00EA3829"/>
    <w:rsid w:val="00EA5712"/>
    <w:rsid w:val="00EB1A25"/>
    <w:rsid w:val="00EB1ED3"/>
    <w:rsid w:val="00EB3F15"/>
    <w:rsid w:val="00EE4447"/>
    <w:rsid w:val="00EE70B7"/>
    <w:rsid w:val="00EE758E"/>
    <w:rsid w:val="00EF66CA"/>
    <w:rsid w:val="00F0433E"/>
    <w:rsid w:val="00F2593E"/>
    <w:rsid w:val="00F27F6E"/>
    <w:rsid w:val="00F314B7"/>
    <w:rsid w:val="00F37EB6"/>
    <w:rsid w:val="00F434EF"/>
    <w:rsid w:val="00F45AB9"/>
    <w:rsid w:val="00F53E00"/>
    <w:rsid w:val="00F54618"/>
    <w:rsid w:val="00F54C0A"/>
    <w:rsid w:val="00F6518D"/>
    <w:rsid w:val="00F66C3C"/>
    <w:rsid w:val="00F7342C"/>
    <w:rsid w:val="00F77E02"/>
    <w:rsid w:val="00F80DAA"/>
    <w:rsid w:val="00F83C49"/>
    <w:rsid w:val="00F900E0"/>
    <w:rsid w:val="00F92E06"/>
    <w:rsid w:val="00F938C7"/>
    <w:rsid w:val="00F93E58"/>
    <w:rsid w:val="00FA1189"/>
    <w:rsid w:val="00FA5968"/>
    <w:rsid w:val="00FB6064"/>
    <w:rsid w:val="00FB687C"/>
    <w:rsid w:val="00FC3777"/>
    <w:rsid w:val="00FE103B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06C8B9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C20C8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317E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32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C8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C8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C80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7F583D"/>
  </w:style>
  <w:style w:type="character" w:customStyle="1" w:styleId="eop">
    <w:name w:val="eop"/>
    <w:basedOn w:val="Standardnpsmoodstavce"/>
    <w:rsid w:val="007F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_m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1B747-C9B5-4CF5-BD12-31459E0AB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D7C05-67B1-420B-B0A7-058E1E1CFF42}"/>
</file>

<file path=customXml/itemProps3.xml><?xml version="1.0" encoding="utf-8"?>
<ds:datastoreItem xmlns:ds="http://schemas.openxmlformats.org/officeDocument/2006/customXml" ds:itemID="{3A75E554-6F3A-4C93-8E87-C2BE7B8AF0A4}"/>
</file>

<file path=customXml/itemProps4.xml><?xml version="1.0" encoding="utf-8"?>
<ds:datastoreItem xmlns:ds="http://schemas.openxmlformats.org/officeDocument/2006/customXml" ds:itemID="{0C0BBADF-906B-4B9E-863A-BB47789EAA74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122</TotalTime>
  <Pages>2</Pages>
  <Words>949</Words>
  <Characters>5460</Characters>
  <Application>Microsoft Office Word</Application>
  <DocSecurity>0</DocSecurity>
  <Lines>78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Matoušová Milada</cp:lastModifiedBy>
  <cp:revision>77</cp:revision>
  <dcterms:created xsi:type="dcterms:W3CDTF">2023-02-02T12:10:00Z</dcterms:created>
  <dcterms:modified xsi:type="dcterms:W3CDTF">2023-02-03T08:44:00Z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