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415394D2" w:rsidR="001F35EB" w:rsidRDefault="0052088D" w:rsidP="001F35EB">
      <w:pPr>
        <w:pStyle w:val="Datum"/>
        <w:rPr>
          <w:lang w:val="en-US"/>
        </w:rPr>
      </w:pPr>
      <w:r>
        <w:rPr>
          <w:lang w:val="en-US"/>
        </w:rPr>
        <w:t>January 24, 2022</w:t>
      </w:r>
    </w:p>
    <w:p w14:paraId="2F02A973" w14:textId="1CEDFDB1" w:rsidR="00AE14C1" w:rsidRPr="0096305F" w:rsidRDefault="00B925A1" w:rsidP="006D6E0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Overall confidence in the economy increased </w:t>
      </w:r>
      <w:r w:rsidR="00376854">
        <w:rPr>
          <w:rFonts w:eastAsia="Times New Roman"/>
          <w:b/>
          <w:bCs/>
          <w:color w:val="BD1B21"/>
          <w:sz w:val="32"/>
          <w:szCs w:val="32"/>
        </w:rPr>
        <w:t>after six months</w:t>
      </w:r>
    </w:p>
    <w:p w14:paraId="6729F9CC" w14:textId="5416A6B9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52088D">
        <w:rPr>
          <w:rFonts w:eastAsia="Times New Roman"/>
          <w:b/>
          <w:bCs/>
          <w:sz w:val="28"/>
          <w:szCs w:val="28"/>
        </w:rPr>
        <w:t>January 2022</w:t>
      </w:r>
    </w:p>
    <w:p w14:paraId="2A32C78C" w14:textId="35153E0B" w:rsidR="00433171" w:rsidRDefault="00F27675" w:rsidP="0085352A">
      <w:pPr>
        <w:rPr>
          <w:rFonts w:cs="Arial"/>
          <w:b/>
          <w:color w:val="000000" w:themeColor="text1"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>The composite confidence indicator (economic sentiment indicator) – in the basis index form – increased by 2.0 percentage points to 97.6, m-o-m, with both components increasing</w:t>
      </w:r>
      <w:r>
        <w:rPr>
          <w:rFonts w:cs="Arial"/>
          <w:b/>
          <w:szCs w:val="18"/>
        </w:rPr>
        <w:t>. Business confidence indicator increased by 2.3 percentage points to 98.8</w:t>
      </w:r>
      <w:r w:rsidRPr="00F93C0F">
        <w:rPr>
          <w:rFonts w:cs="Arial"/>
          <w:b/>
          <w:color w:val="000000" w:themeColor="text1"/>
          <w:szCs w:val="18"/>
        </w:rPr>
        <w:t>, the consumer confidence indicator increased by 0.2 percentage points to 91.4</w:t>
      </w:r>
      <w:r>
        <w:rPr>
          <w:rFonts w:cs="Arial"/>
          <w:b/>
          <w:color w:val="000000" w:themeColor="text1"/>
          <w:szCs w:val="18"/>
        </w:rPr>
        <w:t>.</w:t>
      </w:r>
    </w:p>
    <w:p w14:paraId="0AFA0743" w14:textId="77777777" w:rsidR="00F27675" w:rsidRDefault="00F27675" w:rsidP="0085352A">
      <w:pPr>
        <w:rPr>
          <w:rFonts w:cs="Arial"/>
          <w:b/>
          <w:noProof/>
          <w:szCs w:val="18"/>
          <w:lang w:val="cs-CZ" w:eastAsia="cs-CZ"/>
        </w:rPr>
      </w:pPr>
    </w:p>
    <w:p w14:paraId="1D7358BE" w14:textId="1364AD53" w:rsidR="00433171" w:rsidRPr="00DE4654" w:rsidRDefault="00433171" w:rsidP="0085352A">
      <w:r>
        <w:rPr>
          <w:rFonts w:cs="Arial"/>
          <w:b/>
          <w:noProof/>
          <w:color w:val="000000" w:themeColor="text1"/>
          <w:szCs w:val="18"/>
          <w:lang w:val="cs-CZ" w:eastAsia="cs-CZ"/>
        </w:rPr>
        <w:drawing>
          <wp:inline distT="0" distB="0" distL="0" distR="0" wp14:anchorId="185A16A2" wp14:editId="373EA276">
            <wp:extent cx="5400040" cy="377289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CC91CF" w14:textId="5F244D00" w:rsidR="0052088D" w:rsidRPr="0052088D" w:rsidRDefault="0052088D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088D">
        <w:t xml:space="preserve">The month-on-month growth in economic sentiment among </w:t>
      </w:r>
      <w:r w:rsidRPr="0052088D">
        <w:rPr>
          <w:b/>
        </w:rPr>
        <w:t>entrepreneurs</w:t>
      </w:r>
      <w:r w:rsidRPr="0052088D">
        <w:t xml:space="preserve"> was mainly due to an increase in confidence in ind</w:t>
      </w:r>
      <w:r w:rsidR="000740BD">
        <w:t>ustry, due to expectations of a high</w:t>
      </w:r>
      <w:r w:rsidRPr="0052088D">
        <w:t xml:space="preserve"> increase in the pace of production activity for the next three months. Confidence also increased in construction and selected services compared to December, while it decreased slightly in trade.</w:t>
      </w:r>
    </w:p>
    <w:p w14:paraId="1E4A23B7" w14:textId="56DA90C7" w:rsidR="00FA2C0E" w:rsidRDefault="00FA2C0E" w:rsidP="00DE4654"/>
    <w:p w14:paraId="234EFD05" w14:textId="7599140C" w:rsidR="00FC094C" w:rsidRPr="00FC094C" w:rsidRDefault="0052088D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FC094C">
        <w:rPr>
          <w:color w:val="000000" w:themeColor="text1"/>
        </w:rPr>
        <w:t xml:space="preserve">The </w:t>
      </w:r>
      <w:r w:rsidR="00FC094C" w:rsidRPr="00FC094C">
        <w:rPr>
          <w:color w:val="000000" w:themeColor="text1"/>
        </w:rPr>
        <w:t>very slight month-on-month increase</w:t>
      </w:r>
      <w:r w:rsidRPr="00FC094C">
        <w:rPr>
          <w:color w:val="000000" w:themeColor="text1"/>
        </w:rPr>
        <w:t xml:space="preserve"> in </w:t>
      </w:r>
      <w:r w:rsidRPr="00FC094C">
        <w:rPr>
          <w:b/>
          <w:color w:val="000000" w:themeColor="text1"/>
        </w:rPr>
        <w:t>consumer confidence</w:t>
      </w:r>
      <w:r w:rsidRPr="00FC094C">
        <w:rPr>
          <w:color w:val="000000" w:themeColor="text1"/>
        </w:rPr>
        <w:t xml:space="preserve"> was mainly </w:t>
      </w:r>
      <w:r w:rsidR="000740BD">
        <w:rPr>
          <w:rStyle w:val="jlqj4b"/>
          <w:lang w:val="en"/>
        </w:rPr>
        <w:t>is related, among other things, to the decline in the number of households assessing their current financial situation negatively compared to the last twelve months.</w:t>
      </w:r>
    </w:p>
    <w:p w14:paraId="0F53BD45" w14:textId="77777777" w:rsidR="006611F6" w:rsidRDefault="006611F6" w:rsidP="00E17A3B">
      <w:pPr>
        <w:rPr>
          <w:lang w:val="en"/>
        </w:rPr>
      </w:pPr>
    </w:p>
    <w:p w14:paraId="11694BD1" w14:textId="3D3CC681" w:rsidR="0052088D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67D81D18" w14:textId="7E737960" w:rsidR="0052088D" w:rsidRDefault="0052088D" w:rsidP="0052088D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lastRenderedPageBreak/>
        <w:t xml:space="preserve">More detailed information on the development of business and consumer confidence can be found in </w:t>
      </w:r>
      <w:hyperlink r:id="rId8" w:history="1">
        <w:proofErr w:type="spellStart"/>
        <w:r w:rsidRPr="0074561E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74561E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74561E">
          <w:rPr>
            <w:rStyle w:val="Hypertextovodkaz"/>
            <w:rFonts w:ascii="Arial" w:eastAsia="Calibri" w:hAnsi="Arial" w:cs="Times New Roman"/>
            <w:i/>
            <w:lang w:eastAsia="en-US"/>
          </w:rPr>
          <w:t>supplementary</w:t>
        </w:r>
        <w:proofErr w:type="spellEnd"/>
        <w:r w:rsidRPr="0074561E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74561E">
          <w:rPr>
            <w:rStyle w:val="Hypertextovodkaz"/>
            <w:rFonts w:ascii="Arial" w:eastAsia="Calibri" w:hAnsi="Arial" w:cs="Times New Roman"/>
            <w:i/>
            <w:lang w:eastAsia="en-US"/>
          </w:rPr>
          <w:t>information</w:t>
        </w:r>
        <w:proofErr w:type="spellEnd"/>
        <w:r w:rsidRPr="0074561E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to </w:t>
        </w:r>
        <w:proofErr w:type="spellStart"/>
        <w:r w:rsidRPr="0074561E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74561E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RI business </w:t>
        </w:r>
        <w:proofErr w:type="spellStart"/>
        <w:r w:rsidRPr="0074561E">
          <w:rPr>
            <w:rStyle w:val="Hypertextovodkaz"/>
            <w:rFonts w:ascii="Arial" w:eastAsia="Calibri" w:hAnsi="Arial" w:cs="Times New Roman"/>
            <w:i/>
            <w:lang w:eastAsia="en-US"/>
          </w:rPr>
          <w:t>surveys</w:t>
        </w:r>
        <w:proofErr w:type="spellEnd"/>
      </w:hyperlink>
      <w:bookmarkStart w:id="0" w:name="_GoBack"/>
      <w:bookmarkEnd w:id="0"/>
      <w:r w:rsidRPr="0052088D">
        <w:rPr>
          <w:rStyle w:val="Hypertextovodkaz"/>
          <w:rFonts w:ascii="Arial" w:eastAsia="Calibri" w:hAnsi="Arial" w:cs="Times New Roman"/>
          <w:i/>
          <w:lang w:eastAsia="en-US"/>
        </w:rPr>
        <w:t>.</w:t>
      </w:r>
    </w:p>
    <w:p w14:paraId="522C656B" w14:textId="65184C34" w:rsidR="008A2546" w:rsidRDefault="008A2546" w:rsidP="0052088D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</w:p>
    <w:p w14:paraId="38FC3ECE" w14:textId="132CB7C1" w:rsidR="00F73062" w:rsidRDefault="00F73062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szCs w:val="22"/>
          <w:lang w:val="en-GB" w:eastAsia="en-US"/>
        </w:rPr>
      </w:pPr>
      <w:r>
        <w:rPr>
          <w:rFonts w:ascii="Arial" w:eastAsia="Calibri" w:hAnsi="Arial" w:cs="Times New Roman"/>
          <w:szCs w:val="22"/>
          <w:lang w:val="en-GB" w:eastAsia="en-US"/>
        </w:rPr>
        <w:t>***</w:t>
      </w:r>
    </w:p>
    <w:p w14:paraId="70305D0D" w14:textId="0A675388" w:rsidR="008A2546" w:rsidRDefault="008A2546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szCs w:val="22"/>
          <w:lang w:val="en-GB" w:eastAsia="en-US"/>
        </w:rPr>
      </w:pPr>
      <w:r w:rsidRPr="008A2546">
        <w:rPr>
          <w:rFonts w:ascii="Arial" w:eastAsia="Calibri" w:hAnsi="Arial" w:cs="Times New Roman"/>
          <w:szCs w:val="22"/>
          <w:lang w:val="en-GB" w:eastAsia="en-US"/>
        </w:rPr>
        <w:t xml:space="preserve">In January 2022, we change the base to calculate the basis index in a news release by the Czech Statistical Office. For 2022, we calculate the long-term average from </w:t>
      </w:r>
      <w:r w:rsidR="000740BD">
        <w:rPr>
          <w:rFonts w:ascii="Arial" w:eastAsia="Calibri" w:hAnsi="Arial" w:cs="Times New Roman"/>
          <w:szCs w:val="22"/>
          <w:lang w:val="en-GB" w:eastAsia="en-US"/>
        </w:rPr>
        <w:t xml:space="preserve">January 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 xml:space="preserve">2003 to </w:t>
      </w:r>
      <w:r w:rsidR="000740BD">
        <w:rPr>
          <w:rFonts w:ascii="Arial" w:eastAsia="Calibri" w:hAnsi="Arial" w:cs="Times New Roman"/>
          <w:szCs w:val="22"/>
          <w:lang w:val="en-GB" w:eastAsia="en-US"/>
        </w:rPr>
        <w:t xml:space="preserve">December 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>2021. The long-term average is changed one a year in news release publication data in January.</w:t>
      </w:r>
    </w:p>
    <w:p w14:paraId="144650E7" w14:textId="77777777" w:rsidR="004723C2" w:rsidRDefault="004723C2" w:rsidP="004723C2">
      <w:pPr>
        <w:pStyle w:val="FormtovanvHTML"/>
        <w:spacing w:line="276" w:lineRule="auto"/>
        <w:jc w:val="both"/>
        <w:rPr>
          <w:rFonts w:ascii="Arial" w:eastAsia="Calibri" w:hAnsi="Arial" w:cs="Times New Roman"/>
          <w:szCs w:val="22"/>
          <w:lang w:val="en-GB" w:eastAsia="en-US"/>
        </w:rPr>
      </w:pPr>
    </w:p>
    <w:p w14:paraId="5D742894" w14:textId="2EECAA90" w:rsidR="001F35EB" w:rsidRPr="004723C2" w:rsidRDefault="000740BD" w:rsidP="004723C2">
      <w:pPr>
        <w:pStyle w:val="FormtovanvHTML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Times New Roman"/>
          <w:szCs w:val="22"/>
          <w:lang w:val="en-GB" w:eastAsia="en-US"/>
        </w:rPr>
        <w:t>From January 2022, i</w:t>
      </w:r>
      <w:r w:rsidR="004723C2" w:rsidRPr="002C46C4">
        <w:rPr>
          <w:rFonts w:ascii="Arial" w:eastAsia="Calibri" w:hAnsi="Arial" w:cs="Times New Roman"/>
          <w:szCs w:val="22"/>
          <w:lang w:val="en-GB" w:eastAsia="en-US"/>
        </w:rPr>
        <w:t xml:space="preserve">n accordance with the requirements 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and the methodology </w:t>
      </w:r>
      <w:r w:rsidR="004723C2" w:rsidRPr="002C46C4">
        <w:rPr>
          <w:rFonts w:ascii="Arial" w:eastAsia="Calibri" w:hAnsi="Arial" w:cs="Times New Roman"/>
          <w:szCs w:val="22"/>
          <w:lang w:val="en-GB" w:eastAsia="en-US"/>
        </w:rPr>
        <w:t>of the European Commission, the consume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r confidence indicator is newly </w:t>
      </w:r>
      <w:r w:rsidR="004723C2" w:rsidRPr="002C46C4">
        <w:rPr>
          <w:rFonts w:ascii="Arial" w:eastAsia="Calibri" w:hAnsi="Arial" w:cs="Times New Roman"/>
          <w:szCs w:val="22"/>
          <w:lang w:val="en-GB" w:eastAsia="en-US"/>
        </w:rPr>
        <w:t>composed of the following four indicators (</w:t>
      </w:r>
      <w:r w:rsidR="00412843">
        <w:rPr>
          <w:rFonts w:ascii="Arial" w:eastAsia="Calibri" w:hAnsi="Arial" w:cs="Times New Roman"/>
          <w:szCs w:val="22"/>
          <w:lang w:val="en-GB" w:eastAsia="en-US"/>
        </w:rPr>
        <w:t>expected financial situation of the household over the next 12 months,</w:t>
      </w:r>
      <w:r w:rsidR="004723C2" w:rsidRPr="002C46C4">
        <w:rPr>
          <w:rFonts w:ascii="Arial" w:eastAsia="Calibri" w:hAnsi="Arial" w:cs="Times New Roman"/>
          <w:szCs w:val="22"/>
          <w:lang w:val="en-GB" w:eastAsia="en-US"/>
        </w:rPr>
        <w:t xml:space="preserve">, </w:t>
      </w:r>
      <w:r w:rsidR="00412843">
        <w:rPr>
          <w:rFonts w:ascii="Arial" w:eastAsia="Calibri" w:hAnsi="Arial" w:cs="Times New Roman"/>
          <w:szCs w:val="22"/>
          <w:lang w:val="en-GB" w:eastAsia="en-US"/>
        </w:rPr>
        <w:t>expected general economic situation in the country over the next 12 months</w:t>
      </w:r>
      <w:r w:rsidR="004723C2" w:rsidRPr="002C46C4">
        <w:rPr>
          <w:rFonts w:ascii="Arial" w:eastAsia="Calibri" w:hAnsi="Arial" w:cs="Times New Roman"/>
          <w:szCs w:val="22"/>
          <w:lang w:val="en-GB" w:eastAsia="en-US"/>
        </w:rPr>
        <w:t>, change in financial situation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 of households</w:t>
      </w:r>
      <w:r w:rsidR="004723C2" w:rsidRPr="002C46C4">
        <w:rPr>
          <w:rFonts w:ascii="Arial" w:eastAsia="Calibri" w:hAnsi="Arial" w:cs="Times New Roman"/>
          <w:szCs w:val="22"/>
          <w:lang w:val="en-GB" w:eastAsia="en-US"/>
        </w:rPr>
        <w:t xml:space="preserve"> over the last 12 months, </w:t>
      </w:r>
      <w:r w:rsidR="00412843">
        <w:rPr>
          <w:rFonts w:ascii="Arial" w:eastAsia="Calibri" w:hAnsi="Arial" w:cs="Times New Roman"/>
          <w:szCs w:val="22"/>
          <w:lang w:val="en-GB" w:eastAsia="en-US"/>
        </w:rPr>
        <w:t>intended spending</w:t>
      </w:r>
      <w:r w:rsidR="004723C2" w:rsidRPr="002C46C4">
        <w:rPr>
          <w:rFonts w:ascii="Arial" w:eastAsia="Calibri" w:hAnsi="Arial" w:cs="Times New Roman"/>
          <w:szCs w:val="22"/>
          <w:lang w:val="en-GB" w:eastAsia="en-US"/>
        </w:rPr>
        <w:t xml:space="preserve"> on major purchases in </w:t>
      </w:r>
      <w:r w:rsidR="00412843">
        <w:rPr>
          <w:rFonts w:ascii="Arial" w:eastAsia="Calibri" w:hAnsi="Arial" w:cs="Times New Roman"/>
          <w:szCs w:val="22"/>
          <w:lang w:val="en-GB" w:eastAsia="en-US"/>
        </w:rPr>
        <w:t xml:space="preserve">next </w:t>
      </w:r>
      <w:r w:rsidR="004723C2" w:rsidRPr="002C46C4">
        <w:rPr>
          <w:rFonts w:ascii="Arial" w:eastAsia="Calibri" w:hAnsi="Arial" w:cs="Times New Roman"/>
          <w:szCs w:val="22"/>
          <w:lang w:val="en-GB" w:eastAsia="en-US"/>
        </w:rPr>
        <w:t>12 months compared to the past 12 months).</w:t>
      </w:r>
      <w:r w:rsidR="004723C2">
        <w:rPr>
          <w:rFonts w:ascii="Arial" w:eastAsia="Calibri" w:hAnsi="Arial" w:cs="Times New Roman"/>
          <w:szCs w:val="22"/>
          <w:lang w:val="en-GB" w:eastAsia="en-US"/>
        </w:rPr>
        <w:t xml:space="preserve"> </w:t>
      </w:r>
      <w:r w:rsidR="004723C2" w:rsidRPr="004723C2">
        <w:rPr>
          <w:rFonts w:ascii="Arial" w:eastAsia="Calibri" w:hAnsi="Arial" w:cs="Times New Roman"/>
          <w:szCs w:val="22"/>
          <w:lang w:val="en-GB" w:eastAsia="en-US"/>
        </w:rPr>
        <w:t xml:space="preserve">See the </w:t>
      </w:r>
      <w:hyperlink r:id="rId9" w:history="1">
        <w:proofErr w:type="spellStart"/>
        <w:r w:rsidR="004723C2" w:rsidRPr="00F64F19">
          <w:rPr>
            <w:rStyle w:val="Hypertextovodkaz"/>
            <w:rFonts w:ascii="Arial" w:eastAsia="Calibri" w:hAnsi="Arial" w:cs="Times New Roman"/>
            <w:i/>
            <w:lang w:eastAsia="en-US"/>
          </w:rPr>
          <w:t>methodological</w:t>
        </w:r>
        <w:proofErr w:type="spellEnd"/>
        <w:r w:rsidR="004723C2" w:rsidRPr="00F64F19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="004723C2" w:rsidRPr="00F64F19">
          <w:rPr>
            <w:rStyle w:val="Hypertextovodkaz"/>
            <w:rFonts w:ascii="Arial" w:eastAsia="Calibri" w:hAnsi="Arial" w:cs="Times New Roman"/>
            <w:i/>
            <w:lang w:eastAsia="en-US"/>
          </w:rPr>
          <w:t>explanations</w:t>
        </w:r>
        <w:proofErr w:type="spellEnd"/>
        <w:r w:rsidR="004723C2" w:rsidRPr="00F64F19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="004723C2" w:rsidRPr="00F64F19">
          <w:rPr>
            <w:rStyle w:val="Hypertextovodkaz"/>
            <w:rFonts w:ascii="Arial" w:eastAsia="Calibri" w:hAnsi="Arial" w:cs="Times New Roman"/>
            <w:i/>
            <w:lang w:eastAsia="en-US"/>
          </w:rPr>
          <w:t>for</w:t>
        </w:r>
        <w:proofErr w:type="spellEnd"/>
        <w:r w:rsidR="004723C2" w:rsidRPr="00F64F19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more </w:t>
        </w:r>
        <w:proofErr w:type="spellStart"/>
        <w:r w:rsidR="004723C2" w:rsidRPr="00F64F19">
          <w:rPr>
            <w:rStyle w:val="Hypertextovodkaz"/>
            <w:rFonts w:ascii="Arial" w:eastAsia="Calibri" w:hAnsi="Arial" w:cs="Times New Roman"/>
            <w:i/>
            <w:lang w:eastAsia="en-US"/>
          </w:rPr>
          <w:t>information</w:t>
        </w:r>
        <w:proofErr w:type="spellEnd"/>
        <w:r w:rsidR="004723C2" w:rsidRPr="00F64F19">
          <w:rPr>
            <w:rStyle w:val="Hypertextovodkaz"/>
            <w:rFonts w:eastAsia="Calibri"/>
            <w:i/>
          </w:rPr>
          <w:t>.</w:t>
        </w:r>
      </w:hyperlink>
    </w:p>
    <w:p w14:paraId="30D52270" w14:textId="26A50CB9" w:rsidR="004723C2" w:rsidRDefault="004723C2" w:rsidP="001F35EB">
      <w:pPr>
        <w:pStyle w:val="Poznmkykontakty"/>
        <w:spacing w:befor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10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34C175E3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 xml:space="preserve">Business part:  </w:t>
      </w:r>
      <w:r w:rsidR="002C46C4">
        <w:rPr>
          <w:lang w:val="en-GB"/>
        </w:rPr>
        <w:t>January</w:t>
      </w:r>
      <w:r w:rsidR="0041391B" w:rsidRPr="002C46C4">
        <w:rPr>
          <w:lang w:val="en-GB"/>
        </w:rPr>
        <w:t xml:space="preserve"> </w:t>
      </w:r>
      <w:r w:rsidR="00C54DD6" w:rsidRPr="002C46C4">
        <w:rPr>
          <w:lang w:val="en-GB"/>
        </w:rPr>
        <w:t>1</w:t>
      </w:r>
      <w:r w:rsidR="00215819" w:rsidRPr="002C46C4">
        <w:rPr>
          <w:lang w:val="en-GB"/>
        </w:rPr>
        <w:t>7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2C46C4">
        <w:rPr>
          <w:lang w:val="en-GB"/>
        </w:rPr>
        <w:t>2</w:t>
      </w:r>
    </w:p>
    <w:p w14:paraId="579340E4" w14:textId="61769FD4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January</w:t>
      </w:r>
      <w:r w:rsidR="00FC094C">
        <w:rPr>
          <w:lang w:val="en-GB"/>
        </w:rPr>
        <w:t xml:space="preserve"> 17</w:t>
      </w:r>
      <w:r w:rsidR="002C46C4">
        <w:rPr>
          <w:lang w:val="en-GB"/>
        </w:rPr>
        <w:t>, 2022</w:t>
      </w:r>
    </w:p>
    <w:p w14:paraId="5A3158A5" w14:textId="6DF2D56E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2088D">
        <w:rPr>
          <w:lang w:val="en-GB"/>
        </w:rPr>
        <w:t>February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215819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215819">
        <w:rPr>
          <w:lang w:val="en-GB"/>
        </w:rPr>
        <w:t>2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1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B36580" w:rsidP="0052088D">
      <w:pPr>
        <w:jc w:val="left"/>
        <w:rPr>
          <w:rStyle w:val="Hypertextovodkaz"/>
          <w:lang w:val="cs-CZ"/>
        </w:rPr>
      </w:pPr>
      <w:hyperlink r:id="rId12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794CD649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Link to </w:t>
      </w:r>
      <w:proofErr w:type="spellStart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European</w:t>
      </w:r>
      <w:proofErr w:type="spellEnd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 database:</w:t>
      </w:r>
      <w:r w:rsidRPr="0052088D">
        <w:t xml:space="preserve"> </w:t>
      </w:r>
      <w:hyperlink r:id="rId13" w:history="1"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 xml:space="preserve">https://ec.europa.eu/eurostat/web/euro-indicators/business-and-consumer </w:t>
        </w:r>
        <w:proofErr w:type="spellStart"/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surveys</w:t>
        </w:r>
        <w:proofErr w:type="spellEnd"/>
      </w:hyperlink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432B87">
        <w:rPr>
          <w:szCs w:val="20"/>
          <w:lang w:val="cs-CZ"/>
        </w:rPr>
        <w:t>Additional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information</w:t>
      </w:r>
      <w:proofErr w:type="spellEnd"/>
      <w:r w:rsidRPr="00432B87">
        <w:rPr>
          <w:szCs w:val="20"/>
          <w:lang w:val="cs-CZ"/>
        </w:rPr>
        <w:t xml:space="preserve"> to NR Business </w:t>
      </w:r>
      <w:proofErr w:type="spellStart"/>
      <w:r w:rsidRPr="00432B87">
        <w:rPr>
          <w:szCs w:val="20"/>
          <w:lang w:val="cs-CZ"/>
        </w:rPr>
        <w:t>cycle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survey</w:t>
      </w:r>
      <w:proofErr w:type="spellEnd"/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4E7F51B6" w14:textId="4E8E8FE7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base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DD5EB5">
        <w:rPr>
          <w:szCs w:val="20"/>
          <w:lang w:val="cs-CZ"/>
        </w:rPr>
        <w:t>2</w:t>
      </w:r>
      <w:r w:rsidR="00BC2EEB">
        <w:rPr>
          <w:szCs w:val="20"/>
          <w:lang w:val="cs-CZ"/>
        </w:rPr>
        <w:t>2</w:t>
      </w:r>
      <w:r w:rsidR="00DD5EB5" w:rsidRPr="00BE4195">
        <w:rPr>
          <w:szCs w:val="20"/>
          <w:lang w:val="cs-CZ"/>
        </w:rPr>
        <w:t>)</w:t>
      </w:r>
    </w:p>
    <w:p w14:paraId="056E8CF6" w14:textId="02A1E7CD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DD5EB5">
        <w:rPr>
          <w:szCs w:val="20"/>
          <w:lang w:val="cs-CZ"/>
        </w:rPr>
        <w:t>2</w:t>
      </w:r>
      <w:r w:rsidR="00BC2EEB">
        <w:rPr>
          <w:szCs w:val="20"/>
          <w:lang w:val="cs-CZ"/>
        </w:rPr>
        <w:t>2</w:t>
      </w:r>
      <w:r w:rsidR="00DD5EB5" w:rsidRPr="00BE4195">
        <w:rPr>
          <w:szCs w:val="20"/>
          <w:lang w:val="cs-CZ"/>
        </w:rPr>
        <w:t>)</w:t>
      </w:r>
    </w:p>
    <w:p w14:paraId="7D2264AC" w14:textId="12514210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2.2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Balances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of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BC2EEB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2B7D1A3D" w14:textId="33FB6590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3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Economic</w:t>
      </w:r>
      <w:proofErr w:type="spellEnd"/>
      <w:r w:rsidR="00DD5EB5" w:rsidRPr="00BE4195">
        <w:rPr>
          <w:szCs w:val="20"/>
          <w:lang w:val="cs-CZ"/>
        </w:rPr>
        <w:t xml:space="preserve"> Sentiment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</w:t>
      </w:r>
      <w:proofErr w:type="spellStart"/>
      <w:r w:rsidR="00DD5EB5" w:rsidRPr="00BE4195">
        <w:rPr>
          <w:szCs w:val="20"/>
          <w:lang w:val="cs-CZ"/>
        </w:rPr>
        <w:t>international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comparison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>
        <w:rPr>
          <w:szCs w:val="20"/>
          <w:lang w:val="cs-CZ"/>
        </w:rPr>
        <w:t xml:space="preserve"> (2007-202</w:t>
      </w:r>
      <w:r w:rsidR="00BC2EEB">
        <w:rPr>
          <w:szCs w:val="20"/>
          <w:lang w:val="cs-CZ"/>
        </w:rPr>
        <w:t>2</w:t>
      </w:r>
      <w:r w:rsidR="00DD5EB5">
        <w:rPr>
          <w:szCs w:val="20"/>
          <w:lang w:val="cs-CZ"/>
        </w:rPr>
        <w:t>)</w:t>
      </w:r>
    </w:p>
    <w:p w14:paraId="79646475" w14:textId="5BEA8CA3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lastRenderedPageBreak/>
        <w:t>Graph</w:t>
      </w:r>
      <w:proofErr w:type="spellEnd"/>
      <w:r w:rsidR="00025DF8">
        <w:rPr>
          <w:szCs w:val="20"/>
          <w:lang w:val="cs-CZ"/>
        </w:rPr>
        <w:t xml:space="preserve"> 4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Capacity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Utilisation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Manufacturing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="00BC2EEB">
        <w:rPr>
          <w:szCs w:val="20"/>
          <w:lang w:val="cs-CZ"/>
        </w:rPr>
        <w:t xml:space="preserve"> (2003-2022</w:t>
      </w:r>
      <w:r>
        <w:rPr>
          <w:szCs w:val="20"/>
          <w:lang w:val="cs-CZ"/>
        </w:rPr>
        <w:t>)</w:t>
      </w:r>
    </w:p>
    <w:p w14:paraId="1B6ED597" w14:textId="305BA5D8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="00025DF8">
        <w:rPr>
          <w:szCs w:val="20"/>
          <w:lang w:val="cs-CZ"/>
        </w:rPr>
        <w:t xml:space="preserve"> 5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(2005-202</w:t>
      </w:r>
      <w:r w:rsidR="00BC2EEB">
        <w:rPr>
          <w:szCs w:val="20"/>
          <w:lang w:val="cs-CZ"/>
        </w:rPr>
        <w:t>2</w:t>
      </w:r>
      <w:r>
        <w:rPr>
          <w:szCs w:val="20"/>
          <w:lang w:val="cs-CZ"/>
        </w:rPr>
        <w:t>)</w:t>
      </w:r>
    </w:p>
    <w:p w14:paraId="0604C9B7" w14:textId="5E323342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="00025DF8">
        <w:rPr>
          <w:szCs w:val="20"/>
          <w:lang w:val="cs-CZ"/>
        </w:rPr>
        <w:t xml:space="preserve"> 6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>
        <w:rPr>
          <w:szCs w:val="20"/>
          <w:lang w:val="cs-CZ"/>
        </w:rPr>
        <w:t xml:space="preserve"> (2005-202</w:t>
      </w:r>
      <w:r w:rsidR="00BC2EEB">
        <w:rPr>
          <w:szCs w:val="20"/>
          <w:lang w:val="cs-CZ"/>
        </w:rPr>
        <w:t>2</w:t>
      </w:r>
      <w:r>
        <w:rPr>
          <w:szCs w:val="20"/>
          <w:lang w:val="cs-CZ"/>
        </w:rPr>
        <w:t>)</w:t>
      </w:r>
    </w:p>
    <w:p w14:paraId="1C88D82B" w14:textId="5919710D" w:rsidR="007A5B0A" w:rsidRDefault="00DD5EB5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 w:rsidR="00025DF8">
        <w:rPr>
          <w:szCs w:val="20"/>
          <w:lang w:val="cs-CZ"/>
        </w:rPr>
        <w:t xml:space="preserve"> 7</w:t>
      </w:r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Limits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of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Production</w:t>
      </w:r>
      <w:proofErr w:type="spellEnd"/>
      <w:r>
        <w:rPr>
          <w:szCs w:val="20"/>
          <w:lang w:val="cs-CZ"/>
        </w:rPr>
        <w:t xml:space="preserve"> in </w:t>
      </w:r>
      <w:proofErr w:type="spellStart"/>
      <w:r>
        <w:rPr>
          <w:szCs w:val="20"/>
          <w:lang w:val="cs-CZ"/>
        </w:rPr>
        <w:t>Selected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Services</w:t>
      </w:r>
      <w:proofErr w:type="spellEnd"/>
      <w:r>
        <w:rPr>
          <w:szCs w:val="20"/>
          <w:lang w:val="cs-CZ"/>
        </w:rPr>
        <w:t xml:space="preserve"> (2005-202</w:t>
      </w:r>
      <w:r w:rsidR="00BC2EEB">
        <w:rPr>
          <w:szCs w:val="20"/>
          <w:lang w:val="cs-CZ"/>
        </w:rPr>
        <w:t>2</w:t>
      </w:r>
      <w:r>
        <w:rPr>
          <w:szCs w:val="20"/>
          <w:lang w:val="cs-CZ"/>
        </w:rPr>
        <w:t>)</w:t>
      </w:r>
    </w:p>
    <w:sectPr w:rsidR="007A5B0A" w:rsidSect="000717B2">
      <w:headerReference w:type="default" r:id="rId14"/>
      <w:footerReference w:type="default" r:id="rId15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43105" w14:textId="77777777" w:rsidR="00B36580" w:rsidRDefault="00B36580" w:rsidP="00BA6370">
      <w:r>
        <w:separator/>
      </w:r>
    </w:p>
  </w:endnote>
  <w:endnote w:type="continuationSeparator" w:id="0">
    <w:p w14:paraId="247D5A5B" w14:textId="77777777" w:rsidR="00B36580" w:rsidRDefault="00B365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63A195F3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4561E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63A195F3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4561E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90C2C" w14:textId="77777777" w:rsidR="00B36580" w:rsidRDefault="00B36580" w:rsidP="00BA6370">
      <w:r>
        <w:separator/>
      </w:r>
    </w:p>
  </w:footnote>
  <w:footnote w:type="continuationSeparator" w:id="0">
    <w:p w14:paraId="6D9F571A" w14:textId="77777777" w:rsidR="00B36580" w:rsidRDefault="00B365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16D4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28E7"/>
    <w:rsid w:val="001C71FD"/>
    <w:rsid w:val="001D369A"/>
    <w:rsid w:val="001E1E0F"/>
    <w:rsid w:val="001E5911"/>
    <w:rsid w:val="001E5DF0"/>
    <w:rsid w:val="001E748A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3440F"/>
    <w:rsid w:val="00234BAB"/>
    <w:rsid w:val="00236F90"/>
    <w:rsid w:val="002406FA"/>
    <w:rsid w:val="002411F6"/>
    <w:rsid w:val="00250063"/>
    <w:rsid w:val="002515C1"/>
    <w:rsid w:val="002517C6"/>
    <w:rsid w:val="00260C0E"/>
    <w:rsid w:val="00266CB5"/>
    <w:rsid w:val="00271B59"/>
    <w:rsid w:val="00271CD3"/>
    <w:rsid w:val="00271FB4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451D"/>
    <w:rsid w:val="003E6548"/>
    <w:rsid w:val="003F1E09"/>
    <w:rsid w:val="003F526A"/>
    <w:rsid w:val="003F7490"/>
    <w:rsid w:val="00403E92"/>
    <w:rsid w:val="00405244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316DE"/>
    <w:rsid w:val="00531DBB"/>
    <w:rsid w:val="0053350A"/>
    <w:rsid w:val="005340A4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40FDB"/>
    <w:rsid w:val="0074195B"/>
    <w:rsid w:val="00742E00"/>
    <w:rsid w:val="0074561E"/>
    <w:rsid w:val="007517F8"/>
    <w:rsid w:val="0075451A"/>
    <w:rsid w:val="00755D8B"/>
    <w:rsid w:val="00760984"/>
    <w:rsid w:val="007614CB"/>
    <w:rsid w:val="00763787"/>
    <w:rsid w:val="007663D0"/>
    <w:rsid w:val="00776AB3"/>
    <w:rsid w:val="0078654E"/>
    <w:rsid w:val="007964C5"/>
    <w:rsid w:val="007A0CA5"/>
    <w:rsid w:val="007A57F2"/>
    <w:rsid w:val="007A5B0A"/>
    <w:rsid w:val="007B1333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2546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672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6E4F"/>
    <w:rsid w:val="00A201C1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658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2EEB"/>
    <w:rsid w:val="00BC41F9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A3"/>
    <w:rsid w:val="00C228B7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97D77"/>
    <w:rsid w:val="00DA3AC8"/>
    <w:rsid w:val="00DA6C40"/>
    <w:rsid w:val="00DB28C0"/>
    <w:rsid w:val="00DB38EE"/>
    <w:rsid w:val="00DB5A54"/>
    <w:rsid w:val="00DD32BF"/>
    <w:rsid w:val="00DD479B"/>
    <w:rsid w:val="00DD5EB5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6F9F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1B41"/>
    <w:rsid w:val="00ED3BF3"/>
    <w:rsid w:val="00ED3F63"/>
    <w:rsid w:val="00EE1F5F"/>
    <w:rsid w:val="00EE4C81"/>
    <w:rsid w:val="00EE70B7"/>
    <w:rsid w:val="00EF7E5E"/>
    <w:rsid w:val="00F012A4"/>
    <w:rsid w:val="00F05B86"/>
    <w:rsid w:val="00F1114B"/>
    <w:rsid w:val="00F264CC"/>
    <w:rsid w:val="00F27675"/>
    <w:rsid w:val="00F314B7"/>
    <w:rsid w:val="00F3423A"/>
    <w:rsid w:val="00F34257"/>
    <w:rsid w:val="00F41909"/>
    <w:rsid w:val="00F41DA1"/>
    <w:rsid w:val="00F518CF"/>
    <w:rsid w:val="00F5255B"/>
    <w:rsid w:val="00F53F3F"/>
    <w:rsid w:val="00F5420A"/>
    <w:rsid w:val="00F55F04"/>
    <w:rsid w:val="00F5792D"/>
    <w:rsid w:val="00F64F19"/>
    <w:rsid w:val="00F7253F"/>
    <w:rsid w:val="00F73062"/>
    <w:rsid w:val="00F7683F"/>
    <w:rsid w:val="00F83C49"/>
    <w:rsid w:val="00F926C3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094C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165533659/akpr012422_komentar.docx" TargetMode="External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kpr_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business_cycle_survey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C39C-2F31-4D9E-85B1-6336D5B3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Míšková Denisa</cp:lastModifiedBy>
  <cp:revision>5</cp:revision>
  <dcterms:created xsi:type="dcterms:W3CDTF">2022-01-21T11:13:00Z</dcterms:created>
  <dcterms:modified xsi:type="dcterms:W3CDTF">2022-01-21T11:16:00Z</dcterms:modified>
</cp:coreProperties>
</file>