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32D7" w:rsidR="00F21B6A" w:rsidP="00F21B6A" w:rsidRDefault="00204B80" w14:paraId="00B15A5E" w14:textId="06C4A263">
      <w:pPr>
        <w:pStyle w:val="Nadpis1"/>
      </w:pPr>
      <w:r w:rsidRPr="005732D7">
        <w:t>Both industrial production and orders increased, year-on-year</w:t>
      </w:r>
      <w:r w:rsidRPr="005732D7" w:rsidR="00157F88">
        <w:t xml:space="preserve"> </w:t>
      </w:r>
    </w:p>
    <w:p w:rsidRPr="005732D7" w:rsidR="00615D9E" w:rsidP="00615D9E" w:rsidRDefault="007C7EC3" w14:paraId="14075F0E" w14:textId="348907CF">
      <w:pPr>
        <w:jc w:val="left"/>
      </w:pPr>
      <w:r w:rsidRPr="005732D7">
        <w:t>7 </w:t>
      </w:r>
      <w:r w:rsidRPr="005732D7" w:rsidR="00204B80">
        <w:t>October </w:t>
      </w:r>
      <w:r w:rsidRPr="005732D7" w:rsidR="005E2420">
        <w:t>2026</w:t>
      </w:r>
    </w:p>
    <w:p w:rsidRPr="005732D7" w:rsidR="00773B0B" w:rsidP="00773B0B" w:rsidRDefault="008D78E7" w14:paraId="0F6A2F29" w14:textId="6FC086C9">
      <w:pPr>
        <w:pStyle w:val="Nadpis2"/>
      </w:pPr>
      <w:r w:rsidRPr="005732D7">
        <w:t xml:space="preserve">Industry – </w:t>
      </w:r>
      <w:r w:rsidRPr="005732D7" w:rsidR="008A3077">
        <w:t>August</w:t>
      </w:r>
      <w:r w:rsidRPr="005732D7" w:rsidR="00157F88">
        <w:t xml:space="preserve"> 2026</w:t>
      </w:r>
    </w:p>
    <w:p w:rsidRPr="005732D7" w:rsidR="006A57CC" w:rsidP="006A57CC" w:rsidRDefault="00646E16" w14:paraId="77A00328" w14:textId="498E27FD">
      <w:pPr>
        <w:pStyle w:val="Perex"/>
      </w:pPr>
      <w:r w:rsidRPr="005732D7">
        <w:t xml:space="preserve">Industrial production increased in real terms by </w:t>
      </w:r>
      <w:r w:rsidRPr="005732D7" w:rsidR="007647F2">
        <w:t>2</w:t>
      </w:r>
      <w:r w:rsidRPr="005732D7">
        <w:t>.</w:t>
      </w:r>
      <w:r w:rsidRPr="005732D7" w:rsidR="007647F2">
        <w:t>6</w:t>
      </w:r>
      <w:r w:rsidRPr="005732D7">
        <w:t xml:space="preserve">%, year-on-year (y-o-y), in </w:t>
      </w:r>
      <w:r w:rsidRPr="005732D7" w:rsidR="008A3077">
        <w:t>August</w:t>
      </w:r>
      <w:r w:rsidRPr="005732D7">
        <w:t xml:space="preserve">. In the month-on-month (m-o-m) comparison, it was by </w:t>
      </w:r>
      <w:r w:rsidRPr="005732D7" w:rsidR="007647F2">
        <w:t>0</w:t>
      </w:r>
      <w:r w:rsidRPr="005732D7">
        <w:t>.</w:t>
      </w:r>
      <w:r w:rsidRPr="005732D7" w:rsidR="007647F2">
        <w:t>3</w:t>
      </w:r>
      <w:r w:rsidRPr="005732D7">
        <w:t xml:space="preserve">% </w:t>
      </w:r>
      <w:r w:rsidRPr="005732D7" w:rsidR="007647F2">
        <w:t>high</w:t>
      </w:r>
      <w:r w:rsidRPr="005732D7">
        <w:t xml:space="preserve">er. The value of new orders increased by </w:t>
      </w:r>
      <w:r w:rsidRPr="005732D7" w:rsidR="007647F2">
        <w:t>5</w:t>
      </w:r>
      <w:r w:rsidRPr="005732D7">
        <w:t>.</w:t>
      </w:r>
      <w:r w:rsidRPr="005732D7" w:rsidR="007647F2">
        <w:t>9</w:t>
      </w:r>
      <w:r w:rsidRPr="005732D7">
        <w:t>%, y-o-y.</w:t>
      </w:r>
    </w:p>
    <w:p w:rsidRPr="005732D7" w:rsidR="00D52194" w:rsidP="00593AC0" w:rsidRDefault="001E1BCA" w14:paraId="383D5C1F" w14:textId="5CEFEEAE">
      <w:pPr>
        <w:jc w:val="left"/>
      </w:pPr>
      <w:r w:rsidRPr="3A86D11D" w:rsidR="1200D49C">
        <w:rPr>
          <w:rStyle w:val="Siln"/>
        </w:rPr>
        <w:t>Industrial production</w:t>
      </w:r>
      <w:r w:rsidRPr="3A86D11D" w:rsidR="1200D49C">
        <w:rPr>
          <w:rStyle w:val="Siln"/>
          <w:b w:val="0"/>
          <w:bCs w:val="0"/>
        </w:rPr>
        <w:t xml:space="preserve"> </w:t>
      </w:r>
      <w:r w:rsidR="1200D49C">
        <w:rPr/>
        <w:t xml:space="preserve">was in real terms by </w:t>
      </w:r>
      <w:r w:rsidR="4B4FDA99">
        <w:rPr/>
        <w:t>0</w:t>
      </w:r>
      <w:r w:rsidR="1200D49C">
        <w:rPr/>
        <w:t>.</w:t>
      </w:r>
      <w:r w:rsidR="4B4FDA99">
        <w:rPr/>
        <w:t>3</w:t>
      </w:r>
      <w:r w:rsidR="1200D49C">
        <w:rPr/>
        <w:t xml:space="preserve">% </w:t>
      </w:r>
      <w:r w:rsidR="4B4FDA99">
        <w:rPr/>
        <w:t>high</w:t>
      </w:r>
      <w:r w:rsidR="1200D49C">
        <w:rPr/>
        <w:t xml:space="preserve">er, m-o-m, in </w:t>
      </w:r>
      <w:r w:rsidR="716F12F4">
        <w:rPr/>
        <w:t>August</w:t>
      </w:r>
      <w:r w:rsidR="1200D49C">
        <w:rPr/>
        <w:t xml:space="preserve"> 2026. In the year-on-year comparison, it increased by </w:t>
      </w:r>
      <w:r w:rsidR="386AF0CF">
        <w:rPr/>
        <w:t>2</w:t>
      </w:r>
      <w:r w:rsidR="1200D49C">
        <w:rPr/>
        <w:t>.</w:t>
      </w:r>
      <w:r w:rsidR="386AF0CF">
        <w:rPr/>
        <w:t>6</w:t>
      </w:r>
      <w:r w:rsidR="1200D49C">
        <w:rPr/>
        <w:t>%.</w:t>
      </w:r>
      <w:r w:rsidRPr="3A86D11D" w:rsidR="1200D49C">
        <w:rPr>
          <w:rStyle w:val="Siln"/>
          <w:b w:val="0"/>
          <w:bCs w:val="0"/>
        </w:rPr>
        <w:t xml:space="preserve"> </w:t>
      </w:r>
      <w:r w:rsidRPr="3A86D11D" w:rsidR="1200D49C">
        <w:rPr>
          <w:rStyle w:val="CittChar"/>
        </w:rPr>
        <w:t>“</w:t>
      </w:r>
      <w:r w:rsidRPr="3A86D11D" w:rsidR="58DAB45C">
        <w:rPr>
          <w:rStyle w:val="CittChar"/>
        </w:rPr>
        <w:t>Growth of i</w:t>
      </w:r>
      <w:r w:rsidRPr="3A86D11D" w:rsidR="1200D49C">
        <w:rPr>
          <w:rStyle w:val="CittChar"/>
        </w:rPr>
        <w:t>ndustrial production</w:t>
      </w:r>
      <w:r w:rsidRPr="3A86D11D" w:rsidR="58DAB45C">
        <w:rPr>
          <w:rStyle w:val="CittChar"/>
        </w:rPr>
        <w:t xml:space="preserve"> also</w:t>
      </w:r>
      <w:r w:rsidRPr="3A86D11D" w:rsidR="30FC01EF">
        <w:rPr>
          <w:rStyle w:val="CittChar"/>
        </w:rPr>
        <w:t xml:space="preserve"> continued </w:t>
      </w:r>
      <w:r w:rsidRPr="3A86D11D" w:rsidR="337B10D7">
        <w:rPr>
          <w:rStyle w:val="CittChar"/>
        </w:rPr>
        <w:t xml:space="preserve">in </w:t>
      </w:r>
      <w:r w:rsidRPr="3A86D11D" w:rsidR="716F12F4">
        <w:rPr>
          <w:rStyle w:val="CittChar"/>
        </w:rPr>
        <w:t>August</w:t>
      </w:r>
      <w:r w:rsidRPr="3A86D11D" w:rsidR="58DAB45C">
        <w:rPr>
          <w:rStyle w:val="CittChar"/>
        </w:rPr>
        <w:t xml:space="preserve">, despite </w:t>
      </w:r>
      <w:r w:rsidRPr="3A86D11D" w:rsidR="13C90DAA">
        <w:rPr>
          <w:rStyle w:val="CittChar"/>
        </w:rPr>
        <w:t>an </w:t>
      </w:r>
      <w:r w:rsidRPr="3A86D11D" w:rsidR="58DAB45C">
        <w:rPr>
          <w:rStyle w:val="CittChar"/>
        </w:rPr>
        <w:t xml:space="preserve">influence of company holidays </w:t>
      </w:r>
      <w:r w:rsidRPr="3A86D11D" w:rsidR="58DAB45C">
        <w:rPr>
          <w:rStyle w:val="CittChar"/>
        </w:rPr>
        <w:t xml:space="preserve">in the </w:t>
      </w:r>
      <w:r w:rsidRPr="3A86D11D" w:rsidR="11C2E5E4">
        <w:rPr>
          <w:rStyle w:val="CittChar"/>
        </w:rPr>
        <w:t>car</w:t>
      </w:r>
      <w:r w:rsidRPr="3A86D11D" w:rsidR="13C90DAA">
        <w:rPr>
          <w:rStyle w:val="CittChar"/>
        </w:rPr>
        <w:t xml:space="preserve"> industry.</w:t>
      </w:r>
      <w:r w:rsidRPr="3A86D11D" w:rsidR="13C90DAA">
        <w:rPr>
          <w:rStyle w:val="CittChar"/>
        </w:rPr>
        <w:t xml:space="preserve"> </w:t>
      </w:r>
      <w:r w:rsidRPr="3A86D11D" w:rsidR="56832DBB">
        <w:rPr>
          <w:rStyle w:val="CittChar"/>
        </w:rPr>
        <w:t>The growth was supported the most by manufacture of other transport equipment, where long-term orders</w:t>
      </w:r>
      <w:r w:rsidRPr="3A86D11D" w:rsidR="11C2E5E4">
        <w:rPr>
          <w:rStyle w:val="CittChar"/>
        </w:rPr>
        <w:t xml:space="preserve"> </w:t>
      </w:r>
      <w:r w:rsidRPr="3A86D11D" w:rsidR="11C2E5E4">
        <w:rPr>
          <w:rStyle w:val="CittChar"/>
        </w:rPr>
        <w:t>for production of rail vehicles</w:t>
      </w:r>
      <w:r w:rsidRPr="3A86D11D" w:rsidR="56832DBB">
        <w:rPr>
          <w:rStyle w:val="CittChar"/>
        </w:rPr>
        <w:t xml:space="preserve"> ha</w:t>
      </w:r>
      <w:r w:rsidRPr="3A86D11D" w:rsidR="56832DBB">
        <w:rPr>
          <w:rStyle w:val="CittChar"/>
        </w:rPr>
        <w:t xml:space="preserve">ve been </w:t>
      </w:r>
      <w:r w:rsidRPr="3A86D11D" w:rsidR="5CF5AB57">
        <w:rPr>
          <w:rStyle w:val="CittChar"/>
        </w:rPr>
        <w:t>completed</w:t>
      </w:r>
      <w:r w:rsidRPr="3A86D11D" w:rsidR="56832DBB">
        <w:rPr>
          <w:rStyle w:val="CittChar"/>
        </w:rPr>
        <w:t>,</w:t>
      </w:r>
      <w:r w:rsidRPr="3A86D11D" w:rsidR="615FEB38">
        <w:rPr>
          <w:rStyle w:val="CittChar"/>
        </w:rPr>
        <w:t xml:space="preserve">“ </w:t>
      </w:r>
      <w:r w:rsidRPr="3A86D11D" w:rsidR="1A7DB661">
        <w:rPr>
          <w:rStyle w:val="CittChar"/>
          <w:i w:val="0"/>
          <w:iCs w:val="0"/>
        </w:rPr>
        <w:t>Radek Matějka, Director of the Agricultural and Forestry, Industrial, Construction, and Energy Statistics Department of the Czech Statistical Office (CZSO), says.</w:t>
      </w:r>
      <w:r w:rsidRPr="3A86D11D" w:rsidR="5248528E">
        <w:rPr>
          <w:rStyle w:val="CittChar"/>
          <w:i w:val="0"/>
          <w:iCs w:val="0"/>
        </w:rPr>
        <w:t xml:space="preserve"> </w:t>
      </w:r>
      <w:r w:rsidRPr="3A86D11D" w:rsidR="05BFC559">
        <w:rPr>
          <w:rStyle w:val="CittChar"/>
          <w:i w:val="0"/>
          <w:iCs w:val="0"/>
        </w:rPr>
        <w:t>Similarly as in the previous months, year-on-year growth was recorded by most of economic activities of industry. The growth continued in</w:t>
      </w:r>
      <w:r w:rsidRPr="3A86D11D" w:rsidR="6DD17A0D">
        <w:rPr>
          <w:rStyle w:val="CittChar"/>
          <w:i w:val="0"/>
          <w:iCs w:val="0"/>
        </w:rPr>
        <w:t xml:space="preserve"> </w:t>
      </w:r>
      <w:r w:rsidRPr="3A86D11D" w:rsidR="7CDCE6F3">
        <w:rPr>
          <w:lang w:val="en-GB"/>
        </w:rPr>
        <w:t>manufacture of fabricated metal products</w:t>
      </w:r>
      <w:r w:rsidRPr="3A86D11D" w:rsidR="6DD17A0D">
        <w:rPr>
          <w:lang w:val="en-GB"/>
        </w:rPr>
        <w:t xml:space="preserve"> and in </w:t>
      </w:r>
      <w:r w:rsidRPr="3A86D11D" w:rsidR="76BD9E1F">
        <w:rPr>
          <w:lang w:val="en-GB"/>
        </w:rPr>
        <w:t>manufacture of computer, electronic and optical products.</w:t>
      </w:r>
      <w:r w:rsidRPr="3A86D11D" w:rsidR="03CFF5AC">
        <w:rPr>
          <w:lang w:val="en-GB"/>
        </w:rPr>
        <w:t xml:space="preserve"> A higher growth rate in manufacture of machinery and equipment was partially influenced by a lower level from August 2025. </w:t>
      </w:r>
      <w:r w:rsidRPr="3A86D11D" w:rsidR="5DF8A4A8">
        <w:rPr>
          <w:lang w:val="en-GB"/>
        </w:rPr>
        <w:t xml:space="preserve"> </w:t>
      </w:r>
    </w:p>
    <w:p w:rsidRPr="005732D7" w:rsidR="006715D7" w:rsidP="003873A0" w:rsidRDefault="00F0223B" w14:paraId="14CE77E3" w14:textId="5E3D8C4B">
      <w:pPr>
        <w:jc w:val="left"/>
        <w:rPr>
          <w:lang w:val="en-GB"/>
        </w:rPr>
      </w:pPr>
      <w:r w:rsidRPr="005732D7">
        <w:t xml:space="preserve">The value of </w:t>
      </w:r>
      <w:r w:rsidRPr="005732D7">
        <w:rPr>
          <w:rStyle w:val="Siln"/>
        </w:rPr>
        <w:t>new orders</w:t>
      </w:r>
      <w:r w:rsidRPr="005732D7">
        <w:t xml:space="preserve"> at current prices in surveyed industrial CZ-NACE activities in </w:t>
      </w:r>
      <w:r w:rsidRPr="005732D7" w:rsidR="008A3077">
        <w:t>August</w:t>
      </w:r>
      <w:r w:rsidRPr="005732D7">
        <w:t xml:space="preserve"> 2026 increased by </w:t>
      </w:r>
      <w:r w:rsidRPr="005732D7" w:rsidR="000558ED">
        <w:t>5</w:t>
      </w:r>
      <w:r w:rsidRPr="005732D7">
        <w:t>.</w:t>
      </w:r>
      <w:r w:rsidRPr="005732D7" w:rsidR="000558ED">
        <w:t>9</w:t>
      </w:r>
      <w:r w:rsidRPr="005732D7">
        <w:t xml:space="preserve">%, y-o-y. New non-domestic orders increased by </w:t>
      </w:r>
      <w:r w:rsidRPr="005732D7" w:rsidR="000558ED">
        <w:t>9</w:t>
      </w:r>
      <w:r w:rsidRPr="005732D7">
        <w:t>.</w:t>
      </w:r>
      <w:r w:rsidRPr="005732D7" w:rsidR="000558ED">
        <w:t>3</w:t>
      </w:r>
      <w:r w:rsidRPr="005732D7">
        <w:t>%, year-on-year. Domestic new orders recorded a</w:t>
      </w:r>
      <w:r w:rsidRPr="005732D7" w:rsidR="00581751">
        <w:t xml:space="preserve"> </w:t>
      </w:r>
      <w:r w:rsidRPr="005732D7" w:rsidR="00196212">
        <w:t>de</w:t>
      </w:r>
      <w:r w:rsidRPr="005732D7">
        <w:t xml:space="preserve">crease by </w:t>
      </w:r>
      <w:r w:rsidRPr="005732D7" w:rsidR="000558ED">
        <w:t>0</w:t>
      </w:r>
      <w:r w:rsidRPr="005732D7">
        <w:t>.</w:t>
      </w:r>
      <w:r w:rsidRPr="005732D7" w:rsidR="000558ED">
        <w:t>5</w:t>
      </w:r>
      <w:r w:rsidRPr="005732D7">
        <w:t xml:space="preserve">%. In the month-on-month comparison, the value of new orders was by </w:t>
      </w:r>
      <w:r w:rsidRPr="005732D7" w:rsidR="00AE1B2B">
        <w:t>6</w:t>
      </w:r>
      <w:r w:rsidRPr="005732D7">
        <w:t>.</w:t>
      </w:r>
      <w:r w:rsidRPr="005732D7" w:rsidR="00AE1B2B">
        <w:t>8</w:t>
      </w:r>
      <w:r w:rsidRPr="005732D7">
        <w:t xml:space="preserve">% </w:t>
      </w:r>
      <w:r w:rsidRPr="005732D7" w:rsidR="00196212">
        <w:t>low</w:t>
      </w:r>
      <w:r w:rsidRPr="005732D7">
        <w:t xml:space="preserve">er. </w:t>
      </w:r>
      <w:r w:rsidRPr="005732D7">
        <w:rPr>
          <w:rStyle w:val="CittChar"/>
        </w:rPr>
        <w:t>“</w:t>
      </w:r>
      <w:r w:rsidRPr="005732D7" w:rsidR="0067360B">
        <w:rPr>
          <w:rStyle w:val="CittChar"/>
        </w:rPr>
        <w:t xml:space="preserve">The value of new orders increased, year-on-year, </w:t>
      </w:r>
      <w:r w:rsidRPr="005732D7" w:rsidR="00D2432A">
        <w:rPr>
          <w:rStyle w:val="CittChar"/>
        </w:rPr>
        <w:t xml:space="preserve">across </w:t>
      </w:r>
      <w:r w:rsidR="00D53251">
        <w:rPr>
          <w:rStyle w:val="CittChar"/>
        </w:rPr>
        <w:t>economic activities of industry</w:t>
      </w:r>
      <w:r w:rsidRPr="005732D7" w:rsidR="00312665">
        <w:rPr>
          <w:rStyle w:val="CittChar"/>
        </w:rPr>
        <w:t>.</w:t>
      </w:r>
      <w:r w:rsidRPr="005732D7" w:rsidR="00DC189E">
        <w:rPr>
          <w:rStyle w:val="CittChar"/>
        </w:rPr>
        <w:t xml:space="preserve"> </w:t>
      </w:r>
      <w:r w:rsidRPr="005732D7" w:rsidR="0067360B">
        <w:rPr>
          <w:rStyle w:val="CittChar"/>
        </w:rPr>
        <w:t>The growth was supported the most by the following</w:t>
      </w:r>
      <w:r w:rsidRPr="005732D7" w:rsidR="00741B26">
        <w:rPr>
          <w:rStyle w:val="CittChar"/>
        </w:rPr>
        <w:t xml:space="preserve">: </w:t>
      </w:r>
      <w:r w:rsidRPr="005732D7" w:rsidR="00741B26">
        <w:rPr>
          <w:i/>
          <w:iCs/>
          <w:lang w:val="en-GB"/>
        </w:rPr>
        <w:t>manufacture of electrical equipment</w:t>
      </w:r>
      <w:r w:rsidRPr="005732D7" w:rsidR="00140BC4">
        <w:rPr>
          <w:i/>
          <w:iCs/>
          <w:lang w:val="en-GB"/>
        </w:rPr>
        <w:t xml:space="preserve">, </w:t>
      </w:r>
      <w:r w:rsidRPr="005732D7" w:rsidR="00140BC4">
        <w:rPr>
          <w:rStyle w:val="CittChar"/>
        </w:rPr>
        <w:t xml:space="preserve">manufacture of computer, electronic and optical products, and </w:t>
      </w:r>
      <w:r w:rsidRPr="005732D7" w:rsidR="00DC16FD">
        <w:rPr>
          <w:rStyle w:val="CittChar"/>
        </w:rPr>
        <w:t>manufacture of chemicals and chemical products,</w:t>
      </w:r>
      <w:r w:rsidRPr="005732D7" w:rsidR="00231BA9">
        <w:rPr>
          <w:i/>
          <w:iCs/>
          <w:lang w:val="en-GB"/>
        </w:rPr>
        <w:t xml:space="preserve">” </w:t>
      </w:r>
      <w:r w:rsidRPr="005732D7" w:rsidR="00593AC0">
        <w:t>Veronika Doležalová, Head of the Industrial Statistics Unit of the CZSO, says.</w:t>
      </w:r>
      <w:r w:rsidRPr="005732D7" w:rsidR="000E6760">
        <w:t xml:space="preserve"> </w:t>
      </w:r>
      <w:r w:rsidRPr="005732D7" w:rsidR="00696421">
        <w:t>O</w:t>
      </w:r>
      <w:r w:rsidRPr="005732D7" w:rsidR="00421D07">
        <w:t xml:space="preserve">rders </w:t>
      </w:r>
      <w:r w:rsidRPr="005732D7" w:rsidR="00696421">
        <w:t xml:space="preserve">only decreased in </w:t>
      </w:r>
      <w:r w:rsidRPr="005732D7" w:rsidR="006715D7">
        <w:rPr>
          <w:lang w:val="en-GB"/>
        </w:rPr>
        <w:t xml:space="preserve">manufacture of textiles, </w:t>
      </w:r>
      <w:r w:rsidRPr="005732D7" w:rsidR="00421D07">
        <w:rPr>
          <w:lang w:val="en-GB"/>
        </w:rPr>
        <w:t>manufacture of other transport equipment</w:t>
      </w:r>
      <w:r w:rsidRPr="005732D7" w:rsidR="006715D7">
        <w:rPr>
          <w:lang w:val="en-GB"/>
        </w:rPr>
        <w:t>, and in</w:t>
      </w:r>
      <w:r w:rsidRPr="005732D7" w:rsidR="005E0AF1">
        <w:rPr>
          <w:lang w:val="en-GB"/>
        </w:rPr>
        <w:t xml:space="preserve"> manufacture of motor vehicles, trailers and semi-trailers. </w:t>
      </w:r>
      <w:r w:rsidRPr="005732D7" w:rsidR="006715D7">
        <w:rPr>
          <w:lang w:val="en-GB"/>
        </w:rPr>
        <w:t xml:space="preserve"> </w:t>
      </w:r>
      <w:r w:rsidRPr="005732D7" w:rsidR="00421D07">
        <w:rPr>
          <w:lang w:val="en-GB"/>
        </w:rPr>
        <w:t xml:space="preserve"> </w:t>
      </w:r>
    </w:p>
    <w:p w:rsidRPr="005732D7" w:rsidR="00767431" w:rsidP="00B15F39" w:rsidRDefault="00767431" w14:paraId="128AA26D" w14:textId="282C377F">
      <w:r w:rsidRPr="005732D7">
        <w:t>The</w:t>
      </w:r>
      <w:r w:rsidRPr="005732D7">
        <w:rPr>
          <w:rStyle w:val="Siln"/>
          <w:b w:val="0"/>
        </w:rPr>
        <w:t xml:space="preserve"> </w:t>
      </w:r>
      <w:r w:rsidRPr="005732D7">
        <w:rPr>
          <w:rStyle w:val="Siln"/>
        </w:rPr>
        <w:t>average registered number of employees</w:t>
      </w:r>
      <w:r w:rsidRPr="005732D7">
        <w:rPr>
          <w:rStyle w:val="Siln"/>
          <w:b w:val="0"/>
        </w:rPr>
        <w:t xml:space="preserve"> </w:t>
      </w:r>
      <w:r w:rsidRPr="005732D7">
        <w:t>in industry decreased by 1.</w:t>
      </w:r>
      <w:r w:rsidRPr="005732D7" w:rsidR="00421D07">
        <w:t>0</w:t>
      </w:r>
      <w:r w:rsidRPr="005732D7">
        <w:t xml:space="preserve">%, y-o-y, in </w:t>
      </w:r>
      <w:r w:rsidRPr="005732D7" w:rsidR="008A3077">
        <w:t>August</w:t>
      </w:r>
      <w:r w:rsidRPr="005732D7">
        <w:t xml:space="preserve"> 2026.</w:t>
      </w:r>
    </w:p>
    <w:p w:rsidRPr="005732D7" w:rsidR="00767431" w:rsidP="00767431" w:rsidRDefault="00767431" w14:paraId="59D3C59D" w14:textId="045D32CC">
      <w:pPr>
        <w:jc w:val="left"/>
        <w:rPr>
          <w:lang w:val="en-GB"/>
        </w:rPr>
      </w:pPr>
      <w:r w:rsidRPr="005732D7">
        <w:t xml:space="preserve">According to data released by Eurostat, </w:t>
      </w:r>
      <w:r w:rsidRPr="005732D7">
        <w:rPr>
          <w:bCs/>
        </w:rPr>
        <w:t xml:space="preserve">industrial production in the EU27 </w:t>
      </w:r>
      <w:r w:rsidRPr="005732D7" w:rsidR="00421D07">
        <w:rPr>
          <w:bCs/>
        </w:rPr>
        <w:t>in</w:t>
      </w:r>
      <w:r w:rsidRPr="005732D7">
        <w:rPr>
          <w:bCs/>
        </w:rPr>
        <w:t xml:space="preserve">creased by </w:t>
      </w:r>
      <w:r w:rsidRPr="005732D7" w:rsidR="00F470BA">
        <w:rPr>
          <w:bCs/>
        </w:rPr>
        <w:t>0</w:t>
      </w:r>
      <w:r w:rsidRPr="005732D7">
        <w:rPr>
          <w:bCs/>
        </w:rPr>
        <w:t>.</w:t>
      </w:r>
      <w:r w:rsidRPr="005732D7" w:rsidR="00E275BD">
        <w:rPr>
          <w:bCs/>
        </w:rPr>
        <w:t>3</w:t>
      </w:r>
      <w:r w:rsidRPr="005732D7">
        <w:rPr>
          <w:bCs/>
        </w:rPr>
        <w:t xml:space="preserve">%, year-on-year, in </w:t>
      </w:r>
      <w:r w:rsidRPr="005732D7" w:rsidR="00421D07">
        <w:rPr>
          <w:bCs/>
        </w:rPr>
        <w:t>Ju</w:t>
      </w:r>
      <w:r w:rsidRPr="005732D7" w:rsidR="00E275BD">
        <w:rPr>
          <w:bCs/>
        </w:rPr>
        <w:t>ly</w:t>
      </w:r>
      <w:r w:rsidRPr="005732D7" w:rsidR="002E0241">
        <w:rPr>
          <w:bCs/>
        </w:rPr>
        <w:t xml:space="preserve"> </w:t>
      </w:r>
      <w:r w:rsidRPr="005732D7">
        <w:rPr>
          <w:bCs/>
        </w:rPr>
        <w:t xml:space="preserve">2026. </w:t>
      </w:r>
      <w:r w:rsidRPr="005732D7" w:rsidR="0017363D">
        <w:rPr>
          <w:bCs/>
        </w:rPr>
        <w:t xml:space="preserve">Industry of </w:t>
      </w:r>
      <w:r w:rsidRPr="005732D7" w:rsidR="00E043C1">
        <w:rPr>
          <w:bCs/>
        </w:rPr>
        <w:t>the Netherlands and Croatia</w:t>
      </w:r>
      <w:r w:rsidRPr="005732D7" w:rsidR="0017363D">
        <w:rPr>
          <w:bCs/>
        </w:rPr>
        <w:t xml:space="preserve"> increased the most (by </w:t>
      </w:r>
      <w:r w:rsidRPr="005732D7" w:rsidR="00E043C1">
        <w:rPr>
          <w:bCs/>
        </w:rPr>
        <w:t>8</w:t>
      </w:r>
      <w:r w:rsidRPr="005732D7" w:rsidR="0017363D">
        <w:rPr>
          <w:bCs/>
        </w:rPr>
        <w:t>.</w:t>
      </w:r>
      <w:r w:rsidRPr="005732D7" w:rsidR="00E043C1">
        <w:rPr>
          <w:bCs/>
        </w:rPr>
        <w:t>2</w:t>
      </w:r>
      <w:r w:rsidRPr="005732D7" w:rsidR="0017363D">
        <w:rPr>
          <w:bCs/>
        </w:rPr>
        <w:t xml:space="preserve">% and </w:t>
      </w:r>
      <w:r w:rsidRPr="005732D7" w:rsidR="00E043C1">
        <w:rPr>
          <w:bCs/>
        </w:rPr>
        <w:t>7</w:t>
      </w:r>
      <w:r w:rsidRPr="005732D7" w:rsidR="0017363D">
        <w:rPr>
          <w:bCs/>
        </w:rPr>
        <w:t>.</w:t>
      </w:r>
      <w:r w:rsidRPr="005732D7" w:rsidR="00E043C1">
        <w:rPr>
          <w:bCs/>
        </w:rPr>
        <w:t>2</w:t>
      </w:r>
      <w:r w:rsidRPr="005732D7" w:rsidR="0017363D">
        <w:rPr>
          <w:bCs/>
        </w:rPr>
        <w:t xml:space="preserve">%, respectively). Performance of Czech industry was </w:t>
      </w:r>
      <w:r w:rsidRPr="005732D7" w:rsidR="00F45653">
        <w:rPr>
          <w:bCs/>
        </w:rPr>
        <w:t xml:space="preserve">higher </w:t>
      </w:r>
      <w:r w:rsidRPr="005732D7" w:rsidR="0017363D">
        <w:rPr>
          <w:bCs/>
        </w:rPr>
        <w:t>by 3.</w:t>
      </w:r>
      <w:r w:rsidRPr="005732D7" w:rsidR="007520F0">
        <w:rPr>
          <w:bCs/>
        </w:rPr>
        <w:t>1</w:t>
      </w:r>
      <w:r w:rsidRPr="005732D7" w:rsidR="0017363D">
        <w:rPr>
          <w:bCs/>
        </w:rPr>
        <w:t>%</w:t>
      </w:r>
      <w:r w:rsidRPr="005732D7" w:rsidR="007520F0">
        <w:rPr>
          <w:bCs/>
        </w:rPr>
        <w:t>, y-o-y</w:t>
      </w:r>
      <w:r w:rsidRPr="005732D7" w:rsidR="0017363D">
        <w:rPr>
          <w:bCs/>
        </w:rPr>
        <w:t>.</w:t>
      </w:r>
      <w:r w:rsidRPr="005732D7" w:rsidR="003528F3">
        <w:rPr>
          <w:bCs/>
        </w:rPr>
        <w:t xml:space="preserve"> </w:t>
      </w:r>
      <w:r w:rsidRPr="005732D7" w:rsidR="00850CE8">
        <w:rPr>
          <w:bCs/>
        </w:rPr>
        <w:t>The biggest year-on-year decrease was recorded by</w:t>
      </w:r>
      <w:r w:rsidRPr="005732D7" w:rsidR="003528F3">
        <w:rPr>
          <w:bCs/>
        </w:rPr>
        <w:t xml:space="preserve"> </w:t>
      </w:r>
      <w:r w:rsidRPr="005732D7" w:rsidR="00F54914">
        <w:rPr>
          <w:bCs/>
        </w:rPr>
        <w:t>Bulgaria</w:t>
      </w:r>
      <w:r w:rsidRPr="005732D7" w:rsidR="003528F3">
        <w:rPr>
          <w:bCs/>
        </w:rPr>
        <w:t xml:space="preserve"> (by </w:t>
      </w:r>
      <w:r w:rsidRPr="005732D7" w:rsidR="00F54914">
        <w:rPr>
          <w:bCs/>
        </w:rPr>
        <w:t>6</w:t>
      </w:r>
      <w:r w:rsidRPr="005732D7" w:rsidR="003528F3">
        <w:rPr>
          <w:bCs/>
        </w:rPr>
        <w:t>.</w:t>
      </w:r>
      <w:r w:rsidRPr="005732D7" w:rsidR="00F54914">
        <w:rPr>
          <w:bCs/>
        </w:rPr>
        <w:t>8</w:t>
      </w:r>
      <w:r w:rsidRPr="005732D7" w:rsidR="003528F3">
        <w:rPr>
          <w:bCs/>
        </w:rPr>
        <w:t xml:space="preserve">%) and Romania (by </w:t>
      </w:r>
      <w:r w:rsidRPr="005732D7" w:rsidR="00F54914">
        <w:rPr>
          <w:bCs/>
        </w:rPr>
        <w:t>6</w:t>
      </w:r>
      <w:r w:rsidRPr="005732D7" w:rsidR="003528F3">
        <w:rPr>
          <w:bCs/>
        </w:rPr>
        <w:t>.</w:t>
      </w:r>
      <w:r w:rsidRPr="005732D7" w:rsidR="00F54914">
        <w:rPr>
          <w:bCs/>
        </w:rPr>
        <w:t>3</w:t>
      </w:r>
      <w:r w:rsidRPr="005732D7" w:rsidR="003528F3">
        <w:rPr>
          <w:bCs/>
        </w:rPr>
        <w:t xml:space="preserve">%). </w:t>
      </w:r>
      <w:r w:rsidRPr="005732D7" w:rsidR="00CD2BCD">
        <w:rPr>
          <w:bCs/>
        </w:rPr>
        <w:t xml:space="preserve">German industry decreased by </w:t>
      </w:r>
      <w:r w:rsidRPr="005732D7" w:rsidR="00F54914">
        <w:rPr>
          <w:bCs/>
        </w:rPr>
        <w:t>2</w:t>
      </w:r>
      <w:r w:rsidRPr="005732D7" w:rsidR="00CD2BCD">
        <w:rPr>
          <w:bCs/>
        </w:rPr>
        <w:t>.</w:t>
      </w:r>
      <w:r w:rsidRPr="005732D7" w:rsidR="00F54914">
        <w:rPr>
          <w:bCs/>
        </w:rPr>
        <w:t>2</w:t>
      </w:r>
      <w:r w:rsidRPr="005732D7" w:rsidR="00CD2BCD">
        <w:rPr>
          <w:bCs/>
        </w:rPr>
        <w:t xml:space="preserve">%. </w:t>
      </w:r>
      <w:r w:rsidRPr="005732D7" w:rsidR="00FB4FB2">
        <w:rPr>
          <w:bCs/>
        </w:rPr>
        <w:t>As for economic activities of industry in the EU27,</w:t>
      </w:r>
      <w:r w:rsidRPr="005732D7" w:rsidR="003528F3">
        <w:rPr>
          <w:bCs/>
        </w:rPr>
        <w:t xml:space="preserve"> </w:t>
      </w:r>
      <w:r w:rsidRPr="005732D7" w:rsidR="003528F3">
        <w:rPr>
          <w:lang w:val="en-GB"/>
        </w:rPr>
        <w:t>manufacture of computer, electronic and optical products</w:t>
      </w:r>
      <w:r w:rsidRPr="005732D7" w:rsidR="00DF2E6A">
        <w:rPr>
          <w:bCs/>
        </w:rPr>
        <w:t xml:space="preserve"> recorded the </w:t>
      </w:r>
      <w:r w:rsidR="00724B76">
        <w:rPr>
          <w:bCs/>
        </w:rPr>
        <w:t>highest</w:t>
      </w:r>
      <w:r w:rsidRPr="005732D7" w:rsidR="00DF2E6A">
        <w:rPr>
          <w:bCs/>
        </w:rPr>
        <w:t xml:space="preserve"> increase </w:t>
      </w:r>
      <w:r w:rsidRPr="005732D7" w:rsidR="00DF2E6A">
        <w:rPr>
          <w:lang w:val="en-GB"/>
        </w:rPr>
        <w:t xml:space="preserve">(by 19.3%). </w:t>
      </w:r>
      <w:r w:rsidRPr="005732D7" w:rsidR="00780C67">
        <w:rPr>
          <w:lang w:val="en-GB"/>
        </w:rPr>
        <w:t xml:space="preserve">Manufacture of basic pharmaceutical products and pharmaceutical preparations </w:t>
      </w:r>
      <w:r w:rsidRPr="005732D7" w:rsidR="00E03E51">
        <w:rPr>
          <w:lang w:val="en-GB"/>
        </w:rPr>
        <w:t>decreased the most (by 7.</w:t>
      </w:r>
      <w:r w:rsidRPr="005732D7" w:rsidR="00AF338D">
        <w:rPr>
          <w:lang w:val="en-GB"/>
        </w:rPr>
        <w:t>6</w:t>
      </w:r>
      <w:r w:rsidRPr="005732D7" w:rsidR="00E03E51">
        <w:rPr>
          <w:lang w:val="en-GB"/>
        </w:rPr>
        <w:t xml:space="preserve">%). </w:t>
      </w:r>
      <w:r w:rsidRPr="005732D7">
        <w:rPr>
          <w:bCs/>
        </w:rPr>
        <w:t xml:space="preserve">According to a preliminary release calendar, Eurostat will release data for </w:t>
      </w:r>
      <w:r w:rsidRPr="005732D7" w:rsidR="008A3077">
        <w:t>August</w:t>
      </w:r>
      <w:r w:rsidRPr="005732D7">
        <w:rPr>
          <w:bCs/>
        </w:rPr>
        <w:t xml:space="preserve"> 2026 on </w:t>
      </w:r>
      <w:r w:rsidRPr="005732D7" w:rsidR="004B4B29">
        <w:rPr>
          <w:bCs/>
        </w:rPr>
        <w:t>15 October </w:t>
      </w:r>
      <w:r w:rsidRPr="005732D7">
        <w:rPr>
          <w:bCs/>
        </w:rPr>
        <w:t>2026.</w:t>
      </w:r>
    </w:p>
    <w:p w:rsidRPr="005732D7" w:rsidR="00097735" w:rsidP="00157F88" w:rsidRDefault="00097735" w14:paraId="230D53FE" w14:textId="77777777"/>
    <w:p w:rsidRPr="005732D7" w:rsidR="007E7E8D" w:rsidP="00B15F39" w:rsidRDefault="007E7E8D" w14:paraId="42D0CDB4" w14:textId="77777777">
      <w:pPr>
        <w:pStyle w:val="Poznmky"/>
      </w:pPr>
      <w:r w:rsidRPr="005732D7">
        <w:t>Notes:</w:t>
      </w:r>
    </w:p>
    <w:p w:rsidRPr="005732D7" w:rsidR="00AD01FA" w:rsidP="00B15F39" w:rsidRDefault="008A3077" w14:paraId="2142F568" w14:textId="77777777">
      <w:pPr>
        <w:pStyle w:val="Poznmky"/>
      </w:pPr>
      <w:r w:rsidRPr="005732D7">
        <w:t>August</w:t>
      </w:r>
      <w:r w:rsidRPr="005732D7" w:rsidR="007E7E8D">
        <w:t xml:space="preserve"> 2026 had </w:t>
      </w:r>
      <w:r w:rsidRPr="005732D7" w:rsidR="00AD01FA">
        <w:t>the same number of working days as</w:t>
      </w:r>
      <w:r w:rsidRPr="005732D7" w:rsidR="00FB4FB2">
        <w:t xml:space="preserve"> </w:t>
      </w:r>
      <w:r w:rsidRPr="005732D7">
        <w:t>August</w:t>
      </w:r>
      <w:r w:rsidRPr="005732D7" w:rsidR="007E7E8D">
        <w:t xml:space="preserve"> 2025.</w:t>
      </w:r>
      <w:r w:rsidRPr="005732D7" w:rsidR="00611994">
        <w:t xml:space="preserve"> </w:t>
      </w:r>
    </w:p>
    <w:p w:rsidRPr="005732D7" w:rsidR="007E7E8D" w:rsidP="00B15F39" w:rsidRDefault="007E7E8D" w14:paraId="729F1FCD" w14:textId="41084B0A">
      <w:pPr>
        <w:pStyle w:val="Poznmky"/>
      </w:pPr>
      <w:r w:rsidRPr="005732D7">
        <w:t>The year-on-year development of all indicators is published after having been adjusted for the influence of the number of working days. Month-on-month or quarter-on-quarter rates have also been seasonally adjusted.</w:t>
      </w:r>
      <w:r w:rsidRPr="005732D7" w:rsidR="00620D5C">
        <w:t xml:space="preserve"> </w:t>
      </w:r>
      <w:r w:rsidRPr="005732D7">
        <w:t>Contributions to an increase or to a decrease have been calculated from data that had been adjusted for the influence of the number of working days.</w:t>
      </w:r>
    </w:p>
    <w:p w:rsidRPr="005732D7" w:rsidR="007E7E8D" w:rsidP="00B15F39" w:rsidRDefault="007E7E8D" w14:paraId="5D93EBB7" w14:textId="4C6A144D">
      <w:pPr>
        <w:pStyle w:val="Poznmky"/>
        <w:rPr>
          <w:iCs/>
        </w:rPr>
      </w:pPr>
      <w:r w:rsidRPr="005732D7">
        <w:t xml:space="preserve">Detailed time series of short-term statistics on industry are </w:t>
      </w:r>
      <w:r w:rsidRPr="005732D7" w:rsidR="00A0630C">
        <w:t xml:space="preserve">primarily </w:t>
      </w:r>
      <w:r w:rsidRPr="005732D7">
        <w:t>presented via the DataStat application, topic: Sectors / Industry / Short-term statistics on industry. Current tables in the Public database including direct links to selected time series in the xlsx format continue to be updated and fully functional up until the end of operation of the Public database.</w:t>
      </w:r>
      <w:r w:rsidRPr="005732D7">
        <w:rPr>
          <w:iCs/>
        </w:rPr>
        <w:t xml:space="preserve"> </w:t>
      </w:r>
    </w:p>
    <w:p w:rsidRPr="005732D7" w:rsidR="007E7E8D" w:rsidP="00B15F39" w:rsidRDefault="007E7E8D" w14:paraId="0EC6A938" w14:textId="77777777">
      <w:pPr>
        <w:pStyle w:val="Poznmky"/>
        <w:rPr>
          <w:rStyle w:val="Hypertextovodkaz"/>
          <w:szCs w:val="22"/>
        </w:rPr>
      </w:pPr>
      <w:r w:rsidRPr="005732D7">
        <w:rPr>
          <w:szCs w:val="22"/>
        </w:rPr>
        <w:t xml:space="preserve">Methodology: </w:t>
      </w:r>
      <w:hyperlink w:history="1" r:id="rId11">
        <w:r w:rsidRPr="005732D7">
          <w:rPr>
            <w:rStyle w:val="Hypertextovodkaz"/>
          </w:rPr>
          <w:t>https://csu.gov.cz/pru_m</w:t>
        </w:r>
      </w:hyperlink>
    </w:p>
    <w:p w:rsidRPr="005732D7" w:rsidR="007E7E8D" w:rsidP="00B15F39" w:rsidRDefault="007E7E8D" w14:paraId="765685BC" w14:textId="77777777">
      <w:pPr>
        <w:pStyle w:val="Poznmky"/>
      </w:pPr>
    </w:p>
    <w:p w:rsidRPr="005732D7" w:rsidR="007E7E8D" w:rsidP="00097735" w:rsidRDefault="007E7E8D" w14:paraId="3F761AD1" w14:textId="444C4743">
      <w:pPr>
        <w:pStyle w:val="Poznmky"/>
        <w:ind w:left="3544" w:hanging="3544"/>
      </w:pPr>
      <w:r w:rsidRPr="005732D7">
        <w:t xml:space="preserve">Responsible head at the CZSO: </w:t>
      </w:r>
      <w:r w:rsidRPr="005732D7">
        <w:tab/>
      </w:r>
      <w:r w:rsidRPr="005732D7">
        <w:t xml:space="preserve">Radek Matějka, Director of the Agricultural and Forestry, Industrial, Construction, and Energy Statistics Department, </w:t>
      </w:r>
      <w:r w:rsidRPr="005732D7" w:rsidR="00333241">
        <w:t>T</w:t>
      </w:r>
      <w:r w:rsidRPr="005732D7">
        <w:t>:</w:t>
      </w:r>
      <w:r w:rsidRPr="005732D7" w:rsidR="00333241">
        <w:t> </w:t>
      </w:r>
      <w:r w:rsidRPr="005732D7">
        <w:t>+420</w:t>
      </w:r>
      <w:r w:rsidRPr="005732D7" w:rsidR="00333241">
        <w:t> </w:t>
      </w:r>
      <w:r w:rsidRPr="005732D7">
        <w:t xml:space="preserve">736 168 543, </w:t>
      </w:r>
      <w:r w:rsidRPr="005732D7" w:rsidR="00333241">
        <w:t>E: </w:t>
      </w:r>
      <w:hyperlink w:history="1" r:id="rId12">
        <w:r w:rsidRPr="005732D7">
          <w:rPr>
            <w:rStyle w:val="Hypertextovodkaz"/>
            <w:szCs w:val="18"/>
          </w:rPr>
          <w:t>radek.matejka@csu.gov.cz</w:t>
        </w:r>
      </w:hyperlink>
    </w:p>
    <w:p w:rsidRPr="005732D7" w:rsidR="007E7E8D" w:rsidP="00097735" w:rsidRDefault="007E7E8D" w14:paraId="7DDDB4C1" w14:textId="258B98BF">
      <w:pPr>
        <w:pStyle w:val="Poznmky"/>
        <w:ind w:left="3544" w:hanging="3544"/>
      </w:pPr>
      <w:r w:rsidRPr="005732D7">
        <w:t xml:space="preserve">Contact person: </w:t>
      </w:r>
      <w:r w:rsidRPr="005732D7">
        <w:tab/>
      </w:r>
      <w:r w:rsidRPr="005732D7">
        <w:t xml:space="preserve">Veronika Doležalová, Head of the Industrial Statistics Unit, </w:t>
      </w:r>
      <w:r w:rsidRPr="005732D7" w:rsidR="00333241">
        <w:t>T: </w:t>
      </w:r>
      <w:r w:rsidRPr="005732D7">
        <w:t>+420</w:t>
      </w:r>
      <w:r w:rsidRPr="005732D7" w:rsidR="00333241">
        <w:t> </w:t>
      </w:r>
      <w:r w:rsidRPr="005732D7">
        <w:rPr>
          <w:rFonts w:cs="Arial"/>
        </w:rPr>
        <w:t>734 352 291</w:t>
      </w:r>
      <w:r w:rsidRPr="005732D7">
        <w:t xml:space="preserve">, </w:t>
      </w:r>
      <w:r w:rsidRPr="005732D7" w:rsidR="00333241">
        <w:t>E</w:t>
      </w:r>
      <w:r w:rsidRPr="005732D7">
        <w:t>:</w:t>
      </w:r>
      <w:r w:rsidRPr="005732D7" w:rsidR="00333241">
        <w:t> </w:t>
      </w:r>
      <w:hyperlink w:history="1" r:id="rId13">
        <w:r w:rsidRPr="005732D7">
          <w:rPr>
            <w:rStyle w:val="Hypertextovodkaz"/>
            <w:szCs w:val="18"/>
          </w:rPr>
          <w:t>veronika.dolezalova@csu.gov.cz</w:t>
        </w:r>
      </w:hyperlink>
    </w:p>
    <w:p w:rsidRPr="005732D7" w:rsidR="007E7E8D" w:rsidP="00097735" w:rsidRDefault="007E7E8D" w14:paraId="3D6C4993" w14:textId="5A76A512">
      <w:pPr>
        <w:pStyle w:val="Poznmky"/>
        <w:ind w:left="3544" w:hanging="3544"/>
      </w:pPr>
      <w:r w:rsidRPr="005732D7">
        <w:t xml:space="preserve">Method of data acquisition: </w:t>
      </w:r>
      <w:r w:rsidRPr="005732D7">
        <w:tab/>
      </w:r>
      <w:r w:rsidRPr="005732D7">
        <w:t>direct survey of the CZSO (Prům 1–12)</w:t>
      </w:r>
    </w:p>
    <w:p w:rsidRPr="005732D7" w:rsidR="007E7E8D" w:rsidP="00097735" w:rsidRDefault="007E7E8D" w14:paraId="7E4F50CF" w14:textId="6F1AF2D5">
      <w:pPr>
        <w:pStyle w:val="Poznmky"/>
        <w:ind w:left="3544" w:hanging="3544"/>
      </w:pPr>
      <w:r w:rsidRPr="005732D7">
        <w:t xml:space="preserve">End of data collection: </w:t>
      </w:r>
      <w:r w:rsidRPr="005732D7" w:rsidR="00097735">
        <w:tab/>
      </w:r>
      <w:r w:rsidRPr="005732D7" w:rsidR="002C4C5E">
        <w:t>3</w:t>
      </w:r>
      <w:r w:rsidRPr="005732D7" w:rsidR="00162832">
        <w:t>0 September</w:t>
      </w:r>
      <w:r w:rsidRPr="005732D7" w:rsidR="00F42C15">
        <w:t> </w:t>
      </w:r>
      <w:r w:rsidRPr="005732D7">
        <w:t>2026</w:t>
      </w:r>
    </w:p>
    <w:p w:rsidRPr="005732D7" w:rsidR="007E7E8D" w:rsidP="00073E65" w:rsidRDefault="007E7E8D" w14:paraId="6C3F4CD2" w14:textId="48A076AC">
      <w:pPr>
        <w:pStyle w:val="Poznmky"/>
        <w:ind w:left="3544" w:hanging="3544"/>
        <w:rPr>
          <w:lang w:val="en-GB"/>
        </w:rPr>
      </w:pPr>
      <w:r w:rsidRPr="005732D7">
        <w:rPr>
          <w:rFonts w:cs="Arial"/>
        </w:rPr>
        <w:t xml:space="preserve">Related outputs: </w:t>
      </w:r>
      <w:r w:rsidRPr="005732D7">
        <w:rPr>
          <w:rFonts w:cs="Arial"/>
        </w:rPr>
        <w:tab/>
      </w:r>
      <w:r w:rsidRPr="005732D7">
        <w:rPr>
          <w:rFonts w:cs="Arial"/>
        </w:rPr>
        <w:t xml:space="preserve">time series in the </w:t>
      </w:r>
      <w:hyperlink w:history="1" r:id="rId14">
        <w:r w:rsidRPr="005732D7">
          <w:rPr>
            <w:rStyle w:val="Hypertextovodkaz"/>
            <w:rFonts w:cs="Arial"/>
            <w:iCs/>
            <w:szCs w:val="18"/>
          </w:rPr>
          <w:t>DataStat – topic: Short-term statistics on industry</w:t>
        </w:r>
      </w:hyperlink>
      <w:r w:rsidRPr="005732D7" w:rsidR="00164094">
        <w:t>;</w:t>
      </w:r>
      <w:r w:rsidRPr="005732D7">
        <w:t xml:space="preserve"> </w:t>
      </w:r>
      <w:r w:rsidRPr="005732D7">
        <w:rPr>
          <w:rFonts w:cs="Arial"/>
        </w:rPr>
        <w:t> </w:t>
      </w:r>
      <w:r w:rsidRPr="005732D7">
        <w:rPr>
          <w:lang w:val="en-GB"/>
        </w:rPr>
        <w:t xml:space="preserve">international comparison in EU countries: </w:t>
      </w:r>
      <w:hyperlink w:history="1" r:id="rId15">
        <w:r w:rsidRPr="005732D7">
          <w:rPr>
            <w:rStyle w:val="Hypertextovodkaz"/>
            <w:szCs w:val="18"/>
            <w:lang w:val="en-GB"/>
          </w:rPr>
          <w:t>Eurostat</w:t>
        </w:r>
      </w:hyperlink>
    </w:p>
    <w:p w:rsidRPr="005732D7" w:rsidR="007E7E8D" w:rsidP="00097735" w:rsidRDefault="007E7E8D" w14:paraId="537310D2" w14:textId="05622FD2">
      <w:pPr>
        <w:pStyle w:val="Poznmky"/>
      </w:pPr>
      <w:r w:rsidRPr="005732D7">
        <w:t>Next news release will be published on:</w:t>
      </w:r>
      <w:r w:rsidRPr="005732D7">
        <w:tab/>
      </w:r>
      <w:r w:rsidRPr="005732D7" w:rsidR="002C4C5E">
        <w:t>7</w:t>
      </w:r>
      <w:r w:rsidRPr="005732D7" w:rsidR="00F42C15">
        <w:t> </w:t>
      </w:r>
      <w:r w:rsidRPr="005732D7" w:rsidR="005732D7">
        <w:t>November</w:t>
      </w:r>
      <w:r w:rsidRPr="005732D7" w:rsidR="00F42C15">
        <w:t> </w:t>
      </w:r>
      <w:r w:rsidRPr="005732D7">
        <w:t>2026</w:t>
      </w:r>
    </w:p>
    <w:p w:rsidRPr="005732D7" w:rsidR="007E7E8D" w:rsidP="007E7E8D" w:rsidRDefault="007E7E8D" w14:paraId="00591DF0" w14:textId="77777777">
      <w:pPr>
        <w:pStyle w:val="Zkladntext2"/>
        <w:spacing w:after="0" w:line="276" w:lineRule="auto"/>
        <w:rPr>
          <w:rFonts w:cs="Arial"/>
          <w:bCs/>
          <w:szCs w:val="18"/>
        </w:rPr>
      </w:pPr>
    </w:p>
    <w:p w:rsidRPr="005732D7" w:rsidR="007E7E8D" w:rsidP="007E7E8D" w:rsidRDefault="007E7E8D" w14:paraId="663A8BE8" w14:textId="77777777">
      <w:pPr>
        <w:spacing w:after="0"/>
      </w:pPr>
      <w:r w:rsidRPr="005732D7">
        <w:t>Annexes:</w:t>
      </w:r>
    </w:p>
    <w:p w:rsidRPr="005732D7" w:rsidR="007E7E8D" w:rsidP="007E7E8D" w:rsidRDefault="007E7E8D" w14:paraId="41701D04" w14:textId="5EA7509F">
      <w:pPr>
        <w:spacing w:after="0"/>
      </w:pPr>
      <w:r w:rsidRPr="005732D7">
        <w:t>Tab. 1 Industrial production (year-on-year indices)</w:t>
      </w:r>
    </w:p>
    <w:p w:rsidRPr="005732D7" w:rsidR="007E7E8D" w:rsidP="007E7E8D" w:rsidRDefault="007E7E8D" w14:paraId="0515FBB2" w14:textId="77777777">
      <w:pPr>
        <w:spacing w:after="0"/>
      </w:pPr>
      <w:r w:rsidRPr="005732D7">
        <w:t>Tab. 2 New orders in industry (year-on-year indices)</w:t>
      </w:r>
    </w:p>
    <w:p w:rsidRPr="005732D7" w:rsidR="007E7E8D" w:rsidP="007E7E8D" w:rsidRDefault="007E7E8D" w14:paraId="37659BF4" w14:textId="77777777">
      <w:pPr>
        <w:spacing w:after="0"/>
      </w:pPr>
      <w:r w:rsidRPr="005732D7">
        <w:t>Tab. 3 Average registered number of employees and their average gross monthly wage</w:t>
      </w:r>
    </w:p>
    <w:p w:rsidRPr="005732D7" w:rsidR="007E7E8D" w:rsidP="007E7E8D" w:rsidRDefault="007E7E8D" w14:paraId="501CB3A2" w14:textId="77777777">
      <w:pPr>
        <w:spacing w:after="0"/>
      </w:pPr>
      <w:r w:rsidRPr="005732D7">
        <w:t>Chart 1 Industrial production index (base indices)</w:t>
      </w:r>
    </w:p>
    <w:p w:rsidRPr="005732D7" w:rsidR="007E7E8D" w:rsidP="007E7E8D" w:rsidRDefault="007E7E8D" w14:paraId="78243F71" w14:textId="77777777">
      <w:pPr>
        <w:spacing w:after="0"/>
      </w:pPr>
      <w:r w:rsidRPr="005732D7">
        <w:t>Chart 2 Industrial production index (year-on-year indices)</w:t>
      </w:r>
    </w:p>
    <w:p w:rsidRPr="005732D7" w:rsidR="007E7E8D" w:rsidP="007E7E8D" w:rsidRDefault="007E7E8D" w14:paraId="21A2B9FA" w14:textId="77777777">
      <w:pPr>
        <w:spacing w:after="0"/>
      </w:pPr>
      <w:r w:rsidRPr="005732D7">
        <w:t>Chart 3 Industrial production index – international comparison (base indices)</w:t>
      </w:r>
    </w:p>
    <w:p w:rsidRPr="005732D7" w:rsidR="007E7E8D" w:rsidP="007E7E8D" w:rsidRDefault="007E7E8D" w14:paraId="7AC58342" w14:textId="77777777">
      <w:pPr>
        <w:spacing w:after="0"/>
      </w:pPr>
      <w:r w:rsidRPr="005732D7">
        <w:t>Chart 4 Industrial production index – contributions of economic activities to the y-o-y change</w:t>
      </w:r>
    </w:p>
    <w:p w:rsidR="00157F88" w:rsidP="007E7E8D" w:rsidRDefault="007E7E8D" w14:paraId="4A109E8A" w14:textId="06497A35">
      <w:pPr>
        <w:spacing w:after="0"/>
      </w:pPr>
      <w:r w:rsidRPr="005732D7">
        <w:t>Chart 5 New orders in industry – contributions of economic activities to the y-o-y change</w:t>
      </w:r>
    </w:p>
    <w:p w:rsidR="00070445" w:rsidP="00157F88" w:rsidRDefault="00070445" w14:paraId="15BF21EC" w14:textId="77777777">
      <w:pPr>
        <w:pStyle w:val="Nadpis6"/>
        <w:rPr>
          <w:noProof/>
        </w:rPr>
      </w:pPr>
    </w:p>
    <w:sectPr w:rsidR="00070445" w:rsidSect="00BE2E0B">
      <w:headerReference w:type="default" r:id="rId16"/>
      <w:footerReference w:type="default" r:id="rId17"/>
      <w:pgSz w:w="11906" w:h="16838" w:orient="portrait"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48F1" w:rsidP="004A01A7" w:rsidRDefault="000248F1" w14:paraId="13D860C0" w14:textId="77777777">
      <w:pPr>
        <w:spacing w:after="0" w:line="240" w:lineRule="auto"/>
      </w:pPr>
      <w:r>
        <w:separator/>
      </w:r>
    </w:p>
  </w:endnote>
  <w:endnote w:type="continuationSeparator" w:id="0">
    <w:p w:rsidR="000248F1" w:rsidP="004A01A7" w:rsidRDefault="000248F1" w14:paraId="18CB16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MS Gothic"/>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0FF" w:rsidP="00F21B6A" w:rsidRDefault="00B910FF" w14:paraId="52681C0C" w14:textId="77777777">
    <w:pPr>
      <w:pStyle w:val="Zpat"/>
      <w:rPr>
        <w:b/>
        <w:bCs/>
      </w:rPr>
    </w:pPr>
    <w:r w:rsidRPr="00F243C9">
      <w:t>Czech Statistical Office</w:t>
    </w:r>
    <w:r w:rsidRPr="00B910FF">
      <w:rPr>
        <w:b/>
        <w:bCs/>
      </w:rPr>
      <w:t xml:space="preserve"> </w:t>
    </w:r>
  </w:p>
  <w:p w:rsidR="00F21B6A" w:rsidP="00F21B6A" w:rsidRDefault="00B910FF" w14:paraId="7F08CEE6" w14:textId="77777777">
    <w:pPr>
      <w:pStyle w:val="Zpat"/>
    </w:pPr>
    <w:r w:rsidRPr="00B910FF">
      <w:t>Information Services Department</w:t>
    </w:r>
    <w:r w:rsidR="00F21B6A">
      <w:tab/>
    </w:r>
    <w:r w:rsidR="00F21B6A">
      <w:tab/>
    </w:r>
    <w:r w:rsidRPr="008B0E87" w:rsidR="00F21B6A">
      <w:rPr>
        <w:spacing w:val="20"/>
      </w:rPr>
      <w:fldChar w:fldCharType="begin"/>
    </w:r>
    <w:r w:rsidRPr="008B0E87" w:rsidR="00F21B6A">
      <w:rPr>
        <w:spacing w:val="20"/>
      </w:rPr>
      <w:instrText>PAGE</w:instrText>
    </w:r>
    <w:r w:rsidRPr="008B0E87" w:rsidR="00F21B6A">
      <w:rPr>
        <w:spacing w:val="20"/>
      </w:rPr>
      <w:fldChar w:fldCharType="separate"/>
    </w:r>
    <w:r w:rsidR="00F21B6A">
      <w:rPr>
        <w:spacing w:val="20"/>
      </w:rPr>
      <w:t>1</w:t>
    </w:r>
    <w:r w:rsidRPr="008B0E87" w:rsidR="00F21B6A">
      <w:rPr>
        <w:spacing w:val="20"/>
      </w:rPr>
      <w:fldChar w:fldCharType="end"/>
    </w:r>
    <w:r w:rsidRPr="008B0E87" w:rsidR="00F21B6A">
      <w:rPr>
        <w:spacing w:val="20"/>
      </w:rPr>
      <w:t>/</w:t>
    </w:r>
    <w:r w:rsidRPr="008B0E87" w:rsidR="00F21B6A">
      <w:rPr>
        <w:spacing w:val="20"/>
      </w:rPr>
      <w:fldChar w:fldCharType="begin"/>
    </w:r>
    <w:r w:rsidRPr="008B0E87" w:rsidR="00F21B6A">
      <w:rPr>
        <w:spacing w:val="20"/>
      </w:rPr>
      <w:instrText>NUMPAGES</w:instrText>
    </w:r>
    <w:r w:rsidRPr="008B0E87" w:rsidR="00F21B6A">
      <w:rPr>
        <w:spacing w:val="20"/>
      </w:rPr>
      <w:fldChar w:fldCharType="separate"/>
    </w:r>
    <w:r w:rsidR="00F21B6A">
      <w:rPr>
        <w:spacing w:val="20"/>
      </w:rPr>
      <w:t>6</w:t>
    </w:r>
    <w:r w:rsidRPr="008B0E87" w:rsidR="00F21B6A">
      <w:rPr>
        <w:spacing w:val="20"/>
      </w:rPr>
      <w:fldChar w:fldCharType="end"/>
    </w:r>
  </w:p>
  <w:p w:rsidR="00F21B6A" w:rsidP="00F21B6A" w:rsidRDefault="006A57CC" w14:paraId="0FF645E5" w14:textId="77777777">
    <w:pPr>
      <w:pStyle w:val="Zpat"/>
      <w:tabs>
        <w:tab w:val="left" w:pos="4440"/>
      </w:tabs>
    </w:pPr>
    <w:r w:rsidRPr="006A57CC">
      <w:t xml:space="preserve">Na padesátém 3268/81, 100 82 </w:t>
    </w:r>
    <w:r w:rsidR="00B910FF">
      <w:t>Prague</w:t>
    </w:r>
    <w:r w:rsidRPr="006A57CC">
      <w:t xml:space="preserve"> 10</w:t>
    </w:r>
    <w:r w:rsidR="007334B7">
      <w:t xml:space="preserve">, </w:t>
    </w:r>
    <w:r w:rsidRPr="007334B7" w:rsidR="007334B7">
      <w:t>Czech Republic</w:t>
    </w:r>
    <w:r w:rsidR="00F21B6A">
      <w:tab/>
    </w:r>
    <w:r w:rsidR="00F21B6A">
      <w:tab/>
    </w:r>
    <w:r w:rsidR="00F21B6A">
      <w:tab/>
    </w:r>
  </w:p>
  <w:p w:rsidRPr="00F21B6A" w:rsidR="004A01A7" w:rsidP="00F21B6A" w:rsidRDefault="00CB5768" w14:paraId="75E40AE0" w14:textId="77777777">
    <w:pPr>
      <w:pStyle w:val="Zpat"/>
    </w:pPr>
    <w:r w:rsidRPr="00CB5768">
      <w:t>T: +420 274 056 789, E: infoservis@csu.gov.cz</w:t>
    </w:r>
    <w:r w:rsidR="00F21B6A">
      <w:tab/>
    </w:r>
    <w:r w:rsidR="00F21B6A">
      <w:tab/>
    </w:r>
    <w:hyperlink w:history="1" r:id="rId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48F1" w:rsidP="004A01A7" w:rsidRDefault="000248F1" w14:paraId="7C2FB5F9" w14:textId="77777777">
      <w:pPr>
        <w:spacing w:after="0" w:line="240" w:lineRule="auto"/>
      </w:pPr>
    </w:p>
  </w:footnote>
  <w:footnote w:type="continuationSeparator" w:id="0">
    <w:p w:rsidR="000248F1" w:rsidP="004A01A7" w:rsidRDefault="000248F1" w14:paraId="38C539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rsidTr="00F21B6A" w14:paraId="5D95E0E4" w14:textId="77777777">
      <w:trPr>
        <w:jc w:val="right"/>
      </w:trPr>
      <w:tc>
        <w:tcPr>
          <w:tcW w:w="4253" w:type="dxa"/>
        </w:tcPr>
        <w:p w:rsidR="003208E6" w:rsidP="00C063DD" w:rsidRDefault="00B910FF" w14:paraId="4C0B0399" w14:textId="77777777">
          <w:pPr>
            <w:pStyle w:val="Nadpis3"/>
            <w:spacing w:before="0"/>
            <w:jc w:val="right"/>
          </w:pPr>
          <w:r>
            <w:t>News release</w:t>
          </w:r>
        </w:p>
      </w:tc>
    </w:tr>
  </w:tbl>
  <w:p w:rsidR="00B910FF" w:rsidP="00B910FF" w:rsidRDefault="00B910FF" w14:paraId="59E182A3" w14:textId="77777777">
    <w:pPr>
      <w:pStyle w:val="Zhlav"/>
      <w:jc w:val="left"/>
    </w:pPr>
    <w:r>
      <w:rPr>
        <w:noProof/>
        <w:color w:val="000000" w:themeColor="text1"/>
      </w:rPr>
      <w:drawing>
        <wp:anchor distT="0" distB="0" distL="114300" distR="114300" simplePos="0" relativeHeight="251658240"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rsidR="004A01A7" w:rsidP="00550B36" w:rsidRDefault="004A01A7" w14:paraId="3B5D9210"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74263CB"/>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3AA7C6F"/>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EAA4253"/>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07C7313"/>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28219F0"/>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5427B69"/>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6960494"/>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hint="default" w:ascii="Arial" w:hAnsi="Arial"/>
      </w:rPr>
    </w:lvl>
    <w:lvl w:ilvl="1">
      <w:start w:val="1"/>
      <w:numFmt w:val="bullet"/>
      <w:pStyle w:val="Odrka2"/>
      <w:lvlText w:val="▪"/>
      <w:lvlJc w:val="left"/>
      <w:pPr>
        <w:tabs>
          <w:tab w:val="num" w:pos="1418"/>
        </w:tabs>
        <w:ind w:left="907" w:hanging="198"/>
      </w:pPr>
      <w:rPr>
        <w:rFonts w:hint="default" w:ascii="Arial" w:hAnsi="Arial"/>
      </w:rPr>
    </w:lvl>
    <w:lvl w:ilvl="2">
      <w:start w:val="1"/>
      <w:numFmt w:val="bullet"/>
      <w:pStyle w:val="Odrka3"/>
      <w:lvlText w:val="■"/>
      <w:lvlJc w:val="left"/>
      <w:pPr>
        <w:tabs>
          <w:tab w:val="num" w:pos="2126"/>
        </w:tabs>
        <w:ind w:left="1644" w:hanging="226"/>
      </w:pPr>
      <w:rPr>
        <w:rFonts w:hint="default" w:ascii="Arial" w:hAnsi="Arial"/>
        <w:color w:val="A7A9B3" w:themeColor="background2"/>
      </w:rPr>
    </w:lvl>
    <w:lvl w:ilvl="3">
      <w:start w:val="1"/>
      <w:numFmt w:val="bullet"/>
      <w:pStyle w:val="Odrka4"/>
      <w:lvlText w:val="▪"/>
      <w:lvlJc w:val="left"/>
      <w:pPr>
        <w:tabs>
          <w:tab w:val="num" w:pos="2835"/>
        </w:tabs>
        <w:ind w:left="2325" w:hanging="199"/>
      </w:pPr>
      <w:rPr>
        <w:rFonts w:hint="default" w:ascii="Arial" w:hAnsi="Arial"/>
        <w:color w:val="A7A9B3" w:themeColor="background2"/>
      </w:rPr>
    </w:lvl>
    <w:lvl w:ilvl="4">
      <w:start w:val="1"/>
      <w:numFmt w:val="bullet"/>
      <w:pStyle w:val="Odrka5"/>
      <w:lvlText w:val="–"/>
      <w:lvlJc w:val="left"/>
      <w:pPr>
        <w:tabs>
          <w:tab w:val="num" w:pos="3544"/>
        </w:tabs>
        <w:ind w:left="3062" w:hanging="227"/>
      </w:pPr>
      <w:rPr>
        <w:rFonts w:hint="default" w:ascii="Arial" w:hAnsi="Arial"/>
        <w:color w:val="auto"/>
      </w:rPr>
    </w:lvl>
    <w:lvl w:ilvl="5">
      <w:start w:val="1"/>
      <w:numFmt w:val="bullet"/>
      <w:pStyle w:val="Odrka6"/>
      <w:lvlText w:val="·"/>
      <w:lvlJc w:val="left"/>
      <w:pPr>
        <w:ind w:left="3714" w:hanging="170"/>
      </w:pPr>
      <w:rPr>
        <w:rFonts w:hint="default" w:ascii="Arial" w:hAnsi="Arial"/>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4052CCF"/>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B356AC3"/>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CA64431"/>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F397BA4"/>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ttachedTemplate r:id="rId1"/>
  <w:trackRevisions w:val="fals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7C"/>
    <w:rsid w:val="00002282"/>
    <w:rsid w:val="000075A0"/>
    <w:rsid w:val="000106FE"/>
    <w:rsid w:val="000120B4"/>
    <w:rsid w:val="000248F1"/>
    <w:rsid w:val="00024997"/>
    <w:rsid w:val="0002560E"/>
    <w:rsid w:val="00026DB5"/>
    <w:rsid w:val="000323A7"/>
    <w:rsid w:val="00032CCE"/>
    <w:rsid w:val="00035F16"/>
    <w:rsid w:val="00043335"/>
    <w:rsid w:val="00043A96"/>
    <w:rsid w:val="000501FA"/>
    <w:rsid w:val="00053384"/>
    <w:rsid w:val="00054392"/>
    <w:rsid w:val="0005510C"/>
    <w:rsid w:val="000558ED"/>
    <w:rsid w:val="00060CB2"/>
    <w:rsid w:val="00062565"/>
    <w:rsid w:val="000651B6"/>
    <w:rsid w:val="00070445"/>
    <w:rsid w:val="00070CF7"/>
    <w:rsid w:val="00071F0F"/>
    <w:rsid w:val="000724D4"/>
    <w:rsid w:val="00073E65"/>
    <w:rsid w:val="00083A55"/>
    <w:rsid w:val="00085436"/>
    <w:rsid w:val="0008646A"/>
    <w:rsid w:val="000968A9"/>
    <w:rsid w:val="00097735"/>
    <w:rsid w:val="000A161A"/>
    <w:rsid w:val="000B4F0B"/>
    <w:rsid w:val="000C11F2"/>
    <w:rsid w:val="000C2452"/>
    <w:rsid w:val="000C34F6"/>
    <w:rsid w:val="000C67FA"/>
    <w:rsid w:val="000C68F4"/>
    <w:rsid w:val="000D1996"/>
    <w:rsid w:val="000D2954"/>
    <w:rsid w:val="000D35CE"/>
    <w:rsid w:val="000D5C58"/>
    <w:rsid w:val="000E00C3"/>
    <w:rsid w:val="000E3099"/>
    <w:rsid w:val="000E6760"/>
    <w:rsid w:val="000F141D"/>
    <w:rsid w:val="000F4694"/>
    <w:rsid w:val="000F5A54"/>
    <w:rsid w:val="00102994"/>
    <w:rsid w:val="0010606B"/>
    <w:rsid w:val="00112960"/>
    <w:rsid w:val="00113976"/>
    <w:rsid w:val="00113E58"/>
    <w:rsid w:val="00116E1F"/>
    <w:rsid w:val="00121658"/>
    <w:rsid w:val="0013069D"/>
    <w:rsid w:val="00134D21"/>
    <w:rsid w:val="00134F2B"/>
    <w:rsid w:val="00135EBB"/>
    <w:rsid w:val="001363A5"/>
    <w:rsid w:val="00137B85"/>
    <w:rsid w:val="00140402"/>
    <w:rsid w:val="00140BC4"/>
    <w:rsid w:val="00141449"/>
    <w:rsid w:val="00146A2A"/>
    <w:rsid w:val="001506F9"/>
    <w:rsid w:val="0015074B"/>
    <w:rsid w:val="001510FA"/>
    <w:rsid w:val="00151F15"/>
    <w:rsid w:val="00157F88"/>
    <w:rsid w:val="00160599"/>
    <w:rsid w:val="00160FEB"/>
    <w:rsid w:val="00162832"/>
    <w:rsid w:val="00164094"/>
    <w:rsid w:val="00164790"/>
    <w:rsid w:val="00164CEB"/>
    <w:rsid w:val="00165285"/>
    <w:rsid w:val="001712FE"/>
    <w:rsid w:val="00171B3E"/>
    <w:rsid w:val="0017363D"/>
    <w:rsid w:val="00175680"/>
    <w:rsid w:val="0018086D"/>
    <w:rsid w:val="001909FA"/>
    <w:rsid w:val="00196212"/>
    <w:rsid w:val="001C3910"/>
    <w:rsid w:val="001D52C5"/>
    <w:rsid w:val="001D719A"/>
    <w:rsid w:val="001E0520"/>
    <w:rsid w:val="001E1B82"/>
    <w:rsid w:val="001E1BCA"/>
    <w:rsid w:val="001E417F"/>
    <w:rsid w:val="001E513B"/>
    <w:rsid w:val="001E691A"/>
    <w:rsid w:val="001F11F0"/>
    <w:rsid w:val="001F41D3"/>
    <w:rsid w:val="001F493F"/>
    <w:rsid w:val="001F7684"/>
    <w:rsid w:val="002000F6"/>
    <w:rsid w:val="00200551"/>
    <w:rsid w:val="002013B0"/>
    <w:rsid w:val="00204B80"/>
    <w:rsid w:val="0020716F"/>
    <w:rsid w:val="00210D44"/>
    <w:rsid w:val="00216463"/>
    <w:rsid w:val="00222610"/>
    <w:rsid w:val="002234D1"/>
    <w:rsid w:val="00230BEF"/>
    <w:rsid w:val="00231BA9"/>
    <w:rsid w:val="002363CA"/>
    <w:rsid w:val="0024676C"/>
    <w:rsid w:val="0025518A"/>
    <w:rsid w:val="00260DCA"/>
    <w:rsid w:val="00275B42"/>
    <w:rsid w:val="00280346"/>
    <w:rsid w:val="00280D21"/>
    <w:rsid w:val="0028101B"/>
    <w:rsid w:val="002826B4"/>
    <w:rsid w:val="00286890"/>
    <w:rsid w:val="00293F29"/>
    <w:rsid w:val="00295445"/>
    <w:rsid w:val="00297C33"/>
    <w:rsid w:val="002B130B"/>
    <w:rsid w:val="002B5D14"/>
    <w:rsid w:val="002B678B"/>
    <w:rsid w:val="002C4C20"/>
    <w:rsid w:val="002C4C5E"/>
    <w:rsid w:val="002D11B9"/>
    <w:rsid w:val="002D78D8"/>
    <w:rsid w:val="002D796B"/>
    <w:rsid w:val="002E0241"/>
    <w:rsid w:val="002F13C5"/>
    <w:rsid w:val="002F6E7C"/>
    <w:rsid w:val="002F7004"/>
    <w:rsid w:val="0030061B"/>
    <w:rsid w:val="00303A0E"/>
    <w:rsid w:val="00306FEA"/>
    <w:rsid w:val="00307360"/>
    <w:rsid w:val="00312665"/>
    <w:rsid w:val="003206E7"/>
    <w:rsid w:val="003208E6"/>
    <w:rsid w:val="0032285E"/>
    <w:rsid w:val="00327B53"/>
    <w:rsid w:val="00333241"/>
    <w:rsid w:val="00334286"/>
    <w:rsid w:val="003351B8"/>
    <w:rsid w:val="00337E59"/>
    <w:rsid w:val="0034039F"/>
    <w:rsid w:val="003428CA"/>
    <w:rsid w:val="00343237"/>
    <w:rsid w:val="003454DD"/>
    <w:rsid w:val="00350951"/>
    <w:rsid w:val="003528F3"/>
    <w:rsid w:val="00352A6E"/>
    <w:rsid w:val="003540FA"/>
    <w:rsid w:val="00356332"/>
    <w:rsid w:val="00363815"/>
    <w:rsid w:val="003654CD"/>
    <w:rsid w:val="00370110"/>
    <w:rsid w:val="00372598"/>
    <w:rsid w:val="003771D2"/>
    <w:rsid w:val="00383E82"/>
    <w:rsid w:val="00385788"/>
    <w:rsid w:val="003873A0"/>
    <w:rsid w:val="003918E0"/>
    <w:rsid w:val="00391CBE"/>
    <w:rsid w:val="00392F53"/>
    <w:rsid w:val="00393EC0"/>
    <w:rsid w:val="003A2A49"/>
    <w:rsid w:val="003A3966"/>
    <w:rsid w:val="003A7E6A"/>
    <w:rsid w:val="003B5411"/>
    <w:rsid w:val="003C027F"/>
    <w:rsid w:val="003C1F10"/>
    <w:rsid w:val="003C2957"/>
    <w:rsid w:val="003C3F6A"/>
    <w:rsid w:val="003C4FA0"/>
    <w:rsid w:val="003D1CE3"/>
    <w:rsid w:val="003D2E76"/>
    <w:rsid w:val="003D639F"/>
    <w:rsid w:val="003E0572"/>
    <w:rsid w:val="003E1C06"/>
    <w:rsid w:val="003E3910"/>
    <w:rsid w:val="003E6369"/>
    <w:rsid w:val="003E6726"/>
    <w:rsid w:val="003F36C7"/>
    <w:rsid w:val="003F54C8"/>
    <w:rsid w:val="003F69B1"/>
    <w:rsid w:val="004027D2"/>
    <w:rsid w:val="0040303E"/>
    <w:rsid w:val="00407B47"/>
    <w:rsid w:val="00410158"/>
    <w:rsid w:val="004121EE"/>
    <w:rsid w:val="004136C9"/>
    <w:rsid w:val="00413B3C"/>
    <w:rsid w:val="00420F82"/>
    <w:rsid w:val="00421717"/>
    <w:rsid w:val="00421D07"/>
    <w:rsid w:val="00426C60"/>
    <w:rsid w:val="00427375"/>
    <w:rsid w:val="0042741B"/>
    <w:rsid w:val="0042778A"/>
    <w:rsid w:val="00430159"/>
    <w:rsid w:val="00430BB6"/>
    <w:rsid w:val="0043243E"/>
    <w:rsid w:val="00433E54"/>
    <w:rsid w:val="00436196"/>
    <w:rsid w:val="00436EC2"/>
    <w:rsid w:val="0044460B"/>
    <w:rsid w:val="00450156"/>
    <w:rsid w:val="004533F8"/>
    <w:rsid w:val="00454DC7"/>
    <w:rsid w:val="004573FA"/>
    <w:rsid w:val="004607B2"/>
    <w:rsid w:val="00463047"/>
    <w:rsid w:val="0046727D"/>
    <w:rsid w:val="00471F36"/>
    <w:rsid w:val="004723B2"/>
    <w:rsid w:val="00493ED9"/>
    <w:rsid w:val="00494C8C"/>
    <w:rsid w:val="00495168"/>
    <w:rsid w:val="004977D7"/>
    <w:rsid w:val="004A01A7"/>
    <w:rsid w:val="004A09C5"/>
    <w:rsid w:val="004A1350"/>
    <w:rsid w:val="004A38DD"/>
    <w:rsid w:val="004B4A94"/>
    <w:rsid w:val="004B4B29"/>
    <w:rsid w:val="004C704A"/>
    <w:rsid w:val="004C7D60"/>
    <w:rsid w:val="004C7DCA"/>
    <w:rsid w:val="004D6EAB"/>
    <w:rsid w:val="004E43D9"/>
    <w:rsid w:val="004E7E0E"/>
    <w:rsid w:val="004F07B0"/>
    <w:rsid w:val="004F544A"/>
    <w:rsid w:val="00500A63"/>
    <w:rsid w:val="00513950"/>
    <w:rsid w:val="0051443E"/>
    <w:rsid w:val="00521746"/>
    <w:rsid w:val="005261E9"/>
    <w:rsid w:val="00530F53"/>
    <w:rsid w:val="0053379B"/>
    <w:rsid w:val="00534403"/>
    <w:rsid w:val="00542A56"/>
    <w:rsid w:val="00542CA8"/>
    <w:rsid w:val="00544002"/>
    <w:rsid w:val="00550B36"/>
    <w:rsid w:val="00552A40"/>
    <w:rsid w:val="00553ACE"/>
    <w:rsid w:val="005548CD"/>
    <w:rsid w:val="00554FC7"/>
    <w:rsid w:val="00554FF8"/>
    <w:rsid w:val="0055531A"/>
    <w:rsid w:val="00560EC8"/>
    <w:rsid w:val="00563A5F"/>
    <w:rsid w:val="00563FE8"/>
    <w:rsid w:val="0056491C"/>
    <w:rsid w:val="00564F2B"/>
    <w:rsid w:val="005732D7"/>
    <w:rsid w:val="005801BB"/>
    <w:rsid w:val="00581751"/>
    <w:rsid w:val="005865A4"/>
    <w:rsid w:val="00586756"/>
    <w:rsid w:val="0058729F"/>
    <w:rsid w:val="005872C9"/>
    <w:rsid w:val="00593AC0"/>
    <w:rsid w:val="00593FA2"/>
    <w:rsid w:val="005970F5"/>
    <w:rsid w:val="005A012C"/>
    <w:rsid w:val="005A4EC9"/>
    <w:rsid w:val="005A5410"/>
    <w:rsid w:val="005A60C3"/>
    <w:rsid w:val="005C14EB"/>
    <w:rsid w:val="005C29C9"/>
    <w:rsid w:val="005C781E"/>
    <w:rsid w:val="005D15C1"/>
    <w:rsid w:val="005D2590"/>
    <w:rsid w:val="005E0977"/>
    <w:rsid w:val="005E0AF1"/>
    <w:rsid w:val="005E1657"/>
    <w:rsid w:val="005E2420"/>
    <w:rsid w:val="005F6A63"/>
    <w:rsid w:val="00601C8A"/>
    <w:rsid w:val="00601DFE"/>
    <w:rsid w:val="006051FE"/>
    <w:rsid w:val="00605C4D"/>
    <w:rsid w:val="00606CF5"/>
    <w:rsid w:val="00607675"/>
    <w:rsid w:val="00611994"/>
    <w:rsid w:val="006120D2"/>
    <w:rsid w:val="00615D9E"/>
    <w:rsid w:val="00620D5C"/>
    <w:rsid w:val="006254F9"/>
    <w:rsid w:val="0062559A"/>
    <w:rsid w:val="00626A46"/>
    <w:rsid w:val="00626A74"/>
    <w:rsid w:val="0062750B"/>
    <w:rsid w:val="00633C60"/>
    <w:rsid w:val="00636A0E"/>
    <w:rsid w:val="00637E8B"/>
    <w:rsid w:val="00640E73"/>
    <w:rsid w:val="0064237D"/>
    <w:rsid w:val="00646E16"/>
    <w:rsid w:val="00647757"/>
    <w:rsid w:val="00650D3D"/>
    <w:rsid w:val="0067042F"/>
    <w:rsid w:val="006715D7"/>
    <w:rsid w:val="0067360B"/>
    <w:rsid w:val="00677077"/>
    <w:rsid w:val="006830F0"/>
    <w:rsid w:val="006845DE"/>
    <w:rsid w:val="00690B09"/>
    <w:rsid w:val="006950C1"/>
    <w:rsid w:val="0069631F"/>
    <w:rsid w:val="00696421"/>
    <w:rsid w:val="006A4940"/>
    <w:rsid w:val="006A57CC"/>
    <w:rsid w:val="006B243E"/>
    <w:rsid w:val="006C06AF"/>
    <w:rsid w:val="006C0860"/>
    <w:rsid w:val="006C0B80"/>
    <w:rsid w:val="006D3385"/>
    <w:rsid w:val="006E0713"/>
    <w:rsid w:val="006E7273"/>
    <w:rsid w:val="006F4755"/>
    <w:rsid w:val="006F51DB"/>
    <w:rsid w:val="00702BED"/>
    <w:rsid w:val="007049E6"/>
    <w:rsid w:val="007122A4"/>
    <w:rsid w:val="00713213"/>
    <w:rsid w:val="007141CA"/>
    <w:rsid w:val="0071455E"/>
    <w:rsid w:val="00716F0E"/>
    <w:rsid w:val="00724B76"/>
    <w:rsid w:val="00724E67"/>
    <w:rsid w:val="0073040F"/>
    <w:rsid w:val="007334B7"/>
    <w:rsid w:val="007371E0"/>
    <w:rsid w:val="00741B26"/>
    <w:rsid w:val="007421A2"/>
    <w:rsid w:val="00743CB1"/>
    <w:rsid w:val="007520F0"/>
    <w:rsid w:val="00754AF4"/>
    <w:rsid w:val="00762E8C"/>
    <w:rsid w:val="007647F2"/>
    <w:rsid w:val="00765263"/>
    <w:rsid w:val="00767431"/>
    <w:rsid w:val="00771BBF"/>
    <w:rsid w:val="00773B0B"/>
    <w:rsid w:val="00777697"/>
    <w:rsid w:val="00780C67"/>
    <w:rsid w:val="007851F7"/>
    <w:rsid w:val="00787190"/>
    <w:rsid w:val="007909E1"/>
    <w:rsid w:val="007B3F75"/>
    <w:rsid w:val="007C22EB"/>
    <w:rsid w:val="007C7EC3"/>
    <w:rsid w:val="007D1193"/>
    <w:rsid w:val="007D2351"/>
    <w:rsid w:val="007D6A0E"/>
    <w:rsid w:val="007D6F07"/>
    <w:rsid w:val="007E4B7A"/>
    <w:rsid w:val="007E7E8D"/>
    <w:rsid w:val="007F00FB"/>
    <w:rsid w:val="00801CDD"/>
    <w:rsid w:val="00804DE7"/>
    <w:rsid w:val="00811964"/>
    <w:rsid w:val="00822E49"/>
    <w:rsid w:val="008271D3"/>
    <w:rsid w:val="008321E1"/>
    <w:rsid w:val="00834A49"/>
    <w:rsid w:val="00837E45"/>
    <w:rsid w:val="00837E75"/>
    <w:rsid w:val="0084277E"/>
    <w:rsid w:val="00850CE8"/>
    <w:rsid w:val="00851074"/>
    <w:rsid w:val="008541DA"/>
    <w:rsid w:val="00857950"/>
    <w:rsid w:val="00857FE9"/>
    <w:rsid w:val="00863CE0"/>
    <w:rsid w:val="00863FE0"/>
    <w:rsid w:val="00867A94"/>
    <w:rsid w:val="00870D3E"/>
    <w:rsid w:val="00873276"/>
    <w:rsid w:val="0087517C"/>
    <w:rsid w:val="008766C2"/>
    <w:rsid w:val="00877CF1"/>
    <w:rsid w:val="00880729"/>
    <w:rsid w:val="008815DA"/>
    <w:rsid w:val="00883D93"/>
    <w:rsid w:val="00884306"/>
    <w:rsid w:val="008A3077"/>
    <w:rsid w:val="008A4895"/>
    <w:rsid w:val="008B0E87"/>
    <w:rsid w:val="008B50A3"/>
    <w:rsid w:val="008C4A49"/>
    <w:rsid w:val="008C5F34"/>
    <w:rsid w:val="008D405D"/>
    <w:rsid w:val="008D5575"/>
    <w:rsid w:val="008D78E7"/>
    <w:rsid w:val="008E6C1B"/>
    <w:rsid w:val="008F125B"/>
    <w:rsid w:val="008F533C"/>
    <w:rsid w:val="008F5C6B"/>
    <w:rsid w:val="00903384"/>
    <w:rsid w:val="009149E6"/>
    <w:rsid w:val="00916E60"/>
    <w:rsid w:val="00917C90"/>
    <w:rsid w:val="00945FB9"/>
    <w:rsid w:val="009475A7"/>
    <w:rsid w:val="00951930"/>
    <w:rsid w:val="0095608F"/>
    <w:rsid w:val="009610E2"/>
    <w:rsid w:val="00961C87"/>
    <w:rsid w:val="0096469E"/>
    <w:rsid w:val="00964FF2"/>
    <w:rsid w:val="0097303D"/>
    <w:rsid w:val="00981883"/>
    <w:rsid w:val="00983393"/>
    <w:rsid w:val="00984352"/>
    <w:rsid w:val="00985819"/>
    <w:rsid w:val="009A389D"/>
    <w:rsid w:val="009A3CEB"/>
    <w:rsid w:val="009B032C"/>
    <w:rsid w:val="009B0804"/>
    <w:rsid w:val="009B5C6C"/>
    <w:rsid w:val="009C081A"/>
    <w:rsid w:val="009C0BC3"/>
    <w:rsid w:val="009C31A6"/>
    <w:rsid w:val="009D72AA"/>
    <w:rsid w:val="009E02B9"/>
    <w:rsid w:val="009E4B81"/>
    <w:rsid w:val="009E525F"/>
    <w:rsid w:val="009F3E9D"/>
    <w:rsid w:val="009F5207"/>
    <w:rsid w:val="00A0058E"/>
    <w:rsid w:val="00A00AAF"/>
    <w:rsid w:val="00A0630C"/>
    <w:rsid w:val="00A15A28"/>
    <w:rsid w:val="00A2344E"/>
    <w:rsid w:val="00A274A1"/>
    <w:rsid w:val="00A3283F"/>
    <w:rsid w:val="00A32FFD"/>
    <w:rsid w:val="00A37CD5"/>
    <w:rsid w:val="00A47859"/>
    <w:rsid w:val="00A55A71"/>
    <w:rsid w:val="00A66440"/>
    <w:rsid w:val="00A76E7D"/>
    <w:rsid w:val="00A7786D"/>
    <w:rsid w:val="00A851CE"/>
    <w:rsid w:val="00A91166"/>
    <w:rsid w:val="00A91452"/>
    <w:rsid w:val="00A9585F"/>
    <w:rsid w:val="00A95D0B"/>
    <w:rsid w:val="00AA0C58"/>
    <w:rsid w:val="00AA0E18"/>
    <w:rsid w:val="00AA1C91"/>
    <w:rsid w:val="00AA1D72"/>
    <w:rsid w:val="00AB4BE7"/>
    <w:rsid w:val="00AB5479"/>
    <w:rsid w:val="00AB7649"/>
    <w:rsid w:val="00AB78F5"/>
    <w:rsid w:val="00AC0BF4"/>
    <w:rsid w:val="00AC1E8A"/>
    <w:rsid w:val="00AD01FA"/>
    <w:rsid w:val="00AD40DD"/>
    <w:rsid w:val="00AD7D97"/>
    <w:rsid w:val="00AE1317"/>
    <w:rsid w:val="00AE1B2B"/>
    <w:rsid w:val="00AE6440"/>
    <w:rsid w:val="00AF0444"/>
    <w:rsid w:val="00AF06B0"/>
    <w:rsid w:val="00AF18F4"/>
    <w:rsid w:val="00AF3319"/>
    <w:rsid w:val="00AF338D"/>
    <w:rsid w:val="00AF39AC"/>
    <w:rsid w:val="00AF5A25"/>
    <w:rsid w:val="00AF6E23"/>
    <w:rsid w:val="00AF6E9E"/>
    <w:rsid w:val="00B0330A"/>
    <w:rsid w:val="00B07208"/>
    <w:rsid w:val="00B0769C"/>
    <w:rsid w:val="00B14C26"/>
    <w:rsid w:val="00B15F39"/>
    <w:rsid w:val="00B2195A"/>
    <w:rsid w:val="00B25E5E"/>
    <w:rsid w:val="00B31BB1"/>
    <w:rsid w:val="00B36DBE"/>
    <w:rsid w:val="00B40D87"/>
    <w:rsid w:val="00B422EB"/>
    <w:rsid w:val="00B43D9B"/>
    <w:rsid w:val="00B47092"/>
    <w:rsid w:val="00B51C8F"/>
    <w:rsid w:val="00B5663D"/>
    <w:rsid w:val="00B602D0"/>
    <w:rsid w:val="00B62344"/>
    <w:rsid w:val="00B637ED"/>
    <w:rsid w:val="00B70022"/>
    <w:rsid w:val="00B7165F"/>
    <w:rsid w:val="00B733E5"/>
    <w:rsid w:val="00B759AD"/>
    <w:rsid w:val="00B8724F"/>
    <w:rsid w:val="00B90BD8"/>
    <w:rsid w:val="00B910FF"/>
    <w:rsid w:val="00B91A8B"/>
    <w:rsid w:val="00B96F18"/>
    <w:rsid w:val="00BA315E"/>
    <w:rsid w:val="00BA32A7"/>
    <w:rsid w:val="00BA3C4E"/>
    <w:rsid w:val="00BA64C3"/>
    <w:rsid w:val="00BA6934"/>
    <w:rsid w:val="00BB2466"/>
    <w:rsid w:val="00BB2B9A"/>
    <w:rsid w:val="00BB45B9"/>
    <w:rsid w:val="00BB6195"/>
    <w:rsid w:val="00BB6635"/>
    <w:rsid w:val="00BC23FF"/>
    <w:rsid w:val="00BC534A"/>
    <w:rsid w:val="00BC5C99"/>
    <w:rsid w:val="00BD27B2"/>
    <w:rsid w:val="00BE2E0B"/>
    <w:rsid w:val="00BE3BE4"/>
    <w:rsid w:val="00BE53B6"/>
    <w:rsid w:val="00BE5550"/>
    <w:rsid w:val="00BF21F9"/>
    <w:rsid w:val="00BF4759"/>
    <w:rsid w:val="00BF58C9"/>
    <w:rsid w:val="00BF7407"/>
    <w:rsid w:val="00C02131"/>
    <w:rsid w:val="00C03FAC"/>
    <w:rsid w:val="00C044C1"/>
    <w:rsid w:val="00C063DD"/>
    <w:rsid w:val="00C07ACD"/>
    <w:rsid w:val="00C129E8"/>
    <w:rsid w:val="00C12B28"/>
    <w:rsid w:val="00C15C5E"/>
    <w:rsid w:val="00C1627A"/>
    <w:rsid w:val="00C16E35"/>
    <w:rsid w:val="00C206E5"/>
    <w:rsid w:val="00C21594"/>
    <w:rsid w:val="00C2223F"/>
    <w:rsid w:val="00C240F6"/>
    <w:rsid w:val="00C25FAF"/>
    <w:rsid w:val="00C27B17"/>
    <w:rsid w:val="00C311A5"/>
    <w:rsid w:val="00C34C0F"/>
    <w:rsid w:val="00C4391D"/>
    <w:rsid w:val="00C46979"/>
    <w:rsid w:val="00C47D31"/>
    <w:rsid w:val="00C5077B"/>
    <w:rsid w:val="00C51EE5"/>
    <w:rsid w:val="00C528F5"/>
    <w:rsid w:val="00C559EC"/>
    <w:rsid w:val="00C5725B"/>
    <w:rsid w:val="00C61C26"/>
    <w:rsid w:val="00C678BE"/>
    <w:rsid w:val="00C744B6"/>
    <w:rsid w:val="00C744B7"/>
    <w:rsid w:val="00C74A09"/>
    <w:rsid w:val="00C76B2C"/>
    <w:rsid w:val="00C7765B"/>
    <w:rsid w:val="00C833D0"/>
    <w:rsid w:val="00CA3ABB"/>
    <w:rsid w:val="00CB1B52"/>
    <w:rsid w:val="00CB1E4F"/>
    <w:rsid w:val="00CB5768"/>
    <w:rsid w:val="00CB6B2A"/>
    <w:rsid w:val="00CC0409"/>
    <w:rsid w:val="00CC309B"/>
    <w:rsid w:val="00CC35A2"/>
    <w:rsid w:val="00CC7927"/>
    <w:rsid w:val="00CD0856"/>
    <w:rsid w:val="00CD2BCD"/>
    <w:rsid w:val="00CD784B"/>
    <w:rsid w:val="00CE0BC6"/>
    <w:rsid w:val="00CF032C"/>
    <w:rsid w:val="00CF6697"/>
    <w:rsid w:val="00D02F6B"/>
    <w:rsid w:val="00D0414E"/>
    <w:rsid w:val="00D066AA"/>
    <w:rsid w:val="00D1163F"/>
    <w:rsid w:val="00D12AC4"/>
    <w:rsid w:val="00D14D8B"/>
    <w:rsid w:val="00D15B3B"/>
    <w:rsid w:val="00D20AC3"/>
    <w:rsid w:val="00D2432A"/>
    <w:rsid w:val="00D25E73"/>
    <w:rsid w:val="00D37A56"/>
    <w:rsid w:val="00D40227"/>
    <w:rsid w:val="00D50FAD"/>
    <w:rsid w:val="00D52194"/>
    <w:rsid w:val="00D53251"/>
    <w:rsid w:val="00D63056"/>
    <w:rsid w:val="00D70040"/>
    <w:rsid w:val="00D7143F"/>
    <w:rsid w:val="00D71A41"/>
    <w:rsid w:val="00D766B6"/>
    <w:rsid w:val="00D76FFA"/>
    <w:rsid w:val="00D868CC"/>
    <w:rsid w:val="00DA10DB"/>
    <w:rsid w:val="00DA13FC"/>
    <w:rsid w:val="00DA7F2B"/>
    <w:rsid w:val="00DB443B"/>
    <w:rsid w:val="00DC16FD"/>
    <w:rsid w:val="00DC189E"/>
    <w:rsid w:val="00DC32D9"/>
    <w:rsid w:val="00DC6F3A"/>
    <w:rsid w:val="00DD3D93"/>
    <w:rsid w:val="00DD4E3E"/>
    <w:rsid w:val="00DD6689"/>
    <w:rsid w:val="00DE7853"/>
    <w:rsid w:val="00DF2E6A"/>
    <w:rsid w:val="00DF3F66"/>
    <w:rsid w:val="00E03E51"/>
    <w:rsid w:val="00E043C1"/>
    <w:rsid w:val="00E12747"/>
    <w:rsid w:val="00E14659"/>
    <w:rsid w:val="00E24FEA"/>
    <w:rsid w:val="00E26575"/>
    <w:rsid w:val="00E275BD"/>
    <w:rsid w:val="00E34849"/>
    <w:rsid w:val="00E36565"/>
    <w:rsid w:val="00E408D4"/>
    <w:rsid w:val="00E414DB"/>
    <w:rsid w:val="00E43678"/>
    <w:rsid w:val="00E45137"/>
    <w:rsid w:val="00E456D4"/>
    <w:rsid w:val="00E47767"/>
    <w:rsid w:val="00E47C5A"/>
    <w:rsid w:val="00E542CC"/>
    <w:rsid w:val="00E62893"/>
    <w:rsid w:val="00E631E1"/>
    <w:rsid w:val="00E63EDD"/>
    <w:rsid w:val="00E67257"/>
    <w:rsid w:val="00E704CC"/>
    <w:rsid w:val="00E721D1"/>
    <w:rsid w:val="00E72CDB"/>
    <w:rsid w:val="00E8081F"/>
    <w:rsid w:val="00E8736C"/>
    <w:rsid w:val="00E90C4D"/>
    <w:rsid w:val="00E9571D"/>
    <w:rsid w:val="00E97FB6"/>
    <w:rsid w:val="00EA7BC7"/>
    <w:rsid w:val="00EB4E69"/>
    <w:rsid w:val="00EB5DA8"/>
    <w:rsid w:val="00EC122F"/>
    <w:rsid w:val="00EC2292"/>
    <w:rsid w:val="00EC56DC"/>
    <w:rsid w:val="00EC7598"/>
    <w:rsid w:val="00ED141F"/>
    <w:rsid w:val="00ED3141"/>
    <w:rsid w:val="00EE7225"/>
    <w:rsid w:val="00EF1981"/>
    <w:rsid w:val="00EF306D"/>
    <w:rsid w:val="00EF4611"/>
    <w:rsid w:val="00F01FDA"/>
    <w:rsid w:val="00F0223B"/>
    <w:rsid w:val="00F0418D"/>
    <w:rsid w:val="00F049CC"/>
    <w:rsid w:val="00F04EC6"/>
    <w:rsid w:val="00F152C4"/>
    <w:rsid w:val="00F20D4D"/>
    <w:rsid w:val="00F21784"/>
    <w:rsid w:val="00F21B6A"/>
    <w:rsid w:val="00F26AB3"/>
    <w:rsid w:val="00F3034F"/>
    <w:rsid w:val="00F30723"/>
    <w:rsid w:val="00F30E1E"/>
    <w:rsid w:val="00F34410"/>
    <w:rsid w:val="00F42C15"/>
    <w:rsid w:val="00F45653"/>
    <w:rsid w:val="00F470BA"/>
    <w:rsid w:val="00F54391"/>
    <w:rsid w:val="00F54914"/>
    <w:rsid w:val="00F562EF"/>
    <w:rsid w:val="00F61EDA"/>
    <w:rsid w:val="00F668A6"/>
    <w:rsid w:val="00F70F49"/>
    <w:rsid w:val="00F837DE"/>
    <w:rsid w:val="00F925B3"/>
    <w:rsid w:val="00FA0FB3"/>
    <w:rsid w:val="00FA634C"/>
    <w:rsid w:val="00FA79CC"/>
    <w:rsid w:val="00FA7B77"/>
    <w:rsid w:val="00FB11FD"/>
    <w:rsid w:val="00FB4F1B"/>
    <w:rsid w:val="00FB4FB2"/>
    <w:rsid w:val="00FB57B9"/>
    <w:rsid w:val="00FB7CA3"/>
    <w:rsid w:val="00FC186E"/>
    <w:rsid w:val="00FC3FB2"/>
    <w:rsid w:val="00FC61AB"/>
    <w:rsid w:val="00FC7C87"/>
    <w:rsid w:val="00FD415B"/>
    <w:rsid w:val="00FD5BC4"/>
    <w:rsid w:val="00FD5BEC"/>
    <w:rsid w:val="00FD5E47"/>
    <w:rsid w:val="00FD7332"/>
    <w:rsid w:val="00FE5C1A"/>
    <w:rsid w:val="00FE7E23"/>
    <w:rsid w:val="03CFF5AC"/>
    <w:rsid w:val="05BFC559"/>
    <w:rsid w:val="11C2E5E4"/>
    <w:rsid w:val="1200D49C"/>
    <w:rsid w:val="13C90DAA"/>
    <w:rsid w:val="1A7DB661"/>
    <w:rsid w:val="30FC01EF"/>
    <w:rsid w:val="337B10D7"/>
    <w:rsid w:val="386AF0CF"/>
    <w:rsid w:val="3A86D11D"/>
    <w:rsid w:val="4B4FDA99"/>
    <w:rsid w:val="5248528E"/>
    <w:rsid w:val="56832DBB"/>
    <w:rsid w:val="58DAB45C"/>
    <w:rsid w:val="5CF5AB57"/>
    <w:rsid w:val="5DF8A4A8"/>
    <w:rsid w:val="615FEB38"/>
    <w:rsid w:val="6DD17A0D"/>
    <w:rsid w:val="716F12F4"/>
    <w:rsid w:val="76BD9E1F"/>
    <w:rsid w:val="7CDCE6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57AF3"/>
  <w15:chartTrackingRefBased/>
  <w15:docId w15:val="{6A241BC6-2EE9-46E8-AC1B-72AD40DA49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7F00F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hAnsiTheme="majorHAnsi" w:eastAsiaTheme="majorEastAsia"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hAnsiTheme="majorHAnsi" w:eastAsiaTheme="majorEastAsia"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1"/>
    <w:rsid w:val="00200551"/>
    <w:rPr>
      <w:rFonts w:asciiTheme="majorHAnsi" w:hAnsiTheme="majorHAnsi" w:eastAsiaTheme="majorEastAsia" w:cstheme="majorBidi"/>
      <w:b/>
      <w:bCs/>
      <w:color w:val="D70C0F"/>
      <w:sz w:val="40"/>
      <w:szCs w:val="40"/>
    </w:rPr>
  </w:style>
  <w:style w:type="character" w:styleId="Nadpis2Char" w:customStyle="1">
    <w:name w:val="Nadpis 2 Char"/>
    <w:basedOn w:val="Standardnpsmoodstavce"/>
    <w:link w:val="Nadpis2"/>
    <w:uiPriority w:val="1"/>
    <w:rsid w:val="00C744B6"/>
    <w:rPr>
      <w:rFonts w:asciiTheme="majorHAnsi" w:hAnsiTheme="majorHAnsi" w:eastAsiaTheme="majorEastAsia" w:cstheme="majorBidi"/>
      <w:b/>
      <w:bCs/>
      <w:color w:val="545860" w:themeColor="text2"/>
      <w:sz w:val="32"/>
      <w:szCs w:val="32"/>
    </w:rPr>
  </w:style>
  <w:style w:type="character" w:styleId="Nadpis3Char" w:customStyle="1">
    <w:name w:val="Nadpis 3 Char"/>
    <w:basedOn w:val="Standardnpsmoodstavce"/>
    <w:link w:val="Nadpis3"/>
    <w:uiPriority w:val="1"/>
    <w:rsid w:val="00C744B6"/>
    <w:rPr>
      <w:rFonts w:eastAsiaTheme="majorEastAsia" w:cstheme="majorBidi"/>
      <w:b/>
      <w:bCs/>
      <w:color w:val="545860" w:themeColor="text2"/>
      <w:sz w:val="28"/>
      <w:szCs w:val="28"/>
    </w:rPr>
  </w:style>
  <w:style w:type="character" w:styleId="Nadpis4Char" w:customStyle="1">
    <w:name w:val="Nadpis 4 Char"/>
    <w:basedOn w:val="Standardnpsmoodstavce"/>
    <w:link w:val="Nadpis4"/>
    <w:uiPriority w:val="1"/>
    <w:rsid w:val="00C744B6"/>
    <w:rPr>
      <w:rFonts w:eastAsiaTheme="majorEastAsia" w:cstheme="majorBidi"/>
      <w:b/>
      <w:bCs/>
      <w:color w:val="545860" w:themeColor="text2"/>
      <w:sz w:val="24"/>
      <w:szCs w:val="24"/>
    </w:rPr>
  </w:style>
  <w:style w:type="character" w:styleId="Nadpis5Char" w:customStyle="1">
    <w:name w:val="Nadpis 5 Char"/>
    <w:basedOn w:val="Standardnpsmoodstavce"/>
    <w:link w:val="Nadpis5"/>
    <w:uiPriority w:val="1"/>
    <w:rsid w:val="00C744B6"/>
    <w:rPr>
      <w:rFonts w:eastAsiaTheme="majorEastAsia" w:cstheme="majorBidi"/>
      <w:b/>
      <w:bCs/>
      <w:color w:val="545860" w:themeColor="text2"/>
      <w:sz w:val="22"/>
      <w:szCs w:val="22"/>
    </w:rPr>
  </w:style>
  <w:style w:type="character" w:styleId="Nadpis6Char" w:customStyle="1">
    <w:name w:val="Nadpis 6 Char"/>
    <w:basedOn w:val="Standardnpsmoodstavce"/>
    <w:link w:val="Nadpis6"/>
    <w:uiPriority w:val="1"/>
    <w:rsid w:val="00773B0B"/>
    <w:rPr>
      <w:rFonts w:eastAsiaTheme="majorEastAsia" w:cstheme="majorBidi"/>
      <w:b/>
      <w:bCs/>
      <w:color w:val="545860" w:themeColor="text2"/>
    </w:rPr>
  </w:style>
  <w:style w:type="character" w:styleId="Nadpis7Char" w:customStyle="1">
    <w:name w:val="Nadpis 7 Char"/>
    <w:basedOn w:val="Standardnpsmoodstavce"/>
    <w:link w:val="Nadpis7"/>
    <w:uiPriority w:val="9"/>
    <w:semiHidden/>
    <w:rsid w:val="00521746"/>
    <w:rPr>
      <w:rFonts w:eastAsiaTheme="majorEastAsia" w:cstheme="majorBidi"/>
      <w:color w:val="595959" w:themeColor="text1" w:themeTint="A6"/>
    </w:rPr>
  </w:style>
  <w:style w:type="character" w:styleId="Nadpis8Char" w:customStyle="1">
    <w:name w:val="Nadpis 8 Char"/>
    <w:basedOn w:val="Standardnpsmoodstavce"/>
    <w:link w:val="Nadpis8"/>
    <w:uiPriority w:val="9"/>
    <w:semiHidden/>
    <w:rsid w:val="00AF6E9E"/>
    <w:rPr>
      <w:rFonts w:eastAsiaTheme="majorEastAsia" w:cstheme="majorBidi"/>
      <w:i/>
      <w:iCs/>
      <w:color w:val="272727" w:themeColor="text1" w:themeTint="D8"/>
    </w:rPr>
  </w:style>
  <w:style w:type="character" w:styleId="Nadpis9Char" w:customStyle="1">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hAnsiTheme="majorHAnsi" w:eastAsiaTheme="majorEastAsia" w:cstheme="majorBidi"/>
      <w:b/>
      <w:color w:val="545860" w:themeColor="text2"/>
      <w:spacing w:val="-10"/>
      <w:kern w:val="28"/>
      <w:sz w:val="56"/>
      <w:szCs w:val="56"/>
    </w:rPr>
  </w:style>
  <w:style w:type="character" w:styleId="NzevChar" w:customStyle="1">
    <w:name w:val="Název Char"/>
    <w:basedOn w:val="Standardnpsmoodstavce"/>
    <w:link w:val="Nzev"/>
    <w:uiPriority w:val="38"/>
    <w:semiHidden/>
    <w:rsid w:val="00DD3D93"/>
    <w:rPr>
      <w:rFonts w:asciiTheme="majorHAnsi" w:hAnsiTheme="majorHAnsi" w:eastAsiaTheme="majorEastAsia"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styleId="PodnadpisChar" w:customStyle="1">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styleId="CittChar" w:customStyle="1">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color="00459B" w:themeColor="accent1" w:sz="4" w:space="10"/>
        <w:bottom w:val="single" w:color="00459B" w:themeColor="accent1" w:sz="4" w:space="10"/>
      </w:pBdr>
      <w:spacing w:before="320" w:after="320"/>
      <w:ind w:left="851" w:right="851"/>
    </w:pPr>
    <w:rPr>
      <w:i/>
      <w:iCs/>
      <w:color w:val="00459B" w:themeColor="accent1"/>
    </w:rPr>
  </w:style>
  <w:style w:type="character" w:styleId="VrazncittChar" w:customStyle="1">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styleId="ZhlavChar" w:customStyle="1">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styleId="ZpatChar" w:customStyle="1">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dndaje" w:customStyle="1">
    <w:name w:val="Úvodní údaje"/>
    <w:basedOn w:val="Normln"/>
    <w:uiPriority w:val="29"/>
    <w:qFormat/>
    <w:rsid w:val="00B62344"/>
    <w:pPr>
      <w:spacing w:after="0"/>
      <w:jc w:val="left"/>
    </w:pPr>
    <w:rPr>
      <w:color w:val="545860" w:themeColor="accent6"/>
    </w:rPr>
  </w:style>
  <w:style w:type="table" w:styleId="TabulkaJVS5-navodndaje" w:customStyle="1">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styleId="Ministr-funkce" w:customStyle="1">
    <w:name w:val="Ministr - funkce"/>
    <w:basedOn w:val="Normln"/>
    <w:next w:val="Normln"/>
    <w:uiPriority w:val="20"/>
    <w:qFormat/>
    <w:rsid w:val="008F533C"/>
    <w:pPr>
      <w:spacing w:after="600"/>
      <w:contextualSpacing/>
      <w:jc w:val="left"/>
    </w:pPr>
    <w:rPr>
      <w:color w:val="545860" w:themeColor="accent6"/>
      <w:sz w:val="24"/>
      <w:szCs w:val="24"/>
    </w:rPr>
  </w:style>
  <w:style w:type="paragraph" w:styleId="Ministr-jmno" w:customStyle="1">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6"/>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styleId="TextpoznpodarouChar" w:customStyle="1">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styleId="TabulkaJVS1-ed" w:customStyle="1">
    <w:name w:val="Tabulka JVS 1 - šedá"/>
    <w:basedOn w:val="Normlntabulka"/>
    <w:uiPriority w:val="99"/>
    <w:rsid w:val="0084277E"/>
    <w:pPr>
      <w:spacing w:after="0"/>
      <w:jc w:val="left"/>
    </w:pPr>
    <w:tblPr>
      <w:tblBorders>
        <w:top w:val="single" w:color="393B41" w:sz="4" w:space="0"/>
        <w:left w:val="single" w:color="393B41" w:sz="4" w:space="0"/>
        <w:bottom w:val="single" w:color="393B41" w:sz="4" w:space="0"/>
        <w:right w:val="single" w:color="393B41" w:sz="4" w:space="0"/>
        <w:insideH w:val="single" w:color="393B41" w:sz="4" w:space="0"/>
        <w:insideV w:val="single" w:color="393B41" w:sz="4" w:space="0"/>
      </w:tblBorders>
      <w:tblCellMar>
        <w:top w:w="57" w:type="dxa"/>
        <w:bottom w:w="57" w:type="dxa"/>
      </w:tblCellMar>
    </w:tblPr>
    <w:tblStylePr w:type="firstRow">
      <w:rPr>
        <w:b w:val="0"/>
        <w:i w:val="0"/>
        <w:color w:val="FFFFFF" w:themeColor="background1"/>
      </w:rPr>
      <w:tblPr/>
      <w:tcPr>
        <w:tcBorders>
          <w:top w:val="single" w:color="393B41" w:sz="4" w:space="0"/>
          <w:left w:val="single" w:color="393B41" w:sz="4" w:space="0"/>
          <w:bottom w:val="single" w:color="393B41" w:sz="4" w:space="0"/>
          <w:right w:val="single" w:color="393B41" w:sz="4" w:space="0"/>
          <w:insideH w:val="single" w:color="393B41" w:sz="4" w:space="0"/>
          <w:insideV w:val="single" w:color="393B41" w:sz="4" w:space="0"/>
          <w:tl2br w:val="nil"/>
          <w:tr2bl w:val="nil"/>
        </w:tcBorders>
        <w:shd w:val="clear" w:color="auto" w:fill="393B41"/>
      </w:tcPr>
    </w:tblStylePr>
    <w:tblStylePr w:type="lastRow">
      <w:tblPr/>
      <w:tcPr>
        <w:tcBorders>
          <w:top w:val="single" w:color="393B41" w:sz="12" w:space="0"/>
          <w:left w:val="single" w:color="393B41" w:sz="4" w:space="0"/>
          <w:bottom w:val="single" w:color="393B41" w:sz="4" w:space="0"/>
          <w:right w:val="single" w:color="393B41" w:sz="4" w:space="0"/>
          <w:insideH w:val="single" w:color="393B41" w:sz="4" w:space="0"/>
          <w:insideV w:val="single" w:color="393B41" w:sz="4" w:space="0"/>
          <w:tl2br w:val="nil"/>
          <w:tr2bl w:val="nil"/>
        </w:tcBorders>
      </w:tcPr>
    </w:tblStylePr>
  </w:style>
  <w:style w:type="table" w:styleId="TabulkaJVS2-modr" w:customStyle="1">
    <w:name w:val="Tabulka JVS 2 - modrá"/>
    <w:basedOn w:val="Normlntabulka"/>
    <w:uiPriority w:val="99"/>
    <w:rsid w:val="0084277E"/>
    <w:pPr>
      <w:spacing w:after="0"/>
      <w:jc w:val="left"/>
    </w:pPr>
    <w:tblPr>
      <w:tblBorders>
        <w:top w:val="single" w:color="00459B" w:themeColor="accent1" w:sz="4" w:space="0"/>
        <w:left w:val="single" w:color="00459B" w:themeColor="accent1" w:sz="4" w:space="0"/>
        <w:bottom w:val="single" w:color="00459B" w:themeColor="accent1" w:sz="4" w:space="0"/>
        <w:right w:val="single" w:color="00459B" w:themeColor="accent1" w:sz="4" w:space="0"/>
        <w:insideH w:val="single" w:color="00459B" w:themeColor="accent1" w:sz="4" w:space="0"/>
        <w:insideV w:val="single" w:color="00459B" w:themeColor="accent1" w:sz="4" w:space="0"/>
      </w:tblBorders>
      <w:tblCellMar>
        <w:top w:w="57" w:type="dxa"/>
        <w:bottom w:w="57" w:type="dxa"/>
      </w:tblCellMar>
    </w:tblPr>
    <w:tblStylePr w:type="firstRow">
      <w:tblPr/>
      <w:tcPr>
        <w:tcBorders>
          <w:top w:val="single" w:color="00459B" w:themeColor="accent1" w:sz="4" w:space="0"/>
          <w:left w:val="single" w:color="00459B" w:themeColor="accent1" w:sz="4" w:space="0"/>
          <w:bottom w:val="single" w:color="00459B" w:themeColor="accent1" w:sz="4" w:space="0"/>
          <w:right w:val="single" w:color="00459B" w:themeColor="accent1" w:sz="4" w:space="0"/>
          <w:insideH w:val="single" w:color="00459B" w:themeColor="accent1" w:sz="4" w:space="0"/>
          <w:insideV w:val="single" w:color="00459B" w:themeColor="accent1" w:sz="4" w:space="0"/>
          <w:tl2br w:val="nil"/>
          <w:tr2bl w:val="nil"/>
        </w:tcBorders>
        <w:shd w:val="clear" w:color="auto" w:fill="00459B" w:themeFill="accent1"/>
      </w:tcPr>
    </w:tblStylePr>
    <w:tblStylePr w:type="lastRow">
      <w:tblPr/>
      <w:tcPr>
        <w:tcBorders>
          <w:top w:val="single" w:color="00459B" w:themeColor="accent1" w:sz="12" w:space="0"/>
          <w:left w:val="single" w:color="00459B" w:themeColor="accent1" w:sz="4" w:space="0"/>
          <w:bottom w:val="single" w:color="00459B" w:themeColor="accent1" w:sz="4" w:space="0"/>
          <w:right w:val="single" w:color="00459B" w:themeColor="accent1" w:sz="4" w:space="0"/>
          <w:insideH w:val="nil"/>
          <w:insideV w:val="single" w:color="00459B" w:themeColor="accent1" w:sz="4" w:space="0"/>
          <w:tl2br w:val="nil"/>
          <w:tr2bl w:val="nil"/>
        </w:tcBorders>
      </w:tcPr>
    </w:tblStylePr>
  </w:style>
  <w:style w:type="table" w:styleId="TabulkaJVS3-bl" w:customStyle="1">
    <w:name w:val="Tabulka JVS 3 - bílá"/>
    <w:basedOn w:val="Normlntabulka"/>
    <w:uiPriority w:val="99"/>
    <w:rsid w:val="0084277E"/>
    <w:pPr>
      <w:spacing w:after="0"/>
      <w:jc w:val="left"/>
    </w:pPr>
    <w:tblPr>
      <w:tblBorders>
        <w:top w:val="single" w:color="A7A9B3" w:themeColor="background2" w:sz="4" w:space="0"/>
        <w:left w:val="single" w:color="A7A9B3" w:themeColor="background2" w:sz="4" w:space="0"/>
        <w:bottom w:val="single" w:color="A7A9B3" w:themeColor="background2" w:sz="4" w:space="0"/>
        <w:right w:val="single" w:color="A7A9B3" w:themeColor="background2" w:sz="4" w:space="0"/>
        <w:insideH w:val="single" w:color="A7A9B3" w:themeColor="background2" w:sz="4" w:space="0"/>
        <w:insideV w:val="single" w:color="A7A9B3" w:themeColor="background2" w:sz="4" w:space="0"/>
      </w:tblBorders>
      <w:tblCellMar>
        <w:top w:w="57" w:type="dxa"/>
        <w:bottom w:w="57" w:type="dxa"/>
      </w:tblCellMar>
    </w:tblPr>
    <w:tblStylePr w:type="lastRow">
      <w:tblPr/>
      <w:tcPr>
        <w:tcBorders>
          <w:top w:val="single" w:color="A7A9B3" w:themeColor="background2" w:sz="12" w:space="0"/>
          <w:left w:val="single" w:color="A7A9B3" w:themeColor="background2" w:sz="4" w:space="0"/>
          <w:bottom w:val="single" w:color="A7A9B3" w:themeColor="background2" w:sz="4" w:space="0"/>
          <w:right w:val="single" w:color="A7A9B3" w:themeColor="background2" w:sz="4" w:space="0"/>
          <w:insideH w:val="nil"/>
          <w:insideV w:val="single" w:color="A7A9B3" w:themeColor="background2" w:sz="4" w:space="0"/>
          <w:tl2br w:val="nil"/>
          <w:tr2bl w:val="nil"/>
        </w:tcBorders>
      </w:tcPr>
    </w:tblStylePr>
  </w:style>
  <w:style w:type="table" w:styleId="TabulkaJVS4-bezohranien" w:customStyle="1">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color="71AFFF" w:themeColor="accent1" w:themeTint="66" w:sz="4" w:space="0"/>
        <w:left w:val="single" w:color="71AFFF" w:themeColor="accent1" w:themeTint="66" w:sz="4" w:space="0"/>
        <w:bottom w:val="single" w:color="71AFFF" w:themeColor="accent1" w:themeTint="66" w:sz="4" w:space="0"/>
        <w:right w:val="single" w:color="71AFFF" w:themeColor="accent1" w:themeTint="66" w:sz="4" w:space="0"/>
        <w:insideH w:val="single" w:color="71AFFF" w:themeColor="accent1" w:themeTint="66" w:sz="4" w:space="0"/>
        <w:insideV w:val="single" w:color="71AFFF" w:themeColor="accent1" w:themeTint="66" w:sz="4" w:space="0"/>
      </w:tblBorders>
    </w:tblPr>
    <w:tblStylePr w:type="firstRow">
      <w:rPr>
        <w:b/>
        <w:bCs/>
      </w:rPr>
      <w:tblPr/>
      <w:tcPr>
        <w:tcBorders>
          <w:bottom w:val="single" w:color="2A88FF" w:themeColor="accent1" w:themeTint="99" w:sz="12" w:space="0"/>
        </w:tcBorders>
      </w:tcPr>
    </w:tblStylePr>
    <w:tblStylePr w:type="lastRow">
      <w:rPr>
        <w:b/>
        <w:bCs/>
      </w:rPr>
      <w:tblPr/>
      <w:tcPr>
        <w:tcBorders>
          <w:top w:val="double" w:color="2A88FF" w:themeColor="accent1" w:themeTint="99" w:sz="2" w:space="0"/>
        </w:tcBorders>
      </w:tcPr>
    </w:tblStylePr>
    <w:tblStylePr w:type="firstCol">
      <w:rPr>
        <w:b/>
        <w:bCs/>
      </w:rPr>
    </w:tblStylePr>
    <w:tblStylePr w:type="lastCol">
      <w:rPr>
        <w:b/>
        <w:bCs/>
      </w:rPr>
    </w:tblStylePr>
  </w:style>
  <w:style w:type="paragraph" w:styleId="Nadpis1slovan" w:customStyle="1">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styleId="Nadpis2slovan" w:customStyle="1">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styleId="Nadpis3slovan" w:customStyle="1">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styleId="Nadpis4slovan" w:customStyle="1">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styleId="Nadpis5slovan" w:customStyle="1">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styleId="Nadpis6slovan" w:customStyle="1">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styleId="Stylseznamu-nadpisyslovan" w:customStyle="1">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styleId="Seznamslovan1" w:customStyle="1">
    <w:name w:val="Seznam číslovaný 1"/>
    <w:basedOn w:val="Normln"/>
    <w:uiPriority w:val="1"/>
    <w:qFormat/>
    <w:rsid w:val="00E721D1"/>
    <w:pPr>
      <w:numPr>
        <w:numId w:val="21"/>
      </w:numPr>
    </w:pPr>
  </w:style>
  <w:style w:type="paragraph" w:styleId="Seznamslovan2" w:customStyle="1">
    <w:name w:val="Seznam číslovaný 2"/>
    <w:basedOn w:val="Normln"/>
    <w:uiPriority w:val="1"/>
    <w:qFormat/>
    <w:rsid w:val="00E721D1"/>
    <w:pPr>
      <w:numPr>
        <w:ilvl w:val="1"/>
        <w:numId w:val="21"/>
      </w:numPr>
    </w:pPr>
  </w:style>
  <w:style w:type="paragraph" w:styleId="Seznamslovan3" w:customStyle="1">
    <w:name w:val="Seznam číslovaný 3"/>
    <w:basedOn w:val="Normln"/>
    <w:uiPriority w:val="1"/>
    <w:qFormat/>
    <w:rsid w:val="00E721D1"/>
    <w:pPr>
      <w:numPr>
        <w:ilvl w:val="2"/>
        <w:numId w:val="21"/>
      </w:numPr>
    </w:pPr>
  </w:style>
  <w:style w:type="paragraph" w:styleId="Seznamslovan4" w:customStyle="1">
    <w:name w:val="Seznam číslovaný 4"/>
    <w:basedOn w:val="Normln"/>
    <w:uiPriority w:val="1"/>
    <w:qFormat/>
    <w:rsid w:val="00E721D1"/>
    <w:pPr>
      <w:numPr>
        <w:ilvl w:val="3"/>
        <w:numId w:val="21"/>
      </w:numPr>
    </w:pPr>
  </w:style>
  <w:style w:type="paragraph" w:styleId="Seznamslovan5" w:customStyle="1">
    <w:name w:val="Seznam číslovaný 5"/>
    <w:basedOn w:val="Normln"/>
    <w:uiPriority w:val="1"/>
    <w:qFormat/>
    <w:rsid w:val="00E721D1"/>
    <w:pPr>
      <w:numPr>
        <w:ilvl w:val="4"/>
        <w:numId w:val="21"/>
      </w:numPr>
    </w:pPr>
  </w:style>
  <w:style w:type="paragraph" w:styleId="Seznamslovan6" w:customStyle="1">
    <w:name w:val="Seznam číslovaný 6"/>
    <w:basedOn w:val="Normln"/>
    <w:uiPriority w:val="1"/>
    <w:qFormat/>
    <w:rsid w:val="00E721D1"/>
    <w:pPr>
      <w:numPr>
        <w:ilvl w:val="5"/>
        <w:numId w:val="21"/>
      </w:numPr>
    </w:pPr>
  </w:style>
  <w:style w:type="numbering" w:styleId="Stylseznamu-odstavceslovan" w:customStyle="1">
    <w:name w:val="Styl seznamu - odstavce číslované"/>
    <w:uiPriority w:val="99"/>
    <w:rsid w:val="00E721D1"/>
    <w:pPr>
      <w:numPr>
        <w:numId w:val="8"/>
      </w:numPr>
    </w:pPr>
  </w:style>
  <w:style w:type="paragraph" w:styleId="Perex" w:customStyle="1">
    <w:name w:val="Perex"/>
    <w:basedOn w:val="Normln"/>
    <w:next w:val="Normln"/>
    <w:uiPriority w:val="21"/>
    <w:qFormat/>
    <w:rsid w:val="006A57CC"/>
    <w:pPr>
      <w:spacing w:after="360"/>
      <w:jc w:val="left"/>
    </w:pPr>
    <w:rPr>
      <w:b/>
      <w:color w:val="545860" w:themeColor="accent6"/>
    </w:rPr>
  </w:style>
  <w:style w:type="paragraph" w:styleId="Odrka1" w:customStyle="1">
    <w:name w:val="Odrážka 1"/>
    <w:basedOn w:val="Normln"/>
    <w:uiPriority w:val="2"/>
    <w:qFormat/>
    <w:rsid w:val="002D796B"/>
    <w:pPr>
      <w:numPr>
        <w:numId w:val="19"/>
      </w:numPr>
    </w:pPr>
  </w:style>
  <w:style w:type="paragraph" w:styleId="Odrka2" w:customStyle="1">
    <w:name w:val="Odrážka 2"/>
    <w:basedOn w:val="Normln"/>
    <w:uiPriority w:val="2"/>
    <w:qFormat/>
    <w:rsid w:val="002D796B"/>
    <w:pPr>
      <w:numPr>
        <w:ilvl w:val="1"/>
        <w:numId w:val="19"/>
      </w:numPr>
      <w:tabs>
        <w:tab w:val="clear" w:pos="1418"/>
      </w:tabs>
    </w:pPr>
  </w:style>
  <w:style w:type="paragraph" w:styleId="Odrka3" w:customStyle="1">
    <w:name w:val="Odrážka 3"/>
    <w:basedOn w:val="Normln"/>
    <w:uiPriority w:val="2"/>
    <w:qFormat/>
    <w:rsid w:val="002D796B"/>
    <w:pPr>
      <w:numPr>
        <w:ilvl w:val="2"/>
        <w:numId w:val="19"/>
      </w:numPr>
      <w:tabs>
        <w:tab w:val="clear" w:pos="2126"/>
      </w:tabs>
      <w:ind w:left="1645" w:hanging="227"/>
    </w:pPr>
  </w:style>
  <w:style w:type="paragraph" w:styleId="Odrka4" w:customStyle="1">
    <w:name w:val="Odrážka 4"/>
    <w:basedOn w:val="Normln"/>
    <w:uiPriority w:val="2"/>
    <w:qFormat/>
    <w:rsid w:val="002D796B"/>
    <w:pPr>
      <w:numPr>
        <w:ilvl w:val="3"/>
        <w:numId w:val="19"/>
      </w:numPr>
      <w:tabs>
        <w:tab w:val="clear" w:pos="2835"/>
      </w:tabs>
      <w:ind w:left="2324" w:hanging="198"/>
    </w:pPr>
  </w:style>
  <w:style w:type="paragraph" w:styleId="Odrka5" w:customStyle="1">
    <w:name w:val="Odrážka 5"/>
    <w:basedOn w:val="Normln"/>
    <w:uiPriority w:val="2"/>
    <w:qFormat/>
    <w:rsid w:val="002D796B"/>
    <w:pPr>
      <w:numPr>
        <w:ilvl w:val="4"/>
        <w:numId w:val="19"/>
      </w:numPr>
      <w:tabs>
        <w:tab w:val="clear" w:pos="3544"/>
      </w:tabs>
    </w:pPr>
  </w:style>
  <w:style w:type="paragraph" w:styleId="Odrka6" w:customStyle="1">
    <w:name w:val="Odrážka 6"/>
    <w:basedOn w:val="Normln"/>
    <w:uiPriority w:val="2"/>
    <w:qFormat/>
    <w:rsid w:val="002D796B"/>
    <w:pPr>
      <w:numPr>
        <w:ilvl w:val="5"/>
        <w:numId w:val="19"/>
      </w:numPr>
    </w:pPr>
  </w:style>
  <w:style w:type="numbering" w:styleId="Stylseznamu-odrky" w:customStyle="1">
    <w:name w:val="Styl seznamu - odrážky"/>
    <w:uiPriority w:val="99"/>
    <w:rsid w:val="008D5575"/>
    <w:pPr>
      <w:numPr>
        <w:numId w:val="12"/>
      </w:numPr>
    </w:pPr>
  </w:style>
  <w:style w:type="paragraph" w:styleId="Popisekfotografie" w:customStyle="1">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styleId="TextvysvtlivekChar" w:customStyle="1">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Bezmezer">
    <w:name w:val="No Spacing"/>
    <w:uiPriority w:val="1"/>
    <w:semiHidden/>
    <w:qFormat/>
    <w:rsid w:val="00586756"/>
    <w:pPr>
      <w:spacing w:after="0" w:line="240" w:lineRule="auto"/>
    </w:pPr>
  </w:style>
  <w:style w:type="paragraph" w:styleId="Poznmky" w:customStyle="1">
    <w:name w:val="Poznámky"/>
    <w:basedOn w:val="Normln"/>
    <w:qFormat/>
    <w:rsid w:val="00200551"/>
    <w:pPr>
      <w:pBdr>
        <w:top w:val="single" w:color="auto" w:sz="4" w:space="4"/>
      </w:pBdr>
      <w:spacing w:after="0"/>
      <w:jc w:val="left"/>
    </w:pPr>
    <w:rPr>
      <w:i/>
      <w:sz w:val="18"/>
    </w:rPr>
  </w:style>
  <w:style w:type="paragraph" w:styleId="Poznmky0" w:customStyle="1">
    <w:name w:val="Poznámky_"/>
    <w:next w:val="Normln"/>
    <w:rsid w:val="007E7E8D"/>
    <w:pPr>
      <w:pBdr>
        <w:top w:val="single" w:color="auto" w:sz="4" w:space="9"/>
      </w:pBdr>
      <w:spacing w:before="280" w:after="0"/>
    </w:pPr>
    <w:rPr>
      <w:rFonts w:ascii="Arial" w:hAnsi="Arial" w:eastAsia="Calibri" w:cs="ArialMT"/>
      <w:i/>
      <w:kern w:val="0"/>
      <w:sz w:val="18"/>
      <w:szCs w:val="18"/>
      <w:lang w:val="en-GB"/>
      <w14:ligatures w14:val="none"/>
    </w:rPr>
  </w:style>
  <w:style w:type="paragraph" w:styleId="Zkladntext2">
    <w:name w:val="Body Text 2"/>
    <w:basedOn w:val="Normln"/>
    <w:link w:val="Zkladntext2Char"/>
    <w:uiPriority w:val="99"/>
    <w:semiHidden/>
    <w:unhideWhenUsed/>
    <w:rsid w:val="007E7E8D"/>
    <w:pPr>
      <w:spacing w:after="120" w:line="480" w:lineRule="auto"/>
    </w:pPr>
    <w:rPr>
      <w:rFonts w:ascii="Arial" w:hAnsi="Arial" w:eastAsia="Calibri" w:cs="Times New Roman"/>
      <w:kern w:val="0"/>
      <w:szCs w:val="22"/>
      <w:lang w:val="en-GB"/>
      <w14:ligatures w14:val="none"/>
    </w:rPr>
  </w:style>
  <w:style w:type="character" w:styleId="Zkladntext2Char" w:customStyle="1">
    <w:name w:val="Základní text 2 Char"/>
    <w:basedOn w:val="Standardnpsmoodstavce"/>
    <w:link w:val="Zkladntext2"/>
    <w:uiPriority w:val="99"/>
    <w:semiHidden/>
    <w:rsid w:val="007E7E8D"/>
    <w:rPr>
      <w:rFonts w:ascii="Arial" w:hAnsi="Arial" w:eastAsia="Calibri" w:cs="Times New Roman"/>
      <w:kern w:val="0"/>
      <w:szCs w:val="22"/>
      <w:lang w:val="en-GB"/>
      <w14:ligatures w14:val="none"/>
    </w:rPr>
  </w:style>
  <w:style w:type="character" w:styleId="Sledovanodkaz">
    <w:name w:val="FollowedHyperlink"/>
    <w:basedOn w:val="Standardnpsmoodstavce"/>
    <w:uiPriority w:val="99"/>
    <w:semiHidden/>
    <w:unhideWhenUsed/>
    <w:rsid w:val="006845DE"/>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veronika.dolezalova@csu.gov.cz"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radek.matejka@csu.gov.cz"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su.gov.cz/pru_m" TargetMode="External" Id="rId11" /><Relationship Type="http://schemas.openxmlformats.org/officeDocument/2006/relationships/numbering" Target="numbering.xml" Id="rId5" /><Relationship Type="http://schemas.openxmlformats.org/officeDocument/2006/relationships/hyperlink" Target="https://ec.europa.eu/eurostat/web/short-term-business-statistics/publications"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data.csu.gov.cz/datastat/dash?aPolozka=PRUM01" TargetMode="External" Id="rId14" /></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ousova9707\Desktop\Logo_&#353;ablony_a_podpisy_a_n&#225;zvy_funkc&#237;_AJ_MM_06_2026\Form_c466_Rychla%20informace_EN.dotx" TargetMode="External"/></Relationships>
</file>

<file path=word/theme/theme1.xml><?xml version="1.0" encoding="utf-8"?>
<a:theme xmlns:a="http://schemas.openxmlformats.org/drawingml/2006/main" xmlns:thm15="http://schemas.microsoft.com/office/thememl/2012/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57A36E-F331-4146-8884-D7C7B4582C23}"/>
</file>

<file path=customXml/itemProps3.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4.xml><?xml version="1.0" encoding="utf-8"?>
<ds:datastoreItem xmlns:ds="http://schemas.openxmlformats.org/officeDocument/2006/customXml" ds:itemID="{C45F2BFF-B860-4BCB-BD6E-29CA14312DD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Form_c466_Rychla informace_EN.dotx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Matoušová Milada</dc:creator>
  <keywords/>
  <dc:description/>
  <lastModifiedBy>Doležalová Veronika</lastModifiedBy>
  <revision>4</revision>
  <dcterms:created xsi:type="dcterms:W3CDTF">2026-10-06T08:30:00.0000000Z</dcterms:created>
  <dcterms:modified xsi:type="dcterms:W3CDTF">2026-10-06T08:50:49.1321634Z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