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Default="00B608E5" w:rsidP="00867569">
      <w:pPr>
        <w:pStyle w:val="Datum"/>
      </w:pPr>
      <w:r>
        <w:t>April</w:t>
      </w:r>
      <w:r w:rsidR="00070C41">
        <w:t xml:space="preserve"> </w:t>
      </w:r>
      <w:r>
        <w:t>01</w:t>
      </w:r>
      <w:r w:rsidR="00070C41">
        <w:t>, 201</w:t>
      </w:r>
      <w:r w:rsidR="00B9436B">
        <w:t>6</w:t>
      </w:r>
    </w:p>
    <w:p w:rsidR="008B3970" w:rsidRDefault="00573EEE" w:rsidP="008B3970">
      <w:pPr>
        <w:pStyle w:val="Nzev"/>
      </w:pPr>
      <w:r>
        <w:t xml:space="preserve">Government deficit and debt – </w:t>
      </w:r>
      <w:r w:rsidR="00B608E5">
        <w:t>4</w:t>
      </w:r>
      <w:r>
        <w:t>. quarter of 2015</w:t>
      </w:r>
    </w:p>
    <w:p w:rsidR="00573EEE" w:rsidRPr="008B3970" w:rsidRDefault="006B6EE5" w:rsidP="00573EEE">
      <w:pPr>
        <w:pStyle w:val="Podtitulek"/>
        <w:rPr>
          <w:color w:val="BD1B21"/>
        </w:rPr>
      </w:pPr>
      <w:r>
        <w:t>Balance</w:t>
      </w:r>
      <w:r w:rsidR="006E445B">
        <w:t xml:space="preserve"> repeatedly</w:t>
      </w:r>
      <w:r>
        <w:t xml:space="preserve"> in surplus, indebtedness</w:t>
      </w:r>
      <w:r w:rsidR="006E445B">
        <w:t xml:space="preserve"> continues to decline</w:t>
      </w:r>
    </w:p>
    <w:p w:rsidR="00573EEE" w:rsidRDefault="006B6EE5" w:rsidP="00573EEE">
      <w:r w:rsidRPr="006B6EE5">
        <w:t xml:space="preserve">In the </w:t>
      </w:r>
      <w:r w:rsidR="00042818">
        <w:t>fourth</w:t>
      </w:r>
      <w:r w:rsidRPr="006B6EE5">
        <w:t xml:space="preserve"> quarter 2015, </w:t>
      </w:r>
      <w:r w:rsidR="00042818" w:rsidRPr="00042818">
        <w:rPr>
          <w:b/>
        </w:rPr>
        <w:t>the</w:t>
      </w:r>
      <w:r w:rsidR="00042818">
        <w:t xml:space="preserve"> </w:t>
      </w:r>
      <w:r w:rsidR="00042818">
        <w:rPr>
          <w:b/>
        </w:rPr>
        <w:t xml:space="preserve">deficit </w:t>
      </w:r>
      <w:r w:rsidR="00573EEE">
        <w:rPr>
          <w:b/>
        </w:rPr>
        <w:t xml:space="preserve">of government institutions </w:t>
      </w:r>
      <w:r w:rsidR="00573EEE">
        <w:t xml:space="preserve">expressed as a percentage of GDP has reached </w:t>
      </w:r>
      <w:r w:rsidR="00042818">
        <w:rPr>
          <w:b/>
        </w:rPr>
        <w:t>1.48</w:t>
      </w:r>
      <w:r w:rsidR="006510EF">
        <w:rPr>
          <w:b/>
        </w:rPr>
        <w:t xml:space="preserve"> </w:t>
      </w:r>
      <w:r w:rsidR="00070C41">
        <w:rPr>
          <w:b/>
        </w:rPr>
        <w:t>percent</w:t>
      </w:r>
      <w:r w:rsidR="00573EEE">
        <w:t xml:space="preserve">. Compared to the </w:t>
      </w:r>
      <w:r w:rsidR="00042818">
        <w:t>fourth</w:t>
      </w:r>
      <w:r>
        <w:t xml:space="preserve"> </w:t>
      </w:r>
      <w:r w:rsidR="00573EEE">
        <w:t xml:space="preserve">quarter of 2014, deficit has been </w:t>
      </w:r>
      <w:r w:rsidR="00070C41">
        <w:t xml:space="preserve">reduced by </w:t>
      </w:r>
      <w:r w:rsidR="00021A4A">
        <w:t>almost</w:t>
      </w:r>
      <w:r w:rsidR="00070C41">
        <w:t xml:space="preserve"> </w:t>
      </w:r>
      <w:r w:rsidR="00042818">
        <w:t>2.13</w:t>
      </w:r>
      <w:r w:rsidR="00070C41">
        <w:t xml:space="preserve"> percentage points</w:t>
      </w:r>
      <w:r w:rsidR="00FA5E5D">
        <w:t xml:space="preserve"> (p.p.)</w:t>
      </w:r>
      <w:r w:rsidR="00070C41">
        <w:t xml:space="preserve">. </w:t>
      </w:r>
      <w:r w:rsidR="006510EF">
        <w:t>Revisions of previous quarters of the current year result from updates of data sources.</w:t>
      </w:r>
    </w:p>
    <w:p w:rsidR="00070C41" w:rsidRDefault="00070C41" w:rsidP="00573EEE"/>
    <w:p w:rsidR="00070C41" w:rsidRPr="00043BF4" w:rsidRDefault="00070C41" w:rsidP="00070C41">
      <w:pPr>
        <w:pStyle w:val="TabulkaGraf"/>
      </w:pPr>
      <w:r>
        <w:t xml:space="preserve">Surplus/Deficit of government institutions, the Czech Republic, </w:t>
      </w:r>
      <w:r w:rsidR="00EC7DD6">
        <w:t>4</w:t>
      </w:r>
      <w:r>
        <w:t>.Q2014-</w:t>
      </w:r>
      <w:r w:rsidR="00EC7DD6">
        <w:t>4</w:t>
      </w:r>
      <w:r>
        <w:t>.Q2015</w:t>
      </w:r>
    </w:p>
    <w:tbl>
      <w:tblPr>
        <w:tblStyle w:val="Mkatabulky"/>
        <w:tblW w:w="8506" w:type="dxa"/>
        <w:tblInd w:w="-176" w:type="dxa"/>
        <w:tblLook w:val="04A0" w:firstRow="1" w:lastRow="0" w:firstColumn="1" w:lastColumn="0" w:noHBand="0" w:noVBand="1"/>
      </w:tblPr>
      <w:tblGrid>
        <w:gridCol w:w="1940"/>
        <w:gridCol w:w="712"/>
        <w:gridCol w:w="938"/>
        <w:gridCol w:w="938"/>
        <w:gridCol w:w="938"/>
        <w:gridCol w:w="938"/>
        <w:gridCol w:w="938"/>
        <w:gridCol w:w="1164"/>
      </w:tblGrid>
      <w:tr w:rsidR="004D282F" w:rsidTr="004D282F">
        <w:tc>
          <w:tcPr>
            <w:tcW w:w="1940" w:type="dxa"/>
            <w:vMerge w:val="restart"/>
            <w:vAlign w:val="center"/>
          </w:tcPr>
          <w:p w:rsidR="004D282F" w:rsidRDefault="004D282F" w:rsidP="00B539C1">
            <w:pPr>
              <w:jc w:val="center"/>
            </w:pPr>
          </w:p>
        </w:tc>
        <w:tc>
          <w:tcPr>
            <w:tcW w:w="712" w:type="dxa"/>
            <w:vMerge w:val="restart"/>
            <w:vAlign w:val="center"/>
          </w:tcPr>
          <w:p w:rsidR="004D282F" w:rsidRDefault="004D282F" w:rsidP="00B539C1">
            <w:pPr>
              <w:jc w:val="center"/>
            </w:pPr>
            <w:r>
              <w:t>Unit</w:t>
            </w:r>
          </w:p>
        </w:tc>
        <w:tc>
          <w:tcPr>
            <w:tcW w:w="938" w:type="dxa"/>
          </w:tcPr>
          <w:p w:rsidR="004D282F" w:rsidRDefault="004D282F" w:rsidP="00B539C1">
            <w:pPr>
              <w:spacing w:line="240" w:lineRule="auto"/>
              <w:jc w:val="center"/>
              <w:rPr>
                <w:szCs w:val="20"/>
                <w:lang w:eastAsia="cs-CZ"/>
              </w:rPr>
            </w:pPr>
            <w:r>
              <w:rPr>
                <w:szCs w:val="20"/>
                <w:lang w:eastAsia="cs-CZ"/>
              </w:rPr>
              <w:t>2014</w:t>
            </w:r>
          </w:p>
        </w:tc>
        <w:tc>
          <w:tcPr>
            <w:tcW w:w="4916" w:type="dxa"/>
            <w:gridSpan w:val="5"/>
          </w:tcPr>
          <w:p w:rsidR="004D282F" w:rsidRDefault="004D282F" w:rsidP="00B539C1">
            <w:pPr>
              <w:jc w:val="center"/>
            </w:pPr>
            <w:r>
              <w:t>2015</w:t>
            </w:r>
          </w:p>
        </w:tc>
      </w:tr>
      <w:tr w:rsidR="004D282F" w:rsidTr="004D282F">
        <w:trPr>
          <w:trHeight w:val="338"/>
        </w:trPr>
        <w:tc>
          <w:tcPr>
            <w:tcW w:w="1940" w:type="dxa"/>
            <w:vMerge/>
          </w:tcPr>
          <w:p w:rsidR="004D282F" w:rsidRDefault="004D282F" w:rsidP="00B539C1"/>
        </w:tc>
        <w:tc>
          <w:tcPr>
            <w:tcW w:w="712" w:type="dxa"/>
            <w:vMerge/>
          </w:tcPr>
          <w:p w:rsidR="004D282F" w:rsidRDefault="004D282F" w:rsidP="00B539C1"/>
        </w:tc>
        <w:tc>
          <w:tcPr>
            <w:tcW w:w="938" w:type="dxa"/>
          </w:tcPr>
          <w:p w:rsidR="004D282F" w:rsidRDefault="004D282F" w:rsidP="00B539C1">
            <w:pPr>
              <w:jc w:val="center"/>
            </w:pPr>
            <w:r>
              <w:t>4. quarter</w:t>
            </w:r>
          </w:p>
        </w:tc>
        <w:tc>
          <w:tcPr>
            <w:tcW w:w="938" w:type="dxa"/>
          </w:tcPr>
          <w:p w:rsidR="004D282F" w:rsidRDefault="004D282F" w:rsidP="00B539C1">
            <w:pPr>
              <w:jc w:val="center"/>
            </w:pPr>
            <w:r>
              <w:t>1. quarter</w:t>
            </w:r>
          </w:p>
        </w:tc>
        <w:tc>
          <w:tcPr>
            <w:tcW w:w="938" w:type="dxa"/>
          </w:tcPr>
          <w:p w:rsidR="004D282F" w:rsidRDefault="004D282F" w:rsidP="00B539C1">
            <w:pPr>
              <w:jc w:val="center"/>
            </w:pPr>
            <w:r>
              <w:t>2. quarter</w:t>
            </w:r>
          </w:p>
        </w:tc>
        <w:tc>
          <w:tcPr>
            <w:tcW w:w="938" w:type="dxa"/>
          </w:tcPr>
          <w:p w:rsidR="004D282F" w:rsidRDefault="004D282F" w:rsidP="00B539C1">
            <w:pPr>
              <w:jc w:val="center"/>
            </w:pPr>
            <w:r>
              <w:t>3. quarter</w:t>
            </w:r>
          </w:p>
        </w:tc>
        <w:tc>
          <w:tcPr>
            <w:tcW w:w="938" w:type="dxa"/>
          </w:tcPr>
          <w:p w:rsidR="004D282F" w:rsidRDefault="004D282F" w:rsidP="00B539C1">
            <w:pPr>
              <w:jc w:val="center"/>
            </w:pPr>
            <w:r>
              <w:t>4. quarter</w:t>
            </w:r>
          </w:p>
        </w:tc>
        <w:tc>
          <w:tcPr>
            <w:tcW w:w="1164" w:type="dxa"/>
          </w:tcPr>
          <w:p w:rsidR="004D282F" w:rsidRDefault="004D282F" w:rsidP="00B539C1">
            <w:pPr>
              <w:jc w:val="center"/>
            </w:pPr>
            <w:r>
              <w:t>1.-4. quarter</w:t>
            </w:r>
          </w:p>
        </w:tc>
      </w:tr>
      <w:tr w:rsidR="004D282F" w:rsidTr="004D282F">
        <w:tc>
          <w:tcPr>
            <w:tcW w:w="1940" w:type="dxa"/>
            <w:vMerge w:val="restart"/>
          </w:tcPr>
          <w:p w:rsidR="004D282F" w:rsidRDefault="004D282F" w:rsidP="00B539C1">
            <w:pPr>
              <w:jc w:val="left"/>
            </w:pPr>
            <w:r w:rsidRPr="00B07B5B">
              <w:rPr>
                <w:rFonts w:cs="Arial"/>
                <w:szCs w:val="20"/>
              </w:rPr>
              <w:t xml:space="preserve">Net </w:t>
            </w:r>
            <w:r>
              <w:rPr>
                <w:rFonts w:cs="Arial"/>
                <w:szCs w:val="20"/>
              </w:rPr>
              <w:t>lending/</w:t>
            </w:r>
            <w:r w:rsidRPr="00B07B5B">
              <w:rPr>
                <w:rFonts w:cs="Arial"/>
                <w:szCs w:val="20"/>
              </w:rPr>
              <w:t>borrowing</w:t>
            </w:r>
            <w:r>
              <w:rPr>
                <w:rFonts w:cs="Arial"/>
                <w:szCs w:val="20"/>
              </w:rPr>
              <w:t xml:space="preserve"> </w:t>
            </w:r>
            <w:r w:rsidRPr="00B07B5B">
              <w:rPr>
                <w:rFonts w:cs="Arial"/>
                <w:szCs w:val="20"/>
              </w:rPr>
              <w:t>(</w:t>
            </w:r>
            <w:r>
              <w:rPr>
                <w:rFonts w:cs="Arial"/>
                <w:szCs w:val="20"/>
              </w:rPr>
              <w:t>surplus/deficit</w:t>
            </w:r>
            <w:r w:rsidRPr="00B07B5B">
              <w:rPr>
                <w:rFonts w:cs="Arial"/>
                <w:szCs w:val="20"/>
              </w:rPr>
              <w:t xml:space="preserve">) </w:t>
            </w:r>
            <w:r>
              <w:rPr>
                <w:rFonts w:cs="Arial"/>
                <w:szCs w:val="20"/>
              </w:rPr>
              <w:t>of general government</w:t>
            </w:r>
          </w:p>
        </w:tc>
        <w:tc>
          <w:tcPr>
            <w:tcW w:w="712" w:type="dxa"/>
          </w:tcPr>
          <w:p w:rsidR="004D282F" w:rsidRDefault="004D282F" w:rsidP="00B539C1">
            <w:pPr>
              <w:jc w:val="center"/>
            </w:pPr>
            <w:r>
              <w:t>CZK mill.</w:t>
            </w:r>
          </w:p>
        </w:tc>
        <w:tc>
          <w:tcPr>
            <w:tcW w:w="938" w:type="dxa"/>
            <w:vAlign w:val="center"/>
          </w:tcPr>
          <w:p w:rsidR="004D282F" w:rsidRDefault="004D282F" w:rsidP="00042818">
            <w:pPr>
              <w:jc w:val="center"/>
            </w:pPr>
            <w:r>
              <w:t>-</w:t>
            </w:r>
            <w:r w:rsidR="00042818">
              <w:t>40 391</w:t>
            </w:r>
          </w:p>
        </w:tc>
        <w:tc>
          <w:tcPr>
            <w:tcW w:w="938" w:type="dxa"/>
            <w:vAlign w:val="center"/>
          </w:tcPr>
          <w:p w:rsidR="004D282F" w:rsidRPr="00E27268" w:rsidRDefault="004D282F" w:rsidP="004D282F">
            <w:pPr>
              <w:jc w:val="center"/>
            </w:pPr>
            <w:r w:rsidRPr="00E27268">
              <w:t>-18 194</w:t>
            </w:r>
          </w:p>
        </w:tc>
        <w:tc>
          <w:tcPr>
            <w:tcW w:w="938" w:type="dxa"/>
            <w:vAlign w:val="center"/>
          </w:tcPr>
          <w:p w:rsidR="004D282F" w:rsidRPr="00E27268" w:rsidRDefault="004D282F" w:rsidP="004D282F">
            <w:pPr>
              <w:jc w:val="center"/>
            </w:pPr>
            <w:r w:rsidRPr="00E27268">
              <w:t>8 760</w:t>
            </w:r>
          </w:p>
        </w:tc>
        <w:tc>
          <w:tcPr>
            <w:tcW w:w="938" w:type="dxa"/>
            <w:vAlign w:val="center"/>
          </w:tcPr>
          <w:p w:rsidR="004D282F" w:rsidRPr="00E27268" w:rsidRDefault="004D282F" w:rsidP="004D282F">
            <w:pPr>
              <w:jc w:val="center"/>
            </w:pPr>
            <w:r w:rsidRPr="00E27268">
              <w:t>8 167</w:t>
            </w:r>
          </w:p>
        </w:tc>
        <w:tc>
          <w:tcPr>
            <w:tcW w:w="938" w:type="dxa"/>
            <w:vAlign w:val="center"/>
          </w:tcPr>
          <w:p w:rsidR="004D282F" w:rsidRPr="00E27268" w:rsidRDefault="004D282F" w:rsidP="004D282F">
            <w:pPr>
              <w:jc w:val="center"/>
            </w:pPr>
            <w:r w:rsidRPr="00E27268">
              <w:t>-</w:t>
            </w:r>
            <w:r>
              <w:t>17 415</w:t>
            </w:r>
          </w:p>
        </w:tc>
        <w:tc>
          <w:tcPr>
            <w:tcW w:w="1164" w:type="dxa"/>
            <w:vAlign w:val="center"/>
          </w:tcPr>
          <w:p w:rsidR="004D282F" w:rsidRPr="00E27268" w:rsidRDefault="004D282F" w:rsidP="004D282F">
            <w:pPr>
              <w:jc w:val="center"/>
            </w:pPr>
            <w:r>
              <w:t>-18 682</w:t>
            </w:r>
          </w:p>
        </w:tc>
      </w:tr>
      <w:tr w:rsidR="004D282F" w:rsidTr="00CC4BCB">
        <w:tc>
          <w:tcPr>
            <w:tcW w:w="1940" w:type="dxa"/>
            <w:vMerge/>
          </w:tcPr>
          <w:p w:rsidR="004D282F" w:rsidRDefault="004D282F" w:rsidP="00B539C1"/>
        </w:tc>
        <w:tc>
          <w:tcPr>
            <w:tcW w:w="712" w:type="dxa"/>
          </w:tcPr>
          <w:p w:rsidR="004D282F" w:rsidRDefault="004D282F" w:rsidP="003B7A7A">
            <w:pPr>
              <w:jc w:val="center"/>
            </w:pPr>
            <w:r>
              <w:t>% of GDP</w:t>
            </w:r>
          </w:p>
        </w:tc>
        <w:tc>
          <w:tcPr>
            <w:tcW w:w="938" w:type="dxa"/>
            <w:vAlign w:val="center"/>
          </w:tcPr>
          <w:p w:rsidR="004D282F" w:rsidRDefault="004D282F" w:rsidP="00BC46C0">
            <w:pPr>
              <w:jc w:val="center"/>
            </w:pPr>
            <w:r>
              <w:t>-3.61</w:t>
            </w:r>
          </w:p>
        </w:tc>
        <w:tc>
          <w:tcPr>
            <w:tcW w:w="938" w:type="dxa"/>
            <w:vAlign w:val="center"/>
          </w:tcPr>
          <w:p w:rsidR="004D282F" w:rsidRPr="00E27268" w:rsidRDefault="004D282F" w:rsidP="00BC46C0">
            <w:pPr>
              <w:jc w:val="center"/>
            </w:pPr>
            <w:r w:rsidRPr="00E27268">
              <w:t>-1</w:t>
            </w:r>
            <w:r>
              <w:t>.76</w:t>
            </w:r>
          </w:p>
        </w:tc>
        <w:tc>
          <w:tcPr>
            <w:tcW w:w="938" w:type="dxa"/>
            <w:vAlign w:val="center"/>
          </w:tcPr>
          <w:p w:rsidR="004D282F" w:rsidRPr="00E27268" w:rsidRDefault="004D282F" w:rsidP="00BC46C0">
            <w:pPr>
              <w:jc w:val="center"/>
            </w:pPr>
            <w:r>
              <w:t>0.78</w:t>
            </w:r>
          </w:p>
        </w:tc>
        <w:tc>
          <w:tcPr>
            <w:tcW w:w="938" w:type="dxa"/>
            <w:vAlign w:val="center"/>
          </w:tcPr>
          <w:p w:rsidR="004D282F" w:rsidRPr="00E27268" w:rsidRDefault="004D282F" w:rsidP="00BC46C0">
            <w:pPr>
              <w:jc w:val="center"/>
            </w:pPr>
            <w:r w:rsidRPr="00E27268">
              <w:t>0</w:t>
            </w:r>
            <w:r>
              <w:t>.72</w:t>
            </w:r>
          </w:p>
        </w:tc>
        <w:tc>
          <w:tcPr>
            <w:tcW w:w="938" w:type="dxa"/>
            <w:vAlign w:val="center"/>
          </w:tcPr>
          <w:p w:rsidR="004D282F" w:rsidRPr="00E27268" w:rsidRDefault="004D282F" w:rsidP="00BC46C0">
            <w:pPr>
              <w:jc w:val="center"/>
            </w:pPr>
            <w:r w:rsidRPr="00E27268">
              <w:t>-1</w:t>
            </w:r>
            <w:r>
              <w:t>.48</w:t>
            </w:r>
          </w:p>
        </w:tc>
        <w:tc>
          <w:tcPr>
            <w:tcW w:w="1164" w:type="dxa"/>
            <w:vAlign w:val="center"/>
          </w:tcPr>
          <w:p w:rsidR="004D282F" w:rsidRPr="00E27268" w:rsidRDefault="004D282F" w:rsidP="00BC46C0">
            <w:pPr>
              <w:jc w:val="center"/>
            </w:pPr>
            <w:r>
              <w:t>-0.42</w:t>
            </w:r>
          </w:p>
        </w:tc>
      </w:tr>
    </w:tbl>
    <w:p w:rsidR="003B7A7A" w:rsidRPr="00EE0960" w:rsidRDefault="003B7A7A" w:rsidP="003B7A7A">
      <w:pPr>
        <w:rPr>
          <w:i/>
        </w:rPr>
      </w:pPr>
      <w:r w:rsidRPr="00EE0960">
        <w:rPr>
          <w:i/>
        </w:rPr>
        <w:t xml:space="preserve">Notice: data </w:t>
      </w:r>
      <w:r>
        <w:rPr>
          <w:i/>
        </w:rPr>
        <w:t>are not seasonally-adjusted; data cannot be compared quarter-to-quarter</w:t>
      </w:r>
    </w:p>
    <w:p w:rsidR="00EE0960" w:rsidRDefault="00EE0960" w:rsidP="00070C41"/>
    <w:p w:rsidR="00042818" w:rsidRDefault="00042818" w:rsidP="00C62B39">
      <w:r>
        <w:t>Deficits have been recorded at all levels of the general government sector concurrently with declining trend in the amount of deficit compared to the fourth quarter of the previous year.</w:t>
      </w:r>
      <w:r w:rsidR="002F3437">
        <w:t xml:space="preserve"> On the resources side, the annual reduction in deficit has been </w:t>
      </w:r>
      <w:r w:rsidR="00341327">
        <w:t xml:space="preserve">primarily </w:t>
      </w:r>
      <w:r w:rsidR="002F3437">
        <w:t xml:space="preserve">driven by rising revenues </w:t>
      </w:r>
      <w:r w:rsidR="00341327">
        <w:t>in form of</w:t>
      </w:r>
      <w:r w:rsidR="002F3437">
        <w:t xml:space="preserve"> the investment grants </w:t>
      </w:r>
      <w:r w:rsidR="00341327">
        <w:t xml:space="preserve">provided </w:t>
      </w:r>
      <w:r w:rsidR="002F3437">
        <w:t>from abroad (by 94 percent), social contributions (8.3 percent) and taxes on production and imports (7.4 percent). On the uses side, gross capital formation expenditures have shown the most significant annual growth (48 percent) as well as social benefits (5.9 percent) and compensat</w:t>
      </w:r>
      <w:r w:rsidR="00C62B39">
        <w:t>ion to employees (3.9 percent). On the contrary, the interest expenditures have fallen by 12 percent in line with the development of the financial markets.</w:t>
      </w:r>
    </w:p>
    <w:p w:rsidR="006E445B" w:rsidRDefault="006E445B" w:rsidP="00070C41"/>
    <w:p w:rsidR="00070C41" w:rsidRDefault="00ED31AC" w:rsidP="00070C41">
      <w:r>
        <w:t xml:space="preserve">The Czech </w:t>
      </w:r>
      <w:r w:rsidRPr="00ED31AC">
        <w:rPr>
          <w:b/>
        </w:rPr>
        <w:t>government consolidated</w:t>
      </w:r>
      <w:r>
        <w:t xml:space="preserve"> </w:t>
      </w:r>
      <w:r w:rsidRPr="00ED31AC">
        <w:rPr>
          <w:b/>
        </w:rPr>
        <w:t xml:space="preserve">gross debt </w:t>
      </w:r>
      <w:r>
        <w:t xml:space="preserve">has </w:t>
      </w:r>
      <w:r w:rsidR="000676A2">
        <w:t xml:space="preserve">decreased on the annual basis by </w:t>
      </w:r>
      <w:r w:rsidR="00C62B39">
        <w:t>1.63</w:t>
      </w:r>
      <w:r w:rsidR="000676A2">
        <w:t xml:space="preserve"> </w:t>
      </w:r>
      <w:r w:rsidR="000676A2" w:rsidRPr="00C62B39">
        <w:t xml:space="preserve">percentage point to </w:t>
      </w:r>
      <w:r w:rsidR="000676A2" w:rsidRPr="00C62B39">
        <w:rPr>
          <w:b/>
        </w:rPr>
        <w:t>41</w:t>
      </w:r>
      <w:r w:rsidR="00B82653" w:rsidRPr="00C62B39">
        <w:rPr>
          <w:b/>
        </w:rPr>
        <w:t>.</w:t>
      </w:r>
      <w:r w:rsidR="00C62B39" w:rsidRPr="00C62B39">
        <w:rPr>
          <w:b/>
        </w:rPr>
        <w:t xml:space="preserve">06 </w:t>
      </w:r>
      <w:r w:rsidR="00B82653" w:rsidRPr="00C62B39">
        <w:rPr>
          <w:b/>
        </w:rPr>
        <w:t>percent of GDP</w:t>
      </w:r>
      <w:r w:rsidR="00C62B39" w:rsidRPr="00C62B39">
        <w:rPr>
          <w:b/>
        </w:rPr>
        <w:t xml:space="preserve">; </w:t>
      </w:r>
      <w:r w:rsidR="00C62B39" w:rsidRPr="00C62B39">
        <w:t xml:space="preserve">compared to the previous quarter, decrease </w:t>
      </w:r>
      <w:r w:rsidR="00C62B39">
        <w:t xml:space="preserve">in relatively indebtedness </w:t>
      </w:r>
      <w:r w:rsidR="00C62B39" w:rsidRPr="00C62B39">
        <w:t>has reached 0.34 percentage point</w:t>
      </w:r>
      <w:r w:rsidRPr="00C62B39">
        <w:t>.</w:t>
      </w:r>
      <w:r w:rsidR="000676A2" w:rsidRPr="00C62B39">
        <w:t xml:space="preserve"> Decreasing trend is driven mainly by rising nominal GDP </w:t>
      </w:r>
      <w:r w:rsidR="00C62B39">
        <w:t>in comparison with the rate of growth in nominal debt.</w:t>
      </w:r>
    </w:p>
    <w:p w:rsidR="00ED31AC" w:rsidRDefault="00ED31AC" w:rsidP="00070C41"/>
    <w:p w:rsidR="00070C41" w:rsidRPr="00043BF4" w:rsidRDefault="00ED31AC" w:rsidP="00070C41">
      <w:pPr>
        <w:pStyle w:val="TabulkaGraf"/>
      </w:pPr>
      <w:r>
        <w:t xml:space="preserve">Debt of government institutions, the Czech Republic </w:t>
      </w:r>
      <w:r w:rsidR="00EC7DD6">
        <w:t>4</w:t>
      </w:r>
      <w:r w:rsidR="00070C41">
        <w:t>.Q2014-</w:t>
      </w:r>
      <w:r w:rsidR="00EC7DD6">
        <w:t>4</w:t>
      </w:r>
      <w:r w:rsidR="00070C41">
        <w:t>.Q2015</w:t>
      </w:r>
    </w:p>
    <w:tbl>
      <w:tblPr>
        <w:tblStyle w:val="Mkatabulky"/>
        <w:tblW w:w="9073" w:type="dxa"/>
        <w:tblInd w:w="-176" w:type="dxa"/>
        <w:tblLayout w:type="fixed"/>
        <w:tblLook w:val="04A0" w:firstRow="1" w:lastRow="0" w:firstColumn="1" w:lastColumn="0" w:noHBand="0" w:noVBand="1"/>
      </w:tblPr>
      <w:tblGrid>
        <w:gridCol w:w="2146"/>
        <w:gridCol w:w="1109"/>
        <w:gridCol w:w="1282"/>
        <w:gridCol w:w="1134"/>
        <w:gridCol w:w="1134"/>
        <w:gridCol w:w="1134"/>
        <w:gridCol w:w="1134"/>
      </w:tblGrid>
      <w:tr w:rsidR="00B608E5" w:rsidTr="003F30B3">
        <w:tc>
          <w:tcPr>
            <w:tcW w:w="2146" w:type="dxa"/>
            <w:vMerge w:val="restart"/>
            <w:vAlign w:val="center"/>
          </w:tcPr>
          <w:p w:rsidR="00B608E5" w:rsidRDefault="00B608E5" w:rsidP="00075887">
            <w:pPr>
              <w:jc w:val="center"/>
            </w:pPr>
          </w:p>
        </w:tc>
        <w:tc>
          <w:tcPr>
            <w:tcW w:w="1109" w:type="dxa"/>
            <w:vMerge w:val="restart"/>
            <w:vAlign w:val="center"/>
          </w:tcPr>
          <w:p w:rsidR="00B608E5" w:rsidRDefault="00B608E5" w:rsidP="00075887">
            <w:pPr>
              <w:jc w:val="center"/>
            </w:pPr>
            <w:r>
              <w:t>Unit</w:t>
            </w:r>
          </w:p>
        </w:tc>
        <w:tc>
          <w:tcPr>
            <w:tcW w:w="1282" w:type="dxa"/>
          </w:tcPr>
          <w:p w:rsidR="00B608E5" w:rsidRDefault="00B608E5" w:rsidP="00075887">
            <w:pPr>
              <w:spacing w:line="240" w:lineRule="auto"/>
              <w:jc w:val="center"/>
              <w:rPr>
                <w:szCs w:val="20"/>
                <w:lang w:eastAsia="cs-CZ"/>
              </w:rPr>
            </w:pPr>
            <w:r>
              <w:t>2014</w:t>
            </w:r>
          </w:p>
        </w:tc>
        <w:tc>
          <w:tcPr>
            <w:tcW w:w="4536" w:type="dxa"/>
            <w:gridSpan w:val="4"/>
          </w:tcPr>
          <w:p w:rsidR="00B608E5" w:rsidRDefault="00B608E5" w:rsidP="00075887">
            <w:pPr>
              <w:jc w:val="center"/>
            </w:pPr>
            <w:r>
              <w:t>2015</w:t>
            </w:r>
          </w:p>
        </w:tc>
      </w:tr>
      <w:tr w:rsidR="00B608E5" w:rsidTr="00B608E5">
        <w:tc>
          <w:tcPr>
            <w:tcW w:w="2146" w:type="dxa"/>
            <w:vMerge/>
          </w:tcPr>
          <w:p w:rsidR="00B608E5" w:rsidRDefault="00B608E5" w:rsidP="00075887"/>
        </w:tc>
        <w:tc>
          <w:tcPr>
            <w:tcW w:w="1109" w:type="dxa"/>
            <w:vMerge/>
          </w:tcPr>
          <w:p w:rsidR="00B608E5" w:rsidRDefault="00B608E5" w:rsidP="00075887"/>
        </w:tc>
        <w:tc>
          <w:tcPr>
            <w:tcW w:w="1282" w:type="dxa"/>
          </w:tcPr>
          <w:p w:rsidR="00B608E5" w:rsidRDefault="00B608E5" w:rsidP="00075887">
            <w:pPr>
              <w:jc w:val="center"/>
            </w:pPr>
            <w:r>
              <w:t>4. quarter</w:t>
            </w:r>
          </w:p>
        </w:tc>
        <w:tc>
          <w:tcPr>
            <w:tcW w:w="1134" w:type="dxa"/>
          </w:tcPr>
          <w:p w:rsidR="00B608E5" w:rsidRDefault="00B608E5" w:rsidP="00075887">
            <w:pPr>
              <w:jc w:val="center"/>
            </w:pPr>
            <w:r>
              <w:t>1. quarter</w:t>
            </w:r>
          </w:p>
        </w:tc>
        <w:tc>
          <w:tcPr>
            <w:tcW w:w="1134" w:type="dxa"/>
          </w:tcPr>
          <w:p w:rsidR="00B608E5" w:rsidRDefault="00B608E5" w:rsidP="00075887">
            <w:pPr>
              <w:jc w:val="center"/>
            </w:pPr>
            <w:r>
              <w:t>2. quarter</w:t>
            </w:r>
          </w:p>
        </w:tc>
        <w:tc>
          <w:tcPr>
            <w:tcW w:w="1134" w:type="dxa"/>
          </w:tcPr>
          <w:p w:rsidR="00B608E5" w:rsidRDefault="00B608E5" w:rsidP="00075887">
            <w:pPr>
              <w:jc w:val="center"/>
            </w:pPr>
            <w:r>
              <w:t>3. quarter</w:t>
            </w:r>
          </w:p>
        </w:tc>
        <w:tc>
          <w:tcPr>
            <w:tcW w:w="1134" w:type="dxa"/>
          </w:tcPr>
          <w:p w:rsidR="00B608E5" w:rsidRDefault="00B608E5" w:rsidP="00075887">
            <w:pPr>
              <w:jc w:val="center"/>
            </w:pPr>
            <w:r>
              <w:t>4. quarter</w:t>
            </w:r>
          </w:p>
        </w:tc>
      </w:tr>
      <w:tr w:rsidR="00C62B39" w:rsidTr="00B608E5">
        <w:trPr>
          <w:trHeight w:val="56"/>
        </w:trPr>
        <w:tc>
          <w:tcPr>
            <w:tcW w:w="2146" w:type="dxa"/>
            <w:vMerge w:val="restart"/>
          </w:tcPr>
          <w:p w:rsidR="00C62B39" w:rsidRPr="00EE6451" w:rsidRDefault="00C62B39" w:rsidP="00075887">
            <w:pPr>
              <w:jc w:val="left"/>
            </w:pPr>
            <w:r>
              <w:rPr>
                <w:rFonts w:cs="Arial"/>
                <w:szCs w:val="20"/>
              </w:rPr>
              <w:t>Consolidated gross government debt</w:t>
            </w:r>
          </w:p>
        </w:tc>
        <w:tc>
          <w:tcPr>
            <w:tcW w:w="1109" w:type="dxa"/>
          </w:tcPr>
          <w:p w:rsidR="00C62B39" w:rsidRPr="00EE6451" w:rsidRDefault="00C62B39" w:rsidP="00075887">
            <w:pPr>
              <w:jc w:val="center"/>
            </w:pPr>
            <w:r>
              <w:t>CZK mill.</w:t>
            </w:r>
          </w:p>
        </w:tc>
        <w:tc>
          <w:tcPr>
            <w:tcW w:w="1282" w:type="dxa"/>
            <w:vAlign w:val="center"/>
          </w:tcPr>
          <w:p w:rsidR="00C62B39" w:rsidRPr="00A4439D" w:rsidRDefault="00C62B39" w:rsidP="00BC46C0">
            <w:pPr>
              <w:jc w:val="center"/>
            </w:pPr>
            <w:r w:rsidRPr="00A4439D">
              <w:t>1</w:t>
            </w:r>
            <w:r>
              <w:t> 819 098</w:t>
            </w:r>
          </w:p>
        </w:tc>
        <w:tc>
          <w:tcPr>
            <w:tcW w:w="1134" w:type="dxa"/>
            <w:vAlign w:val="center"/>
          </w:tcPr>
          <w:p w:rsidR="00C62B39" w:rsidRPr="00A4439D" w:rsidRDefault="00C62B39" w:rsidP="00BC46C0">
            <w:pPr>
              <w:jc w:val="center"/>
            </w:pPr>
            <w:r w:rsidRPr="00A4439D">
              <w:t>1</w:t>
            </w:r>
            <w:r>
              <w:t> 835 431</w:t>
            </w:r>
          </w:p>
        </w:tc>
        <w:tc>
          <w:tcPr>
            <w:tcW w:w="1134" w:type="dxa"/>
            <w:vAlign w:val="center"/>
          </w:tcPr>
          <w:p w:rsidR="00C62B39" w:rsidRDefault="00C62B39" w:rsidP="00BC46C0">
            <w:pPr>
              <w:jc w:val="center"/>
            </w:pPr>
            <w:r>
              <w:t>1 827 980</w:t>
            </w:r>
          </w:p>
        </w:tc>
        <w:tc>
          <w:tcPr>
            <w:tcW w:w="1134" w:type="dxa"/>
            <w:vAlign w:val="center"/>
          </w:tcPr>
          <w:p w:rsidR="00C62B39" w:rsidRDefault="00C62B39" w:rsidP="00BC46C0">
            <w:pPr>
              <w:jc w:val="center"/>
            </w:pPr>
            <w:r>
              <w:t>1 829 039</w:t>
            </w:r>
          </w:p>
        </w:tc>
        <w:tc>
          <w:tcPr>
            <w:tcW w:w="1134" w:type="dxa"/>
          </w:tcPr>
          <w:p w:rsidR="00C62B39" w:rsidRDefault="00C62B39" w:rsidP="00BC46C0">
            <w:pPr>
              <w:jc w:val="center"/>
            </w:pPr>
            <w:r>
              <w:t>1 836 166</w:t>
            </w:r>
          </w:p>
        </w:tc>
      </w:tr>
      <w:tr w:rsidR="00C62B39" w:rsidTr="002D08AB">
        <w:trPr>
          <w:trHeight w:val="53"/>
        </w:trPr>
        <w:tc>
          <w:tcPr>
            <w:tcW w:w="2146" w:type="dxa"/>
            <w:vMerge/>
          </w:tcPr>
          <w:p w:rsidR="00C62B39" w:rsidRPr="00EE6451" w:rsidRDefault="00C62B39" w:rsidP="00075887"/>
        </w:tc>
        <w:tc>
          <w:tcPr>
            <w:tcW w:w="1109" w:type="dxa"/>
          </w:tcPr>
          <w:p w:rsidR="00C62B39" w:rsidRPr="00EE6451" w:rsidRDefault="00C62B39" w:rsidP="00075887">
            <w:pPr>
              <w:jc w:val="center"/>
            </w:pPr>
            <w:r w:rsidRPr="00EE6451">
              <w:t xml:space="preserve">% </w:t>
            </w:r>
            <w:r>
              <w:t>of GDP</w:t>
            </w:r>
          </w:p>
        </w:tc>
        <w:tc>
          <w:tcPr>
            <w:tcW w:w="1282" w:type="dxa"/>
            <w:vAlign w:val="center"/>
          </w:tcPr>
          <w:p w:rsidR="00C62B39" w:rsidRPr="00A4439D" w:rsidRDefault="00C62B39" w:rsidP="00BC46C0">
            <w:pPr>
              <w:jc w:val="center"/>
            </w:pPr>
            <w:r>
              <w:t>42.69</w:t>
            </w:r>
          </w:p>
        </w:tc>
        <w:tc>
          <w:tcPr>
            <w:tcW w:w="1134" w:type="dxa"/>
            <w:vAlign w:val="center"/>
          </w:tcPr>
          <w:p w:rsidR="00C62B39" w:rsidRPr="00A4439D" w:rsidRDefault="00C62B39" w:rsidP="00BC46C0">
            <w:pPr>
              <w:jc w:val="center"/>
            </w:pPr>
            <w:r>
              <w:t>42.56</w:t>
            </w:r>
          </w:p>
        </w:tc>
        <w:tc>
          <w:tcPr>
            <w:tcW w:w="1134" w:type="dxa"/>
            <w:vAlign w:val="center"/>
          </w:tcPr>
          <w:p w:rsidR="00C62B39" w:rsidRDefault="00C62B39" w:rsidP="00BC46C0">
            <w:pPr>
              <w:jc w:val="center"/>
            </w:pPr>
            <w:r>
              <w:t>41.85</w:t>
            </w:r>
          </w:p>
        </w:tc>
        <w:tc>
          <w:tcPr>
            <w:tcW w:w="1134" w:type="dxa"/>
            <w:vAlign w:val="center"/>
          </w:tcPr>
          <w:p w:rsidR="00C62B39" w:rsidRDefault="00C62B39" w:rsidP="00BC46C0">
            <w:pPr>
              <w:jc w:val="center"/>
            </w:pPr>
            <w:r>
              <w:t>41.40</w:t>
            </w:r>
          </w:p>
        </w:tc>
        <w:tc>
          <w:tcPr>
            <w:tcW w:w="1134" w:type="dxa"/>
            <w:vAlign w:val="center"/>
          </w:tcPr>
          <w:p w:rsidR="00C62B39" w:rsidRDefault="00C62B39" w:rsidP="00BC46C0">
            <w:pPr>
              <w:jc w:val="center"/>
            </w:pPr>
            <w:r>
              <w:t>41.06</w:t>
            </w:r>
          </w:p>
        </w:tc>
      </w:tr>
    </w:tbl>
    <w:p w:rsidR="00AB61B6" w:rsidRDefault="00AB61B6" w:rsidP="00070C41"/>
    <w:p w:rsidR="00ED31AC" w:rsidRDefault="00ED31AC" w:rsidP="00070C41">
      <w:r>
        <w:lastRenderedPageBreak/>
        <w:t xml:space="preserve">Shares of relevant instruments on the total debt remain stable over time with dominant position of debt securities (90 percent). </w:t>
      </w:r>
    </w:p>
    <w:p w:rsidR="00ED31AC" w:rsidRDefault="00ED31AC" w:rsidP="00070C41"/>
    <w:p w:rsidR="00C62B39" w:rsidRDefault="00C62B39" w:rsidP="00C62B39">
      <w:pPr>
        <w:rPr>
          <w:rFonts w:cs="Arial"/>
          <w:szCs w:val="20"/>
        </w:rPr>
      </w:pPr>
      <w:r>
        <w:t>Data on quarterly government deficit and debt methodically correspond</w:t>
      </w:r>
      <w:r w:rsidR="00341327">
        <w:t>s</w:t>
      </w:r>
      <w:r>
        <w:t xml:space="preserve"> to </w:t>
      </w:r>
      <w:r w:rsidR="00341327">
        <w:t>that</w:t>
      </w:r>
      <w:r>
        <w:t xml:space="preserve"> provided within the framework of the notification of government deficit and debt.</w:t>
      </w:r>
      <w:r w:rsidR="00CC7F78">
        <w:t xml:space="preserve"> Compared to data published in October 201</w:t>
      </w:r>
      <w:r w:rsidR="00341327">
        <w:t>5</w:t>
      </w:r>
      <w:r w:rsidR="00CC7F78">
        <w:t xml:space="preserve">, recently released fiscal indicators cover also economic </w:t>
      </w:r>
      <w:r w:rsidR="00341327">
        <w:t>results</w:t>
      </w:r>
      <w:r w:rsidR="00CC7F78">
        <w:t xml:space="preserve"> </w:t>
      </w:r>
      <w:r w:rsidR="00341327">
        <w:t xml:space="preserve">of </w:t>
      </w:r>
      <w:r w:rsidR="00CC7F78">
        <w:t xml:space="preserve">public service media. </w:t>
      </w:r>
      <w:r w:rsidR="00CC7F78">
        <w:rPr>
          <w:rFonts w:cs="Arial"/>
          <w:szCs w:val="20"/>
        </w:rPr>
        <w:t>Public service media have</w:t>
      </w:r>
      <w:r>
        <w:rPr>
          <w:rFonts w:cs="Arial"/>
          <w:szCs w:val="20"/>
        </w:rPr>
        <w:t xml:space="preserve"> been reclassified into general government sector following the revised methodology </w:t>
      </w:r>
      <w:r w:rsidR="00341327">
        <w:rPr>
          <w:rFonts w:cs="Arial"/>
          <w:szCs w:val="20"/>
        </w:rPr>
        <w:t>laid down</w:t>
      </w:r>
      <w:r>
        <w:rPr>
          <w:rFonts w:cs="Arial"/>
          <w:szCs w:val="20"/>
        </w:rPr>
        <w:t xml:space="preserve"> in the Manual on government deficit and debt. More detailed information on changes in the sector </w:t>
      </w:r>
      <w:bookmarkStart w:id="0" w:name="_GoBack"/>
      <w:bookmarkEnd w:id="0"/>
      <w:r>
        <w:rPr>
          <w:rFonts w:cs="Arial"/>
          <w:szCs w:val="20"/>
        </w:rPr>
        <w:t xml:space="preserve">delimitation </w:t>
      </w:r>
      <w:r w:rsidR="00341327">
        <w:rPr>
          <w:rFonts w:cs="Arial"/>
          <w:szCs w:val="20"/>
        </w:rPr>
        <w:t>reflected</w:t>
      </w:r>
      <w:r>
        <w:rPr>
          <w:rFonts w:cs="Arial"/>
          <w:szCs w:val="20"/>
        </w:rPr>
        <w:t xml:space="preserve"> in the second notification in 2015 and </w:t>
      </w:r>
      <w:r w:rsidR="00CC7F78">
        <w:rPr>
          <w:rFonts w:cs="Arial"/>
          <w:szCs w:val="20"/>
        </w:rPr>
        <w:t>the recent</w:t>
      </w:r>
      <w:r>
        <w:rPr>
          <w:rFonts w:cs="Arial"/>
          <w:szCs w:val="20"/>
        </w:rPr>
        <w:t xml:space="preserve"> notification can be found on the web in the section “Business register” (the Czech version only).</w:t>
      </w:r>
    </w:p>
    <w:p w:rsidR="00C62B39" w:rsidRDefault="00C62B39" w:rsidP="00070C41"/>
    <w:p w:rsidR="00070C41" w:rsidRDefault="00341327" w:rsidP="00070C41">
      <w:r>
        <w:rPr>
          <w:noProof/>
          <w:lang w:eastAsia="cs-CZ"/>
        </w:rPr>
        <w:pict>
          <v:shapetype id="_x0000_t32" coordsize="21600,21600" o:spt="32" o:oned="t" path="m,l21600,21600e" filled="f">
            <v:path arrowok="t" fillok="f" o:connecttype="none"/>
            <o:lock v:ext="edit" shapetype="t"/>
          </v:shapetype>
          <v:shape id="_x0000_s1026" type="#_x0000_t32" style="position:absolute;left:0;text-align:left;margin-left:65.3pt;margin-top:3.1pt;width:302.5pt;height:0;z-index:251659264" o:connectortype="straight"/>
        </w:pict>
      </w:r>
    </w:p>
    <w:p w:rsidR="00ED31AC" w:rsidRDefault="00ED31AC" w:rsidP="00070C41"/>
    <w:p w:rsidR="00B82653" w:rsidRPr="00B82653" w:rsidRDefault="009A2048" w:rsidP="00B82653">
      <w:pPr>
        <w:pStyle w:val="Zkladntext"/>
        <w:spacing w:line="276" w:lineRule="auto"/>
        <w:rPr>
          <w:rFonts w:ascii="Arial" w:hAnsi="Arial" w:cs="Arial"/>
          <w:sz w:val="20"/>
          <w:szCs w:val="20"/>
        </w:rPr>
      </w:pPr>
      <w:r w:rsidRPr="00B82653">
        <w:rPr>
          <w:rFonts w:ascii="Arial" w:hAnsi="Arial" w:cs="Arial"/>
          <w:sz w:val="20"/>
          <w:szCs w:val="20"/>
        </w:rPr>
        <w:t xml:space="preserve">Indicators of government deficit and debt mentioned above are based on the accrual basis as requested by the methodology ESA2010 and the Manual on government deficit and debt. </w:t>
      </w:r>
      <w:r w:rsidR="00B82653">
        <w:rPr>
          <w:rFonts w:ascii="Arial" w:hAnsi="Arial" w:cs="Arial"/>
          <w:sz w:val="20"/>
          <w:szCs w:val="20"/>
        </w:rPr>
        <w:t xml:space="preserve">Accrual accounting records flows at the time economic value is created, transformed, exchanged, transferred or extinguished. </w:t>
      </w:r>
      <w:r w:rsidR="00B82653" w:rsidRPr="00B82653">
        <w:rPr>
          <w:rFonts w:ascii="Arial" w:hAnsi="Arial" w:cs="Arial"/>
          <w:sz w:val="20"/>
          <w:szCs w:val="20"/>
        </w:rPr>
        <w:t xml:space="preserve">Government surplus/deficit is represented by </w:t>
      </w:r>
      <w:r w:rsidR="00B82653">
        <w:rPr>
          <w:rFonts w:ascii="Arial" w:hAnsi="Arial" w:cs="Arial"/>
          <w:sz w:val="20"/>
          <w:szCs w:val="20"/>
        </w:rPr>
        <w:t xml:space="preserve">the </w:t>
      </w:r>
      <w:r w:rsidR="00B82653" w:rsidRPr="00B82653">
        <w:rPr>
          <w:rFonts w:ascii="Arial" w:hAnsi="Arial" w:cs="Arial"/>
          <w:sz w:val="20"/>
          <w:szCs w:val="20"/>
        </w:rPr>
        <w:t xml:space="preserve">item B.9 “net borrowing (-) or net lending (+)” in national accounts. It refers to the ability of general government sector to finance other sectors (+) or the need of general government sector to be financed (-) by other economic sectors. </w:t>
      </w:r>
      <w:r w:rsidRPr="00B82653">
        <w:rPr>
          <w:rFonts w:ascii="Arial" w:hAnsi="Arial" w:cs="Arial"/>
          <w:sz w:val="20"/>
          <w:szCs w:val="20"/>
        </w:rPr>
        <w:t xml:space="preserve">From the methodological point of view, the published indicators are fully consistent with the annual indicators used for the EDP purposes. </w:t>
      </w:r>
    </w:p>
    <w:p w:rsidR="009A2048" w:rsidRPr="00B82653" w:rsidRDefault="009A2048" w:rsidP="00B82653">
      <w:pPr>
        <w:pStyle w:val="Zkladntext"/>
        <w:spacing w:line="276" w:lineRule="auto"/>
        <w:rPr>
          <w:rFonts w:ascii="Arial" w:hAnsi="Arial" w:cs="Arial"/>
          <w:sz w:val="20"/>
          <w:szCs w:val="20"/>
        </w:rPr>
      </w:pPr>
      <w:r w:rsidRPr="00B82653">
        <w:rPr>
          <w:rFonts w:ascii="Arial" w:hAnsi="Arial" w:cs="Arial"/>
          <w:sz w:val="20"/>
          <w:szCs w:val="20"/>
        </w:rPr>
        <w:t xml:space="preserve">Deficit is compared with nominal GDP in given quarter. The amount of consolidated debt defined as sum of the items Currency and deposits, Debt securities and Loans, is compared with the sum of nominal GDP for the last four quarter. Fiscal indicators of quarterly government deficit and debt are regularly published within the Transmission programme (table 25, table 28) on the web </w:t>
      </w:r>
      <w:hyperlink r:id="rId8" w:history="1">
        <w:r w:rsidRPr="00B82653">
          <w:rPr>
            <w:rStyle w:val="Hypertextovodkaz"/>
            <w:rFonts w:ascii="Arial" w:hAnsi="Arial" w:cs="Arial"/>
            <w:sz w:val="20"/>
            <w:szCs w:val="20"/>
          </w:rPr>
          <w:t>www.czso.cz</w:t>
        </w:r>
      </w:hyperlink>
      <w:r w:rsidRPr="00B82653">
        <w:rPr>
          <w:rFonts w:ascii="Arial" w:hAnsi="Arial" w:cs="Arial"/>
          <w:sz w:val="20"/>
          <w:szCs w:val="20"/>
        </w:rPr>
        <w:t xml:space="preserve"> in the section “GDP, Nati</w:t>
      </w:r>
      <w:r w:rsidR="00B82653">
        <w:rPr>
          <w:rFonts w:ascii="Arial" w:hAnsi="Arial" w:cs="Arial"/>
          <w:sz w:val="20"/>
          <w:szCs w:val="20"/>
        </w:rPr>
        <w:t>onal Accounts” (</w:t>
      </w:r>
      <w:hyperlink r:id="rId9" w:history="1">
        <w:r w:rsidR="00B82653" w:rsidRPr="006A19F4">
          <w:rPr>
            <w:rStyle w:val="Hypertextovodkaz"/>
            <w:rFonts w:ascii="Arial" w:hAnsi="Arial" w:cs="Arial"/>
            <w:sz w:val="20"/>
            <w:szCs w:val="20"/>
          </w:rPr>
          <w:t>http://apl.czso.cz/pll/rocenka/rocenka.indexnu_gov?mylang=EN</w:t>
        </w:r>
      </w:hyperlink>
      <w:r w:rsidR="00B82653">
        <w:rPr>
          <w:rFonts w:ascii="Arial" w:hAnsi="Arial" w:cs="Arial"/>
          <w:sz w:val="20"/>
          <w:szCs w:val="20"/>
        </w:rPr>
        <w:t>)</w:t>
      </w:r>
    </w:p>
    <w:p w:rsidR="00070C41" w:rsidRDefault="00070C41" w:rsidP="009A2048"/>
    <w:p w:rsidR="00070C41" w:rsidRDefault="00070C41" w:rsidP="00070C41">
      <w:pPr>
        <w:pStyle w:val="Poznmky0"/>
      </w:pPr>
      <w:r>
        <w:t>Notices:</w:t>
      </w:r>
    </w:p>
    <w:p w:rsidR="00506517" w:rsidRDefault="00070C41" w:rsidP="00070C41">
      <w:pPr>
        <w:rPr>
          <w:rStyle w:val="Hypertextovodkaz"/>
          <w:i/>
          <w:iCs/>
        </w:rPr>
      </w:pPr>
      <w:r>
        <w:rPr>
          <w:i/>
          <w:iCs/>
        </w:rPr>
        <w:t>Responsible manager</w:t>
      </w:r>
      <w:r w:rsidRPr="00F665DC">
        <w:rPr>
          <w:i/>
          <w:iCs/>
        </w:rPr>
        <w:t xml:space="preserve">: </w:t>
      </w:r>
      <w:r>
        <w:rPr>
          <w:i/>
          <w:iCs/>
        </w:rPr>
        <w:t>Vaclav Rybacek, Ph.D.</w:t>
      </w:r>
      <w:r w:rsidRPr="00F665DC">
        <w:rPr>
          <w:i/>
          <w:iCs/>
        </w:rPr>
        <w:t>, tel.: 274052</w:t>
      </w:r>
      <w:r>
        <w:rPr>
          <w:i/>
          <w:iCs/>
        </w:rPr>
        <w:t>5</w:t>
      </w:r>
      <w:r w:rsidRPr="00F665DC">
        <w:rPr>
          <w:i/>
          <w:iCs/>
        </w:rPr>
        <w:t>9</w:t>
      </w:r>
      <w:r>
        <w:rPr>
          <w:i/>
          <w:iCs/>
        </w:rPr>
        <w:t>6</w:t>
      </w:r>
      <w:r w:rsidRPr="00F665DC">
        <w:rPr>
          <w:i/>
          <w:iCs/>
        </w:rPr>
        <w:t xml:space="preserve">, e-mail: </w:t>
      </w:r>
      <w:hyperlink r:id="rId10" w:history="1">
        <w:r w:rsidRPr="000249DE">
          <w:rPr>
            <w:rStyle w:val="Hypertextovodkaz"/>
            <w:i/>
            <w:iCs/>
          </w:rPr>
          <w:t>vaclav.rybacek@czso.cz</w:t>
        </w:r>
      </w:hyperlink>
    </w:p>
    <w:p w:rsidR="00070C41" w:rsidRDefault="00506517" w:rsidP="00070C41">
      <w:pPr>
        <w:rPr>
          <w:i/>
          <w:iCs/>
        </w:rPr>
      </w:pPr>
      <w:r>
        <w:rPr>
          <w:i/>
          <w:iCs/>
        </w:rPr>
        <w:t>Contact person</w:t>
      </w:r>
      <w:r w:rsidRPr="00F665DC">
        <w:rPr>
          <w:i/>
          <w:iCs/>
        </w:rPr>
        <w:t xml:space="preserve">: </w:t>
      </w:r>
      <w:r>
        <w:rPr>
          <w:i/>
          <w:iCs/>
        </w:rPr>
        <w:t>Marie Trejbalova, tel.: 274052706</w:t>
      </w:r>
      <w:r w:rsidRPr="00F665DC">
        <w:rPr>
          <w:i/>
          <w:iCs/>
        </w:rPr>
        <w:t xml:space="preserve">, e-mail: </w:t>
      </w:r>
      <w:hyperlink r:id="rId11" w:history="1">
        <w:r w:rsidRPr="000249DE">
          <w:rPr>
            <w:rStyle w:val="Hypertextovodkaz"/>
            <w:i/>
            <w:iCs/>
          </w:rPr>
          <w:t>marie.trejbalova@czso.cz</w:t>
        </w:r>
      </w:hyperlink>
      <w:r w:rsidR="00070C41" w:rsidRPr="00F665DC">
        <w:br/>
      </w:r>
      <w:r w:rsidR="00070C41">
        <w:rPr>
          <w:i/>
          <w:iCs/>
        </w:rPr>
        <w:t xml:space="preserve">Coming News Release </w:t>
      </w:r>
      <w:r w:rsidR="00070C41" w:rsidRPr="00F665DC">
        <w:rPr>
          <w:i/>
          <w:iCs/>
        </w:rPr>
        <w:t xml:space="preserve">: </w:t>
      </w:r>
      <w:r w:rsidR="00DE3BD8">
        <w:rPr>
          <w:i/>
          <w:iCs/>
        </w:rPr>
        <w:t>0</w:t>
      </w:r>
      <w:r w:rsidR="00D90D8B">
        <w:rPr>
          <w:i/>
          <w:iCs/>
        </w:rPr>
        <w:t>4</w:t>
      </w:r>
      <w:r w:rsidR="00070C41">
        <w:rPr>
          <w:i/>
          <w:iCs/>
        </w:rPr>
        <w:t>.</w:t>
      </w:r>
      <w:r w:rsidR="00DE3BD8">
        <w:rPr>
          <w:i/>
          <w:iCs/>
        </w:rPr>
        <w:t xml:space="preserve"> 0</w:t>
      </w:r>
      <w:r w:rsidR="00D90D8B">
        <w:rPr>
          <w:i/>
          <w:iCs/>
        </w:rPr>
        <w:t>7</w:t>
      </w:r>
      <w:r w:rsidR="00DE3BD8">
        <w:rPr>
          <w:i/>
          <w:iCs/>
        </w:rPr>
        <w:t>.</w:t>
      </w:r>
      <w:r w:rsidR="00D90D8B">
        <w:rPr>
          <w:i/>
          <w:iCs/>
        </w:rPr>
        <w:t xml:space="preserve"> 2016</w:t>
      </w:r>
    </w:p>
    <w:p w:rsidR="00070C41" w:rsidRDefault="00070C41" w:rsidP="00070C41">
      <w:pPr>
        <w:rPr>
          <w:i/>
          <w:iCs/>
        </w:rPr>
      </w:pPr>
    </w:p>
    <w:p w:rsidR="00070C41" w:rsidRPr="004920AD" w:rsidRDefault="00070C41" w:rsidP="00070C41">
      <w:r>
        <w:t xml:space="preserve">This press release </w:t>
      </w:r>
      <w:r w:rsidR="00D71581">
        <w:t>has</w:t>
      </w:r>
      <w:r>
        <w:t xml:space="preserve"> not </w:t>
      </w:r>
      <w:r w:rsidR="00D71581">
        <w:t xml:space="preserve">been </w:t>
      </w:r>
      <w:r>
        <w:t>edited for language.</w:t>
      </w:r>
    </w:p>
    <w:p w:rsidR="00D209A7" w:rsidRPr="004920AD" w:rsidRDefault="00D209A7" w:rsidP="00070C41">
      <w:pPr>
        <w:pStyle w:val="Poznmky0"/>
      </w:pPr>
    </w:p>
    <w:sectPr w:rsidR="00D209A7" w:rsidRPr="004920AD"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5F" w:rsidRDefault="00CD725F" w:rsidP="00BA6370">
      <w:r>
        <w:separator/>
      </w:r>
    </w:p>
  </w:endnote>
  <w:endnote w:type="continuationSeparator" w:id="0">
    <w:p w:rsidR="00CD725F" w:rsidRDefault="00CD725F"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341327">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341327">
                  <w:rPr>
                    <w:rFonts w:cs="Arial"/>
                    <w:noProof/>
                    <w:szCs w:val="15"/>
                  </w:rPr>
                  <w:t>2</w:t>
                </w:r>
                <w:r w:rsidR="00123849"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5F" w:rsidRDefault="00CD725F" w:rsidP="00BA6370">
      <w:r>
        <w:separator/>
      </w:r>
    </w:p>
  </w:footnote>
  <w:footnote w:type="continuationSeparator" w:id="0">
    <w:p w:rsidR="00CD725F" w:rsidRDefault="00CD725F"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341327">
    <w:pPr>
      <w:pStyle w:val="Zhlav"/>
    </w:pPr>
    <w:r>
      <w:rPr>
        <w:noProof/>
        <w:lang w:val="cs-CZ" w:eastAsia="cs-CZ"/>
      </w:rPr>
      <w:pict>
        <v:group id="_x0000_s2094" style="position:absolute;left:0;text-align:left;margin-left:-69.5pt;margin-top:7.95pt;width:496.95pt;height:80.05pt;z-index:25165875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hyphenationZone w:val="425"/>
  <w:characterSpacingControl w:val="doNotCompress"/>
  <w:hdrShapeDefaults>
    <o:shapedefaults v:ext="edit" spidmax="209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25F"/>
    <w:rsid w:val="00021A4A"/>
    <w:rsid w:val="00042818"/>
    <w:rsid w:val="00043BF4"/>
    <w:rsid w:val="000676A2"/>
    <w:rsid w:val="00070C41"/>
    <w:rsid w:val="000843A5"/>
    <w:rsid w:val="00091722"/>
    <w:rsid w:val="000B6F63"/>
    <w:rsid w:val="000C7DD1"/>
    <w:rsid w:val="00116ED1"/>
    <w:rsid w:val="00123849"/>
    <w:rsid w:val="0013242C"/>
    <w:rsid w:val="001404AB"/>
    <w:rsid w:val="0017231D"/>
    <w:rsid w:val="00176E26"/>
    <w:rsid w:val="0018061F"/>
    <w:rsid w:val="001810DC"/>
    <w:rsid w:val="001B607F"/>
    <w:rsid w:val="001C71FD"/>
    <w:rsid w:val="001D369A"/>
    <w:rsid w:val="001F08B3"/>
    <w:rsid w:val="002070FB"/>
    <w:rsid w:val="00213729"/>
    <w:rsid w:val="002406FA"/>
    <w:rsid w:val="00297900"/>
    <w:rsid w:val="002B2E47"/>
    <w:rsid w:val="002D37F5"/>
    <w:rsid w:val="002F3437"/>
    <w:rsid w:val="0032398D"/>
    <w:rsid w:val="003301A3"/>
    <w:rsid w:val="00341327"/>
    <w:rsid w:val="0036777B"/>
    <w:rsid w:val="00380178"/>
    <w:rsid w:val="0038282A"/>
    <w:rsid w:val="00397580"/>
    <w:rsid w:val="003A45C8"/>
    <w:rsid w:val="003B7A7A"/>
    <w:rsid w:val="003B7F42"/>
    <w:rsid w:val="003C2DCF"/>
    <w:rsid w:val="003C3372"/>
    <w:rsid w:val="003C7FE7"/>
    <w:rsid w:val="003D0499"/>
    <w:rsid w:val="003D3576"/>
    <w:rsid w:val="003F526A"/>
    <w:rsid w:val="00405244"/>
    <w:rsid w:val="00436D82"/>
    <w:rsid w:val="0044277F"/>
    <w:rsid w:val="004436EE"/>
    <w:rsid w:val="0045547F"/>
    <w:rsid w:val="004920AD"/>
    <w:rsid w:val="004D05B3"/>
    <w:rsid w:val="004D282F"/>
    <w:rsid w:val="004E479E"/>
    <w:rsid w:val="004F78E6"/>
    <w:rsid w:val="00506517"/>
    <w:rsid w:val="00512D99"/>
    <w:rsid w:val="00531DBB"/>
    <w:rsid w:val="00564213"/>
    <w:rsid w:val="00573EEE"/>
    <w:rsid w:val="005B2F08"/>
    <w:rsid w:val="005F79FB"/>
    <w:rsid w:val="00604406"/>
    <w:rsid w:val="00605F4A"/>
    <w:rsid w:val="00607822"/>
    <w:rsid w:val="006103AA"/>
    <w:rsid w:val="00613BBF"/>
    <w:rsid w:val="00622B80"/>
    <w:rsid w:val="0064139A"/>
    <w:rsid w:val="006510EF"/>
    <w:rsid w:val="006B6EE5"/>
    <w:rsid w:val="006D5C60"/>
    <w:rsid w:val="006E024F"/>
    <w:rsid w:val="006E445B"/>
    <w:rsid w:val="006E4E81"/>
    <w:rsid w:val="00707F7D"/>
    <w:rsid w:val="00717EC5"/>
    <w:rsid w:val="00755D8B"/>
    <w:rsid w:val="00760610"/>
    <w:rsid w:val="00763787"/>
    <w:rsid w:val="007945AC"/>
    <w:rsid w:val="007A0CA5"/>
    <w:rsid w:val="007A57F2"/>
    <w:rsid w:val="007B1333"/>
    <w:rsid w:val="007B16E7"/>
    <w:rsid w:val="007F4AEB"/>
    <w:rsid w:val="007F75B2"/>
    <w:rsid w:val="008043C4"/>
    <w:rsid w:val="00831B1B"/>
    <w:rsid w:val="00855FB3"/>
    <w:rsid w:val="00861D0E"/>
    <w:rsid w:val="00867569"/>
    <w:rsid w:val="00885C0D"/>
    <w:rsid w:val="00886C45"/>
    <w:rsid w:val="008A750A"/>
    <w:rsid w:val="008B3970"/>
    <w:rsid w:val="008C384C"/>
    <w:rsid w:val="008D0F11"/>
    <w:rsid w:val="008F73B4"/>
    <w:rsid w:val="009035E8"/>
    <w:rsid w:val="00910828"/>
    <w:rsid w:val="00971374"/>
    <w:rsid w:val="009A2048"/>
    <w:rsid w:val="009B55B1"/>
    <w:rsid w:val="009E39C5"/>
    <w:rsid w:val="009F1C6F"/>
    <w:rsid w:val="00A07BA7"/>
    <w:rsid w:val="00A4343D"/>
    <w:rsid w:val="00A502F1"/>
    <w:rsid w:val="00A51E12"/>
    <w:rsid w:val="00A70A83"/>
    <w:rsid w:val="00A81EB3"/>
    <w:rsid w:val="00AB6196"/>
    <w:rsid w:val="00AB61B6"/>
    <w:rsid w:val="00AC3140"/>
    <w:rsid w:val="00B00C1D"/>
    <w:rsid w:val="00B5538B"/>
    <w:rsid w:val="00B608E5"/>
    <w:rsid w:val="00B632CC"/>
    <w:rsid w:val="00B82653"/>
    <w:rsid w:val="00B9436B"/>
    <w:rsid w:val="00BA12F1"/>
    <w:rsid w:val="00BA439F"/>
    <w:rsid w:val="00BA6370"/>
    <w:rsid w:val="00C269D4"/>
    <w:rsid w:val="00C4160D"/>
    <w:rsid w:val="00C61E61"/>
    <w:rsid w:val="00C62B39"/>
    <w:rsid w:val="00C657E4"/>
    <w:rsid w:val="00C8406E"/>
    <w:rsid w:val="00CB2709"/>
    <w:rsid w:val="00CB6F89"/>
    <w:rsid w:val="00CC7F78"/>
    <w:rsid w:val="00CD725F"/>
    <w:rsid w:val="00CE228C"/>
    <w:rsid w:val="00CE71D9"/>
    <w:rsid w:val="00CF545B"/>
    <w:rsid w:val="00D209A7"/>
    <w:rsid w:val="00D27D69"/>
    <w:rsid w:val="00D448C2"/>
    <w:rsid w:val="00D666C3"/>
    <w:rsid w:val="00D71581"/>
    <w:rsid w:val="00D811AB"/>
    <w:rsid w:val="00D90D8B"/>
    <w:rsid w:val="00DE3BD8"/>
    <w:rsid w:val="00DF47FE"/>
    <w:rsid w:val="00E0156A"/>
    <w:rsid w:val="00E26704"/>
    <w:rsid w:val="00E31980"/>
    <w:rsid w:val="00E6423C"/>
    <w:rsid w:val="00E71483"/>
    <w:rsid w:val="00E93830"/>
    <w:rsid w:val="00E93E0E"/>
    <w:rsid w:val="00EB1A25"/>
    <w:rsid w:val="00EB1ED3"/>
    <w:rsid w:val="00EC7DD6"/>
    <w:rsid w:val="00ED31AC"/>
    <w:rsid w:val="00EE0960"/>
    <w:rsid w:val="00EE70B7"/>
    <w:rsid w:val="00F04886"/>
    <w:rsid w:val="00F314B7"/>
    <w:rsid w:val="00F83C49"/>
    <w:rsid w:val="00FA5E5D"/>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6">
      <o:colormru v:ext="edit" colors="#0071bc"/>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table" w:styleId="Mkatabulky">
    <w:name w:val="Table Grid"/>
    <w:basedOn w:val="Normlntabulka"/>
    <w:uiPriority w:val="59"/>
    <w:rsid w:val="00070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rsid w:val="00B82653"/>
    <w:pPr>
      <w:spacing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B82653"/>
    <w:rPr>
      <w:rFonts w:ascii="Times New Roman" w:eastAsia="Times New Roman" w:hAnsi="Times New Roman"/>
      <w:sz w:val="24"/>
      <w:szCs w:val="24"/>
      <w:lang w:val="en-GB"/>
    </w:rPr>
  </w:style>
  <w:style w:type="character" w:styleId="Sledovanodkaz">
    <w:name w:val="FollowedHyperlink"/>
    <w:basedOn w:val="Standardnpsmoodstavce"/>
    <w:uiPriority w:val="99"/>
    <w:semiHidden/>
    <w:unhideWhenUsed/>
    <w:rsid w:val="00886C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trejbalova@czs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clav.rybacek@czso.cz" TargetMode="External"/><Relationship Id="rId4" Type="http://schemas.openxmlformats.org/officeDocument/2006/relationships/settings" Target="settings.xml"/><Relationship Id="rId9" Type="http://schemas.openxmlformats.org/officeDocument/2006/relationships/hyperlink" Target="http://apl.czso.cz/pll/rocenka/rocenka.indexnu_gov?mylang=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3D5C-F7EA-4A97-A7A0-3906A57B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693</Words>
  <Characters>4094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4778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Rybáček</dc:creator>
  <cp:lastModifiedBy>Václav Rybáček</cp:lastModifiedBy>
  <cp:revision>25</cp:revision>
  <dcterms:created xsi:type="dcterms:W3CDTF">2015-06-29T08:20:00Z</dcterms:created>
  <dcterms:modified xsi:type="dcterms:W3CDTF">2016-03-31T09:30:00Z</dcterms:modified>
</cp:coreProperties>
</file>