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B529CD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8</w:t>
      </w:r>
      <w:r w:rsidR="00DF3F77" w:rsidRPr="000533DD">
        <w:rPr>
          <w:lang w:val="cs-CZ"/>
        </w:rPr>
        <w:t>. 202</w:t>
      </w:r>
      <w:r w:rsidR="00DF3F77">
        <w:rPr>
          <w:lang w:val="cs-CZ"/>
        </w:rPr>
        <w:t>2</w:t>
      </w:r>
    </w:p>
    <w:p w:rsidR="00DF3F77" w:rsidRDefault="00163846" w:rsidP="00DF3F77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163846">
        <w:rPr>
          <w:color w:val="BD1B21"/>
          <w:sz w:val="32"/>
          <w:szCs w:val="32"/>
        </w:rPr>
        <w:t>Stavebn</w:t>
      </w:r>
      <w:r w:rsidR="003D5BA6">
        <w:rPr>
          <w:color w:val="BD1B21"/>
          <w:sz w:val="32"/>
          <w:szCs w:val="32"/>
        </w:rPr>
        <w:t>í produkce</w:t>
      </w:r>
      <w:r w:rsidRPr="00163846">
        <w:rPr>
          <w:color w:val="BD1B21"/>
          <w:sz w:val="32"/>
          <w:szCs w:val="32"/>
        </w:rPr>
        <w:t xml:space="preserve"> v 1. </w:t>
      </w:r>
      <w:r w:rsidR="00B529CD">
        <w:rPr>
          <w:color w:val="BD1B21"/>
          <w:sz w:val="32"/>
          <w:szCs w:val="32"/>
        </w:rPr>
        <w:t>pololetí</w:t>
      </w:r>
      <w:r w:rsidRPr="00163846">
        <w:rPr>
          <w:color w:val="BD1B21"/>
          <w:sz w:val="32"/>
          <w:szCs w:val="32"/>
        </w:rPr>
        <w:t xml:space="preserve"> 2022</w:t>
      </w:r>
      <w:r w:rsidR="003D5BA6">
        <w:rPr>
          <w:color w:val="BD1B21"/>
          <w:sz w:val="32"/>
          <w:szCs w:val="32"/>
        </w:rPr>
        <w:t xml:space="preserve"> vzrostla o </w:t>
      </w:r>
      <w:r w:rsidR="00B529CD">
        <w:rPr>
          <w:color w:val="BD1B21"/>
          <w:sz w:val="32"/>
          <w:szCs w:val="32"/>
        </w:rPr>
        <w:t>5,4</w:t>
      </w:r>
      <w:r w:rsidR="003D5BA6">
        <w:rPr>
          <w:color w:val="BD1B21"/>
          <w:sz w:val="32"/>
          <w:szCs w:val="32"/>
        </w:rPr>
        <w:t> %</w:t>
      </w:r>
      <w:r w:rsidR="00C732BE" w:rsidRPr="004C77F2">
        <w:rPr>
          <w:color w:val="BD1B21"/>
          <w:sz w:val="32"/>
          <w:szCs w:val="32"/>
        </w:rPr>
        <w:t xml:space="preserve"> </w:t>
      </w:r>
    </w:p>
    <w:p w:rsidR="00CB2FA3" w:rsidRPr="00C6404B" w:rsidRDefault="00CB2FA3" w:rsidP="00CB2FA3">
      <w:pPr>
        <w:pStyle w:val="Podtitulek"/>
      </w:pPr>
      <w:r>
        <w:t>Doplňující informace k RI Stavebnictví</w:t>
      </w:r>
      <w:r w:rsidRPr="00C6404B">
        <w:t xml:space="preserve"> – </w:t>
      </w:r>
      <w:r w:rsidR="00B529CD">
        <w:t>červen</w:t>
      </w:r>
      <w:r w:rsidRPr="00C6404B">
        <w:t xml:space="preserve"> 2022</w:t>
      </w:r>
    </w:p>
    <w:p w:rsidR="00E4190A" w:rsidRPr="0019372E" w:rsidRDefault="000B596C" w:rsidP="00E4190A">
      <w:pPr>
        <w:rPr>
          <w:b/>
          <w:bCs/>
        </w:rPr>
      </w:pPr>
      <w:r w:rsidRPr="000B596C">
        <w:rPr>
          <w:rFonts w:cs="Arial"/>
          <w:szCs w:val="20"/>
        </w:rPr>
        <w:t xml:space="preserve">Stavební produkce v 1. pololetí 2022 </w:t>
      </w:r>
      <w:r w:rsidRPr="000B596C">
        <w:rPr>
          <w:rFonts w:eastAsia="Times New Roman" w:cs="Arial"/>
          <w:color w:val="000000"/>
          <w:szCs w:val="20"/>
          <w:lang w:eastAsia="cs-CZ"/>
        </w:rPr>
        <w:t xml:space="preserve">byla o 5,4 % vyšší než loni a k růstu přispělo jak pozemní, tak inženýrské stavitelství. </w:t>
      </w:r>
      <w:r w:rsidRPr="000B596C">
        <w:rPr>
          <w:rFonts w:cs="Arial"/>
          <w:szCs w:val="20"/>
        </w:rPr>
        <w:t xml:space="preserve">Produkce v pozemním stavitelství se zvýšila o 5,9 % (příspěvek +4,4 procentního bodu), inženýrské stavitelství meziročně vzrostlo o 3,9 % (příspěvek + 1,0 p. b.). </w:t>
      </w:r>
      <w:r w:rsidRPr="000B596C">
        <w:rPr>
          <w:rFonts w:eastAsia="Times New Roman" w:cs="Arial"/>
          <w:color w:val="000000"/>
          <w:szCs w:val="20"/>
          <w:lang w:eastAsia="cs-CZ"/>
        </w:rPr>
        <w:t>Rychleji rostla produkce v 1. čtvrtletí (+9,9 %), když k</w:t>
      </w:r>
      <w:r w:rsidRPr="000B596C">
        <w:rPr>
          <w:rFonts w:cs="Arial"/>
          <w:szCs w:val="20"/>
        </w:rPr>
        <w:t> dobrému výsledku přispěla nízká srovnávací základna a příznivé počasí. Růst se odehrával v obou segmentech, rychleji rostlo inženýrské stavitelství. Naopak ve 2. čtvrtletí již produkce inženýrských staveb klesla pod úroveň loňského roku a v kladných číslech (+2,6 %) udrželo celkovou produkci pozemní stavitelství.</w:t>
      </w:r>
    </w:p>
    <w:p w:rsidR="00E4190A" w:rsidRPr="00B32CE7" w:rsidRDefault="00E4190A" w:rsidP="00E4190A">
      <w:pPr>
        <w:spacing w:before="120"/>
        <w:rPr>
          <w:rFonts w:cs="Arial"/>
          <w:b/>
          <w:bCs/>
          <w:szCs w:val="20"/>
        </w:rPr>
      </w:pPr>
      <w:r w:rsidRPr="00B32CE7">
        <w:t>Stavební podniky s 50 a více zaměstnanci v 1. </w:t>
      </w:r>
      <w:r w:rsidR="00B32CE7" w:rsidRPr="00B32CE7">
        <w:t>pololetí</w:t>
      </w:r>
      <w:r w:rsidRPr="00B32CE7">
        <w:t xml:space="preserve"> 2022 v tuzemsku uzavřely </w:t>
      </w:r>
      <w:r w:rsidR="00B32CE7" w:rsidRPr="00B32CE7">
        <w:t>36</w:t>
      </w:r>
      <w:r w:rsidRPr="00B32CE7">
        <w:t> </w:t>
      </w:r>
      <w:r w:rsidR="00B32CE7" w:rsidRPr="00B32CE7">
        <w:t>471</w:t>
      </w:r>
      <w:r w:rsidRPr="00B32CE7">
        <w:rPr>
          <w:b/>
        </w:rPr>
        <w:t xml:space="preserve"> </w:t>
      </w:r>
      <w:r w:rsidRPr="00B32CE7">
        <w:t>stavebních zakázek a</w:t>
      </w:r>
      <w:r w:rsidRPr="00B32CE7">
        <w:rPr>
          <w:bCs/>
        </w:rPr>
        <w:t xml:space="preserve"> </w:t>
      </w:r>
      <w:r w:rsidRPr="00B32CE7">
        <w:t xml:space="preserve">meziročně tento počet </w:t>
      </w:r>
      <w:r w:rsidR="00B32CE7" w:rsidRPr="00B32CE7">
        <w:t>klesl</w:t>
      </w:r>
      <w:r w:rsidRPr="00B32CE7">
        <w:t xml:space="preserve"> o </w:t>
      </w:r>
      <w:r w:rsidR="00B32CE7" w:rsidRPr="00B32CE7">
        <w:t>1,5</w:t>
      </w:r>
      <w:r w:rsidRPr="00B32CE7">
        <w:t xml:space="preserve"> %. </w:t>
      </w:r>
      <w:r w:rsidRPr="00B32CE7">
        <w:rPr>
          <w:bCs/>
        </w:rPr>
        <w:t>Celková hodnota</w:t>
      </w:r>
      <w:r w:rsidRPr="00B32CE7">
        <w:t xml:space="preserve"> těchto zakázek se meziročně zvýšila o </w:t>
      </w:r>
      <w:r w:rsidR="00B32CE7" w:rsidRPr="00B32CE7">
        <w:t>13,9</w:t>
      </w:r>
      <w:r w:rsidRPr="00B32CE7">
        <w:t xml:space="preserve"> % a činila </w:t>
      </w:r>
      <w:r w:rsidR="00B32CE7" w:rsidRPr="00B32CE7">
        <w:t>170,7</w:t>
      </w:r>
      <w:r w:rsidRPr="00B32CE7">
        <w:t> mld. Kč</w:t>
      </w:r>
      <w:r w:rsidR="006F1C51" w:rsidRPr="00B32CE7">
        <w:t xml:space="preserve"> běžných cen. </w:t>
      </w:r>
      <w:r w:rsidR="00CB4DEF">
        <w:t xml:space="preserve">V </w:t>
      </w:r>
      <w:r w:rsidR="00CB4DEF" w:rsidRPr="00CB4DEF">
        <w:t xml:space="preserve">pozemním stavitelství dosáhly nové stavební zakázky 68,9 mld. Kč a meziročně rostly o 6,8 %, inženýrské stavby zaznamenaly meziroční růst hodnoty zakázek o 19,3 % na 101,8 mld. Kč. </w:t>
      </w:r>
      <w:r w:rsidR="006F1C51" w:rsidRPr="00CB4DEF">
        <w:t xml:space="preserve">Vývoj v segmentech </w:t>
      </w:r>
      <w:r w:rsidR="003614E8">
        <w:t>a</w:t>
      </w:r>
      <w:r w:rsidR="00CB4DEF" w:rsidRPr="00CB4DEF">
        <w:t xml:space="preserve"> čtvrtletích </w:t>
      </w:r>
      <w:r w:rsidR="006F1C51" w:rsidRPr="00CB4DEF">
        <w:t>byl značně rozdílný</w:t>
      </w:r>
      <w:r w:rsidR="006F1C51" w:rsidRPr="003614E8">
        <w:t xml:space="preserve">. Zatímco </w:t>
      </w:r>
      <w:r w:rsidR="003614E8" w:rsidRPr="003614E8">
        <w:t>v 1. čtvrtletí</w:t>
      </w:r>
      <w:r w:rsidRPr="003614E8">
        <w:t> </w:t>
      </w:r>
      <w:r w:rsidR="003614E8" w:rsidRPr="003614E8">
        <w:t>táhly celkový růst nových zakázek pozemní stavby a</w:t>
      </w:r>
      <w:r w:rsidR="003614E8">
        <w:t> </w:t>
      </w:r>
      <w:r w:rsidR="003614E8" w:rsidRPr="003614E8">
        <w:t xml:space="preserve">inženýrské spíše stagnovaly, ve 2. čtvrtletí byl v </w:t>
      </w:r>
      <w:r w:rsidRPr="003614E8">
        <w:t xml:space="preserve">pozemním stavitelství </w:t>
      </w:r>
      <w:r w:rsidR="003614E8" w:rsidRPr="003614E8">
        <w:t>zaznamenán pokles hodnoty zakázek a růst byl podpořen inženýrským stavitelstvím.</w:t>
      </w:r>
      <w:r w:rsidRPr="003614E8">
        <w:t xml:space="preserve"> </w:t>
      </w:r>
      <w:r w:rsidRPr="00B32CE7">
        <w:t xml:space="preserve">Průměrná hodnota nově uzavřené stavební zakázky </w:t>
      </w:r>
      <w:r w:rsidR="003614E8">
        <w:t xml:space="preserve">v 1. pololetí </w:t>
      </w:r>
      <w:r w:rsidRPr="00B32CE7">
        <w:t>činila 4,</w:t>
      </w:r>
      <w:r w:rsidR="00B32CE7" w:rsidRPr="00B32CE7">
        <w:t>7</w:t>
      </w:r>
      <w:r w:rsidRPr="00B32CE7">
        <w:t> mil. Kč a byla meziročně o </w:t>
      </w:r>
      <w:r w:rsidR="00B32CE7" w:rsidRPr="00B32CE7">
        <w:t>15,6</w:t>
      </w:r>
      <w:r w:rsidRPr="00B32CE7">
        <w:t xml:space="preserve"> % vyšší. </w:t>
      </w:r>
    </w:p>
    <w:p w:rsidR="00BB0059" w:rsidRPr="00B904DD" w:rsidRDefault="002D6D37" w:rsidP="002D6D37">
      <w:pPr>
        <w:spacing w:before="120"/>
        <w:rPr>
          <w:b/>
        </w:rPr>
      </w:pPr>
      <w:r w:rsidRPr="00B904DD">
        <w:rPr>
          <w:rFonts w:cs="Arial"/>
          <w:bCs/>
          <w:szCs w:val="20"/>
        </w:rPr>
        <w:t xml:space="preserve">Stavební úřady </w:t>
      </w:r>
      <w:r w:rsidRPr="00B904DD">
        <w:t>v </w:t>
      </w:r>
      <w:r w:rsidR="0035535C" w:rsidRPr="00B904DD">
        <w:t>1</w:t>
      </w:r>
      <w:r w:rsidRPr="00B904DD">
        <w:t>. </w:t>
      </w:r>
      <w:r w:rsidR="00B904DD" w:rsidRPr="00B904DD">
        <w:t>pololetí</w:t>
      </w:r>
      <w:r w:rsidRPr="00B904DD">
        <w:t xml:space="preserve"> 202</w:t>
      </w:r>
      <w:r w:rsidR="0035535C" w:rsidRPr="00B904DD">
        <w:t>2</w:t>
      </w:r>
      <w:r w:rsidRPr="00B904DD">
        <w:t xml:space="preserve"> </w:t>
      </w:r>
      <w:r w:rsidR="004A4D7A" w:rsidRPr="00B904DD">
        <w:rPr>
          <w:rFonts w:cs="Arial"/>
          <w:bCs/>
          <w:szCs w:val="20"/>
        </w:rPr>
        <w:t xml:space="preserve">vydaly </w:t>
      </w:r>
      <w:r w:rsidR="00B904DD" w:rsidRPr="00B904DD">
        <w:rPr>
          <w:rFonts w:cs="Arial"/>
          <w:bCs/>
          <w:szCs w:val="20"/>
        </w:rPr>
        <w:t>44</w:t>
      </w:r>
      <w:r w:rsidR="00BB0059" w:rsidRPr="00B904DD">
        <w:rPr>
          <w:rFonts w:cs="Arial"/>
          <w:bCs/>
          <w:szCs w:val="20"/>
        </w:rPr>
        <w:t> </w:t>
      </w:r>
      <w:r w:rsidR="00B904DD" w:rsidRPr="00B904DD">
        <w:rPr>
          <w:rFonts w:cs="Arial"/>
          <w:bCs/>
          <w:szCs w:val="20"/>
        </w:rPr>
        <w:t>179</w:t>
      </w:r>
      <w:r w:rsidR="00BB0059" w:rsidRPr="00B904DD">
        <w:rPr>
          <w:rFonts w:cs="Arial"/>
          <w:bCs/>
          <w:szCs w:val="20"/>
        </w:rPr>
        <w:t xml:space="preserve"> </w:t>
      </w:r>
      <w:r w:rsidRPr="00B904DD">
        <w:rPr>
          <w:rFonts w:cs="Arial"/>
          <w:bCs/>
          <w:szCs w:val="20"/>
        </w:rPr>
        <w:t>stavebních povolení</w:t>
      </w:r>
      <w:r w:rsidR="00BB0059" w:rsidRPr="00B904DD">
        <w:rPr>
          <w:rFonts w:cs="Arial"/>
          <w:bCs/>
          <w:szCs w:val="20"/>
        </w:rPr>
        <w:t xml:space="preserve">, což </w:t>
      </w:r>
      <w:r w:rsidR="00F425D2" w:rsidRPr="00B904DD">
        <w:rPr>
          <w:rFonts w:cs="Arial"/>
          <w:bCs/>
          <w:szCs w:val="20"/>
        </w:rPr>
        <w:t xml:space="preserve">představovalo </w:t>
      </w:r>
      <w:r w:rsidR="007C3234" w:rsidRPr="00B904DD">
        <w:rPr>
          <w:rFonts w:cs="Arial"/>
          <w:bCs/>
          <w:szCs w:val="20"/>
        </w:rPr>
        <w:t xml:space="preserve">meziroční </w:t>
      </w:r>
      <w:r w:rsidR="00B904DD" w:rsidRPr="00B904DD">
        <w:rPr>
          <w:rFonts w:cs="Arial"/>
          <w:bCs/>
          <w:szCs w:val="20"/>
        </w:rPr>
        <w:t>pokles</w:t>
      </w:r>
      <w:r w:rsidR="00BB0059" w:rsidRPr="00B904DD">
        <w:rPr>
          <w:rFonts w:cs="Arial"/>
          <w:bCs/>
          <w:szCs w:val="20"/>
        </w:rPr>
        <w:t xml:space="preserve"> o</w:t>
      </w:r>
      <w:r w:rsidR="00F425D2" w:rsidRPr="00B904DD">
        <w:rPr>
          <w:rFonts w:cs="Arial"/>
          <w:bCs/>
          <w:szCs w:val="20"/>
        </w:rPr>
        <w:t> </w:t>
      </w:r>
      <w:r w:rsidR="00B904DD" w:rsidRPr="00B904DD">
        <w:rPr>
          <w:rFonts w:cs="Arial"/>
          <w:bCs/>
          <w:szCs w:val="20"/>
        </w:rPr>
        <w:t>0,9</w:t>
      </w:r>
      <w:r w:rsidR="00BB0059" w:rsidRPr="00B904DD">
        <w:rPr>
          <w:rFonts w:cs="Arial"/>
          <w:bCs/>
          <w:szCs w:val="20"/>
        </w:rPr>
        <w:t> %</w:t>
      </w:r>
      <w:r w:rsidR="007C3234" w:rsidRPr="00B904DD">
        <w:rPr>
          <w:rFonts w:cs="Arial"/>
          <w:szCs w:val="20"/>
        </w:rPr>
        <w:t xml:space="preserve">. </w:t>
      </w:r>
      <w:r w:rsidR="00BB0059" w:rsidRPr="00B904DD">
        <w:rPr>
          <w:rFonts w:cs="Arial"/>
          <w:szCs w:val="20"/>
        </w:rPr>
        <w:t xml:space="preserve">Počty povolení rostly na nové výstavbě, změny dokončených staveb </w:t>
      </w:r>
      <w:r w:rsidR="00B904DD" w:rsidRPr="00B904DD">
        <w:rPr>
          <w:rFonts w:cs="Arial"/>
          <w:szCs w:val="20"/>
        </w:rPr>
        <w:t>klesly</w:t>
      </w:r>
      <w:r w:rsidR="00BB0059" w:rsidRPr="00B904DD">
        <w:rPr>
          <w:rFonts w:cs="Arial"/>
          <w:szCs w:val="20"/>
        </w:rPr>
        <w:t>.</w:t>
      </w:r>
      <w:r w:rsidR="004A4D7A" w:rsidRPr="00B904DD">
        <w:rPr>
          <w:rFonts w:cs="Arial"/>
          <w:szCs w:val="20"/>
        </w:rPr>
        <w:t xml:space="preserve"> </w:t>
      </w:r>
      <w:r w:rsidR="00B904DD" w:rsidRPr="00B904DD">
        <w:rPr>
          <w:rFonts w:cs="Arial"/>
          <w:szCs w:val="20"/>
        </w:rPr>
        <w:t xml:space="preserve">Nejrychlejší růst zaznamenaly počty povolení na novou výstavbu bytových budov, naopak změny inženýrských staveb jsou hluboko pod úrovní loňského roku. </w:t>
      </w:r>
      <w:r w:rsidR="00CE43A4" w:rsidRPr="00B904DD">
        <w:rPr>
          <w:rFonts w:cs="Arial"/>
          <w:szCs w:val="20"/>
        </w:rPr>
        <w:t xml:space="preserve">Nejvíce povolení </w:t>
      </w:r>
      <w:r w:rsidR="00F425D2" w:rsidRPr="00B904DD">
        <w:rPr>
          <w:rFonts w:cs="Arial"/>
          <w:szCs w:val="20"/>
        </w:rPr>
        <w:t>bylo vydáno</w:t>
      </w:r>
      <w:r w:rsidR="00CE43A4" w:rsidRPr="00B904DD">
        <w:rPr>
          <w:rFonts w:cs="Arial"/>
          <w:szCs w:val="20"/>
        </w:rPr>
        <w:t xml:space="preserve"> ve Středočeském, Jihomoravské</w:t>
      </w:r>
      <w:r w:rsidR="007C3234" w:rsidRPr="00B904DD">
        <w:rPr>
          <w:rFonts w:cs="Arial"/>
          <w:szCs w:val="20"/>
        </w:rPr>
        <w:t>m</w:t>
      </w:r>
      <w:r w:rsidR="00CE43A4" w:rsidRPr="00B904DD">
        <w:rPr>
          <w:rFonts w:cs="Arial"/>
          <w:szCs w:val="20"/>
        </w:rPr>
        <w:t xml:space="preserve"> a Moravskoslezském kraji.</w:t>
      </w:r>
      <w:r w:rsidR="0019734E" w:rsidRPr="00B904DD">
        <w:rPr>
          <w:rFonts w:cs="Arial"/>
          <w:szCs w:val="20"/>
        </w:rPr>
        <w:t xml:space="preserve"> </w:t>
      </w:r>
    </w:p>
    <w:p w:rsidR="002D6D37" w:rsidRPr="005E0E61" w:rsidRDefault="002D6D37" w:rsidP="002D6D37">
      <w:pPr>
        <w:spacing w:before="120"/>
      </w:pPr>
      <w:r w:rsidRPr="005E0E61">
        <w:t xml:space="preserve">Orientační hodnota </w:t>
      </w:r>
      <w:r w:rsidR="00BB0059" w:rsidRPr="005E0E61">
        <w:t>povolených</w:t>
      </w:r>
      <w:r w:rsidRPr="005E0E61">
        <w:rPr>
          <w:bCs/>
        </w:rPr>
        <w:t xml:space="preserve"> staveb</w:t>
      </w:r>
      <w:r w:rsidRPr="005E0E61">
        <w:t xml:space="preserve"> </w:t>
      </w:r>
      <w:r w:rsidR="00BB0059" w:rsidRPr="005E0E61">
        <w:t xml:space="preserve">dosáhla </w:t>
      </w:r>
      <w:r w:rsidR="005E0E61">
        <w:t xml:space="preserve">v 1. pololetí </w:t>
      </w:r>
      <w:r w:rsidR="005E0E61" w:rsidRPr="005E0E61">
        <w:t>269,1</w:t>
      </w:r>
      <w:r w:rsidR="00BB0059" w:rsidRPr="005E0E61">
        <w:t> mld. Kč a meziročně</w:t>
      </w:r>
      <w:r w:rsidR="00BB0059" w:rsidRPr="005E0E61">
        <w:rPr>
          <w:rFonts w:cs="Arial"/>
          <w:szCs w:val="20"/>
        </w:rPr>
        <w:t xml:space="preserve"> </w:t>
      </w:r>
      <w:r w:rsidR="004B5FA7" w:rsidRPr="005E0E61">
        <w:rPr>
          <w:rFonts w:cs="Arial"/>
          <w:szCs w:val="20"/>
        </w:rPr>
        <w:t>vzrostla</w:t>
      </w:r>
      <w:r w:rsidR="00BB0059" w:rsidRPr="005E0E61">
        <w:t xml:space="preserve"> o </w:t>
      </w:r>
      <w:r w:rsidR="005E0E61" w:rsidRPr="005E0E61">
        <w:t>20,7</w:t>
      </w:r>
      <w:r w:rsidR="00BB0059" w:rsidRPr="005E0E61">
        <w:t xml:space="preserve"> %. Tahounem růstu byla nová výstavba, změny dokončených staveb </w:t>
      </w:r>
      <w:r w:rsidR="005E0E61" w:rsidRPr="005E0E61">
        <w:t xml:space="preserve">dohnaly desetinový výpadek z 1. čtvrtletí a </w:t>
      </w:r>
      <w:r w:rsidR="00BB0059" w:rsidRPr="005E0E61">
        <w:t xml:space="preserve">zaznamenaly </w:t>
      </w:r>
      <w:r w:rsidR="005E0E61" w:rsidRPr="005E0E61">
        <w:t>růst o 5,2 %.</w:t>
      </w:r>
      <w:r w:rsidR="005E0E61">
        <w:t xml:space="preserve"> </w:t>
      </w:r>
      <w:r w:rsidR="00627D9F" w:rsidRPr="0033432E">
        <w:rPr>
          <w:rFonts w:cs="Arial"/>
          <w:szCs w:val="20"/>
        </w:rPr>
        <w:t xml:space="preserve">Z kategorií výstavby k růstu nejvíce přispěla </w:t>
      </w:r>
      <w:r w:rsidR="00021A46" w:rsidRPr="0033432E">
        <w:rPr>
          <w:rFonts w:cs="Arial"/>
          <w:szCs w:val="20"/>
        </w:rPr>
        <w:t xml:space="preserve">nová </w:t>
      </w:r>
      <w:r w:rsidR="00627D9F" w:rsidRPr="0033432E">
        <w:rPr>
          <w:rFonts w:cs="Arial"/>
          <w:szCs w:val="20"/>
        </w:rPr>
        <w:t>výstavba bytových budov</w:t>
      </w:r>
      <w:r w:rsidR="002D0710" w:rsidRPr="0033432E">
        <w:t xml:space="preserve">, klesly </w:t>
      </w:r>
      <w:r w:rsidR="00021A46" w:rsidRPr="0033432E">
        <w:t>pouze</w:t>
      </w:r>
      <w:r w:rsidR="00B1016E" w:rsidRPr="0033432E">
        <w:t xml:space="preserve"> změny dokončených nebytových budov.</w:t>
      </w:r>
      <w:r w:rsidR="002D0710" w:rsidRPr="0033432E">
        <w:t xml:space="preserve"> </w:t>
      </w:r>
      <w:r w:rsidR="00F425D2" w:rsidRPr="0033432E">
        <w:t>Poměrně vysoký růst hodnoty byl také ovlivněn růstem cen stavebních prací. Pokud bychom očekávané náklady přepočítal</w:t>
      </w:r>
      <w:r w:rsidR="007C3234" w:rsidRPr="0033432E">
        <w:t>i</w:t>
      </w:r>
      <w:r w:rsidR="00F425D2" w:rsidRPr="0033432E">
        <w:t xml:space="preserve"> do stálých cen, dostaneme meziroční růst o </w:t>
      </w:r>
      <w:r w:rsidR="0033432E" w:rsidRPr="0033432E">
        <w:t>7,6</w:t>
      </w:r>
      <w:r w:rsidR="00F425D2" w:rsidRPr="0033432E">
        <w:t> %.</w:t>
      </w:r>
      <w:r w:rsidR="007C3234" w:rsidRPr="0033432E">
        <w:t xml:space="preserve"> </w:t>
      </w:r>
      <w:r w:rsidR="00CE43A4" w:rsidRPr="005E0E61">
        <w:t>Vyšší investice se plánují ve Středočeském kraji, Praze</w:t>
      </w:r>
      <w:r w:rsidR="007C3234" w:rsidRPr="005E0E61">
        <w:t xml:space="preserve"> a</w:t>
      </w:r>
      <w:r w:rsidR="00CE43A4" w:rsidRPr="005E0E61">
        <w:t xml:space="preserve"> v Jihomoravském kraji.</w:t>
      </w:r>
    </w:p>
    <w:p w:rsidR="002D6D37" w:rsidRPr="00D77069" w:rsidRDefault="00E609A3" w:rsidP="002D6D37">
      <w:pPr>
        <w:spacing w:before="120"/>
      </w:pPr>
      <w:r w:rsidRPr="00D77069">
        <w:t>V</w:t>
      </w:r>
      <w:r w:rsidR="002D6D37" w:rsidRPr="00D77069">
        <w:t> </w:t>
      </w:r>
      <w:r w:rsidR="0035535C" w:rsidRPr="00D77069">
        <w:t>1</w:t>
      </w:r>
      <w:r w:rsidR="002D6D37" w:rsidRPr="00D77069">
        <w:t>. </w:t>
      </w:r>
      <w:r w:rsidR="007E3CE2" w:rsidRPr="00D77069">
        <w:t>pololetí</w:t>
      </w:r>
      <w:r w:rsidR="002D6D37" w:rsidRPr="00D77069">
        <w:t xml:space="preserve"> 202</w:t>
      </w:r>
      <w:r w:rsidR="0035535C" w:rsidRPr="00D77069">
        <w:t>2</w:t>
      </w:r>
      <w:r w:rsidR="002D6D37" w:rsidRPr="00D77069">
        <w:t xml:space="preserve"> </w:t>
      </w:r>
      <w:r w:rsidRPr="00D77069">
        <w:t xml:space="preserve">byla zahájena výstavba </w:t>
      </w:r>
      <w:r w:rsidR="007E3CE2" w:rsidRPr="00D77069">
        <w:t>22</w:t>
      </w:r>
      <w:r w:rsidRPr="00D77069">
        <w:t> </w:t>
      </w:r>
      <w:r w:rsidR="007E3CE2" w:rsidRPr="00D77069">
        <w:t>721</w:t>
      </w:r>
      <w:r w:rsidRPr="00D77069">
        <w:t xml:space="preserve"> bytů a tento počet </w:t>
      </w:r>
      <w:r w:rsidR="002D6D37" w:rsidRPr="00D77069">
        <w:t xml:space="preserve">meziročně </w:t>
      </w:r>
      <w:r w:rsidR="00FE2775" w:rsidRPr="00D77069">
        <w:t>rostl</w:t>
      </w:r>
      <w:r w:rsidRPr="00D77069">
        <w:t xml:space="preserve"> o </w:t>
      </w:r>
      <w:r w:rsidR="007E3CE2" w:rsidRPr="00D77069">
        <w:t>téměř desetinu</w:t>
      </w:r>
      <w:r w:rsidRPr="00D77069">
        <w:t xml:space="preserve"> </w:t>
      </w:r>
      <w:r w:rsidR="00FE2775" w:rsidRPr="00D77069">
        <w:t>(+</w:t>
      </w:r>
      <w:r w:rsidR="007E3CE2" w:rsidRPr="00D77069">
        <w:t>9,7</w:t>
      </w:r>
      <w:r w:rsidR="002B4BF4" w:rsidRPr="00D77069">
        <w:t> </w:t>
      </w:r>
      <w:r w:rsidR="00FE2775" w:rsidRPr="00D77069">
        <w:t>%)</w:t>
      </w:r>
      <w:r w:rsidR="002D6D37" w:rsidRPr="00D77069">
        <w:t xml:space="preserve">. </w:t>
      </w:r>
      <w:r w:rsidRPr="00D77069">
        <w:t>K</w:t>
      </w:r>
      <w:r w:rsidRPr="00D77069">
        <w:rPr>
          <w:rFonts w:cs="Arial"/>
          <w:szCs w:val="20"/>
        </w:rPr>
        <w:t xml:space="preserve"> </w:t>
      </w:r>
      <w:r w:rsidR="003E6F32">
        <w:rPr>
          <w:rFonts w:cs="Arial"/>
          <w:szCs w:val="20"/>
        </w:rPr>
        <w:t>růstu</w:t>
      </w:r>
      <w:r w:rsidRPr="00D77069">
        <w:rPr>
          <w:rFonts w:cs="Arial"/>
          <w:szCs w:val="20"/>
        </w:rPr>
        <w:t xml:space="preserve"> přispěl</w:t>
      </w:r>
      <w:r w:rsidR="007E3CE2" w:rsidRPr="00D77069">
        <w:rPr>
          <w:rFonts w:cs="Arial"/>
          <w:szCs w:val="20"/>
        </w:rPr>
        <w:t>y výsledky z 1. čtvrtletí ovlivněné</w:t>
      </w:r>
      <w:r w:rsidRPr="00D77069">
        <w:rPr>
          <w:rFonts w:cs="Arial"/>
          <w:szCs w:val="20"/>
        </w:rPr>
        <w:t xml:space="preserve"> nižší základn</w:t>
      </w:r>
      <w:r w:rsidR="007E3CE2" w:rsidRPr="00D77069">
        <w:rPr>
          <w:rFonts w:cs="Arial"/>
          <w:szCs w:val="20"/>
        </w:rPr>
        <w:t>ou</w:t>
      </w:r>
      <w:r w:rsidRPr="00D77069">
        <w:rPr>
          <w:rFonts w:cs="Arial"/>
          <w:szCs w:val="20"/>
        </w:rPr>
        <w:t xml:space="preserve"> z</w:t>
      </w:r>
      <w:r w:rsidR="007E3CE2" w:rsidRPr="00D77069">
        <w:rPr>
          <w:rFonts w:cs="Arial"/>
          <w:szCs w:val="20"/>
        </w:rPr>
        <w:t>e začátku</w:t>
      </w:r>
      <w:r w:rsidRPr="00D77069">
        <w:rPr>
          <w:rFonts w:cs="Arial"/>
          <w:szCs w:val="20"/>
        </w:rPr>
        <w:t xml:space="preserve"> loňského, </w:t>
      </w:r>
      <w:proofErr w:type="spellStart"/>
      <w:r w:rsidRPr="00D77069">
        <w:rPr>
          <w:rFonts w:cs="Arial"/>
          <w:szCs w:val="20"/>
        </w:rPr>
        <w:t>covidem</w:t>
      </w:r>
      <w:proofErr w:type="spellEnd"/>
      <w:r w:rsidRPr="00D77069">
        <w:rPr>
          <w:rFonts w:cs="Arial"/>
          <w:szCs w:val="20"/>
        </w:rPr>
        <w:t xml:space="preserve"> poznamenaného roku. Počty zahájených bytů byly </w:t>
      </w:r>
      <w:r w:rsidR="007E3CE2" w:rsidRPr="00D77069">
        <w:rPr>
          <w:rFonts w:cs="Arial"/>
          <w:szCs w:val="20"/>
        </w:rPr>
        <w:t xml:space="preserve">meziročně </w:t>
      </w:r>
      <w:r w:rsidRPr="00D77069">
        <w:rPr>
          <w:rFonts w:cs="Arial"/>
          <w:szCs w:val="20"/>
        </w:rPr>
        <w:t>vyšší ve všech kategoriích</w:t>
      </w:r>
      <w:r w:rsidR="002B4BF4" w:rsidRPr="00D77069">
        <w:rPr>
          <w:rFonts w:cs="Arial"/>
          <w:szCs w:val="20"/>
        </w:rPr>
        <w:t>. V</w:t>
      </w:r>
      <w:r w:rsidR="004619C6" w:rsidRPr="00D77069">
        <w:rPr>
          <w:rFonts w:cs="Arial"/>
          <w:szCs w:val="20"/>
        </w:rPr>
        <w:t xml:space="preserve"> rodinn</w:t>
      </w:r>
      <w:r w:rsidR="002D6D37" w:rsidRPr="00D77069">
        <w:t xml:space="preserve">ých domech </w:t>
      </w:r>
      <w:r w:rsidR="002D6D37" w:rsidRPr="00D77069">
        <w:rPr>
          <w:rFonts w:cs="Arial"/>
          <w:szCs w:val="20"/>
        </w:rPr>
        <w:t>rostl</w:t>
      </w:r>
      <w:r w:rsidR="002B4BF4" w:rsidRPr="00D77069">
        <w:rPr>
          <w:rFonts w:cs="Arial"/>
          <w:szCs w:val="20"/>
        </w:rPr>
        <w:t>y</w:t>
      </w:r>
      <w:r w:rsidR="002D6D37" w:rsidRPr="00D77069">
        <w:t xml:space="preserve"> o</w:t>
      </w:r>
      <w:r w:rsidR="00FE2775" w:rsidRPr="00D77069">
        <w:t xml:space="preserve"> více než </w:t>
      </w:r>
      <w:r w:rsidR="007E3CE2" w:rsidRPr="00D77069">
        <w:t>desetinu</w:t>
      </w:r>
      <w:r w:rsidR="002B4BF4" w:rsidRPr="00D77069">
        <w:t xml:space="preserve"> (+</w:t>
      </w:r>
      <w:r w:rsidR="00D77069" w:rsidRPr="00D77069">
        <w:t>13,8</w:t>
      </w:r>
      <w:r w:rsidR="002D6D37" w:rsidRPr="00D77069">
        <w:t> %</w:t>
      </w:r>
      <w:r w:rsidR="00892217" w:rsidRPr="00D77069">
        <w:t>)</w:t>
      </w:r>
      <w:r w:rsidR="002B4BF4" w:rsidRPr="00D77069">
        <w:t>, u</w:t>
      </w:r>
      <w:r w:rsidR="002D6D37" w:rsidRPr="00D77069">
        <w:t xml:space="preserve"> bytů v bytových domech byl zaznamenán růst o </w:t>
      </w:r>
      <w:r w:rsidR="00D77069" w:rsidRPr="00D77069">
        <w:t>4,3</w:t>
      </w:r>
      <w:r w:rsidR="002D6D37" w:rsidRPr="00D77069">
        <w:t xml:space="preserve"> %. </w:t>
      </w:r>
      <w:r w:rsidR="004D2EFE" w:rsidRPr="00D77069">
        <w:t xml:space="preserve">Nejvíce </w:t>
      </w:r>
      <w:r w:rsidR="00A56BCA" w:rsidRPr="00D77069">
        <w:t xml:space="preserve">bytů </w:t>
      </w:r>
      <w:r w:rsidR="004D2EFE" w:rsidRPr="00D77069">
        <w:t xml:space="preserve">se zahájilo ve Středočeském kraji </w:t>
      </w:r>
      <w:r w:rsidR="00A56BCA" w:rsidRPr="00D77069">
        <w:t xml:space="preserve">(převážně </w:t>
      </w:r>
      <w:r w:rsidR="004D2EFE" w:rsidRPr="00D77069">
        <w:t>rodinné domy</w:t>
      </w:r>
      <w:r w:rsidR="00A56BCA" w:rsidRPr="00D77069">
        <w:t>)</w:t>
      </w:r>
      <w:r w:rsidR="004D2EFE" w:rsidRPr="00D77069">
        <w:t xml:space="preserve">, v Praze </w:t>
      </w:r>
      <w:r w:rsidR="00A56BCA" w:rsidRPr="00D77069">
        <w:t>(</w:t>
      </w:r>
      <w:r w:rsidR="004D2EFE" w:rsidRPr="00D77069">
        <w:t>bytov</w:t>
      </w:r>
      <w:r w:rsidR="00A56BCA" w:rsidRPr="00D77069">
        <w:t>é domy) a</w:t>
      </w:r>
      <w:r w:rsidR="00D62649" w:rsidRPr="00D77069">
        <w:t xml:space="preserve"> v Jihomoravském kraji, kde se zahajovaly domy bytové i rodinné.</w:t>
      </w:r>
    </w:p>
    <w:p w:rsidR="002D6D37" w:rsidRPr="005670BB" w:rsidRDefault="00D77069" w:rsidP="002D6D37">
      <w:pPr>
        <w:spacing w:before="120"/>
      </w:pPr>
      <w:r w:rsidRPr="005670BB">
        <w:rPr>
          <w:bCs/>
        </w:rPr>
        <w:lastRenderedPageBreak/>
        <w:t>V 1. pololetí bylo dokončeno 17</w:t>
      </w:r>
      <w:r w:rsidR="00875825" w:rsidRPr="005670BB">
        <w:t> </w:t>
      </w:r>
      <w:r w:rsidRPr="005670BB">
        <w:t>403</w:t>
      </w:r>
      <w:r w:rsidR="00875825" w:rsidRPr="005670BB">
        <w:t> bytů a jejich p</w:t>
      </w:r>
      <w:r w:rsidR="002D6D37" w:rsidRPr="005670BB">
        <w:rPr>
          <w:bCs/>
        </w:rPr>
        <w:t xml:space="preserve">očet </w:t>
      </w:r>
      <w:r w:rsidR="00871F42" w:rsidRPr="005670BB">
        <w:t xml:space="preserve">meziročně </w:t>
      </w:r>
      <w:r w:rsidRPr="005670BB">
        <w:t>mírně vzrostl</w:t>
      </w:r>
      <w:r w:rsidR="00875825" w:rsidRPr="005670BB">
        <w:t xml:space="preserve"> (+</w:t>
      </w:r>
      <w:r w:rsidRPr="005670BB">
        <w:t>2</w:t>
      </w:r>
      <w:r w:rsidR="002D6D37" w:rsidRPr="005670BB">
        <w:t>,</w:t>
      </w:r>
      <w:r w:rsidR="00871F42" w:rsidRPr="005670BB">
        <w:t>6</w:t>
      </w:r>
      <w:r w:rsidR="00875825" w:rsidRPr="005670BB">
        <w:t> </w:t>
      </w:r>
      <w:r w:rsidR="002D6D37" w:rsidRPr="005670BB">
        <w:t>%</w:t>
      </w:r>
      <w:r w:rsidR="00875825" w:rsidRPr="005670BB">
        <w:t>).</w:t>
      </w:r>
      <w:r w:rsidR="002D6D37" w:rsidRPr="005670BB">
        <w:t xml:space="preserve"> </w:t>
      </w:r>
      <w:r w:rsidR="005670BB" w:rsidRPr="005670BB">
        <w:t xml:space="preserve">V růstu byly obě hlavní kategorie výstavby, ale vývoj byl rozdílný. </w:t>
      </w:r>
      <w:r w:rsidR="006C6692" w:rsidRPr="005670BB">
        <w:t xml:space="preserve">Zatímco </w:t>
      </w:r>
      <w:r w:rsidRPr="005670BB">
        <w:t xml:space="preserve">v 1. čtvrtletí se zdálo, že </w:t>
      </w:r>
      <w:r w:rsidR="006C6692" w:rsidRPr="005670BB">
        <w:t>dokončování rodinných domů se podařilo po nepřesvědčivých výsledcích z loňského roku nastartovat</w:t>
      </w:r>
      <w:r w:rsidRPr="005670BB">
        <w:t xml:space="preserve"> a </w:t>
      </w:r>
      <w:r w:rsidR="006C6692" w:rsidRPr="005670BB">
        <w:t xml:space="preserve">bytové domy </w:t>
      </w:r>
      <w:r w:rsidRPr="005670BB">
        <w:t>stagnovaly, ve 2</w:t>
      </w:r>
      <w:r w:rsidR="005670BB" w:rsidRPr="005670BB">
        <w:t>. </w:t>
      </w:r>
      <w:r w:rsidRPr="005670BB">
        <w:t xml:space="preserve">čtvrtletí byla situace opačná. </w:t>
      </w:r>
      <w:r w:rsidR="006C6692" w:rsidRPr="005670BB">
        <w:t xml:space="preserve"> </w:t>
      </w:r>
      <w:r w:rsidR="005670BB" w:rsidRPr="005670BB">
        <w:rPr>
          <w:rFonts w:cs="Arial"/>
          <w:szCs w:val="20"/>
        </w:rPr>
        <w:t>Počet dokončených bytů rostl díky kategorii bytových domů</w:t>
      </w:r>
      <w:r w:rsidR="001D24A6">
        <w:rPr>
          <w:rFonts w:cs="Arial"/>
          <w:szCs w:val="20"/>
        </w:rPr>
        <w:t>, ale</w:t>
      </w:r>
      <w:bookmarkStart w:id="0" w:name="_GoBack"/>
      <w:bookmarkEnd w:id="0"/>
      <w:r w:rsidR="005670BB" w:rsidRPr="005670BB">
        <w:rPr>
          <w:rFonts w:cs="Arial"/>
          <w:szCs w:val="20"/>
        </w:rPr>
        <w:t xml:space="preserve"> dokončování rodinných domů vázlo také z důvodu </w:t>
      </w:r>
      <w:r w:rsidR="005670BB" w:rsidRPr="005670BB">
        <w:rPr>
          <w:rFonts w:eastAsia="Times New Roman" w:cs="Arial"/>
          <w:color w:val="000000"/>
          <w:szCs w:val="20"/>
          <w:lang w:eastAsia="cs-CZ"/>
        </w:rPr>
        <w:t xml:space="preserve">růstu cen materiálů a nedostatku stavebních kapacit. </w:t>
      </w:r>
      <w:r w:rsidR="00AB75F1" w:rsidRPr="005670BB">
        <w:t>Nejvíce se dokonč</w:t>
      </w:r>
      <w:r w:rsidR="006C6692" w:rsidRPr="005670BB">
        <w:t>ovalo</w:t>
      </w:r>
      <w:r w:rsidR="00AB75F1" w:rsidRPr="005670BB">
        <w:t xml:space="preserve"> ve</w:t>
      </w:r>
      <w:r w:rsidR="006C6692" w:rsidRPr="005670BB">
        <w:t> </w:t>
      </w:r>
      <w:r w:rsidR="00AB75F1" w:rsidRPr="005670BB">
        <w:t>Středočeském kraji a Praze.</w:t>
      </w:r>
    </w:p>
    <w:p w:rsidR="00E4190A" w:rsidRPr="00715E5B" w:rsidRDefault="00E4190A" w:rsidP="00E4190A">
      <w:pPr>
        <w:spacing w:before="120"/>
        <w:rPr>
          <w:color w:val="FF0000"/>
        </w:rPr>
      </w:pPr>
      <w:r w:rsidRPr="005544AB">
        <w:rPr>
          <w:bCs/>
        </w:rPr>
        <w:t>Průměrný evidenční počet zaměstnanců</w:t>
      </w:r>
      <w:r w:rsidRPr="005544AB">
        <w:rPr>
          <w:rFonts w:cs="Arial"/>
          <w:bCs/>
          <w:szCs w:val="20"/>
          <w:vertAlign w:val="superscript"/>
        </w:rPr>
        <w:t xml:space="preserve"> </w:t>
      </w:r>
      <w:r w:rsidRPr="005544AB">
        <w:t>ve stavebnictví se v 1. </w:t>
      </w:r>
      <w:r w:rsidR="005544AB">
        <w:t>pololetí</w:t>
      </w:r>
      <w:r w:rsidRPr="005544AB">
        <w:t xml:space="preserve"> 2022 meziročně</w:t>
      </w:r>
      <w:r w:rsidRPr="005544AB">
        <w:rPr>
          <w:bCs/>
        </w:rPr>
        <w:t xml:space="preserve"> </w:t>
      </w:r>
      <w:r w:rsidRPr="005544AB">
        <w:t>zvýšil o 1,</w:t>
      </w:r>
      <w:r w:rsidR="005544AB">
        <w:t>0</w:t>
      </w:r>
      <w:r w:rsidRPr="005544AB">
        <w:t xml:space="preserve"> %. Průměrná hrubá měsíční nominální mzda těchto zaměstnanců </w:t>
      </w:r>
      <w:r w:rsidR="005544AB">
        <w:t>meziročně vzrostla o 8,3 </w:t>
      </w:r>
      <w:r w:rsidRPr="005544AB">
        <w:t>%.</w:t>
      </w:r>
    </w:p>
    <w:p w:rsidR="002D6D37" w:rsidRDefault="002D6D37" w:rsidP="0087123F">
      <w:pPr>
        <w:spacing w:before="120"/>
        <w:rPr>
          <w:rFonts w:cs="Arial"/>
          <w:szCs w:val="20"/>
        </w:rPr>
      </w:pPr>
    </w:p>
    <w:p w:rsidR="0087123F" w:rsidRPr="00627B07" w:rsidRDefault="0087123F" w:rsidP="0087123F">
      <w:pPr>
        <w:pStyle w:val="Poznmky0"/>
        <w:pBdr>
          <w:top w:val="single" w:sz="4" w:space="1" w:color="auto"/>
        </w:pBdr>
        <w:spacing w:before="120" w:line="247" w:lineRule="auto"/>
      </w:pPr>
      <w:r w:rsidRPr="00627B07">
        <w:t>Poznámky:</w:t>
      </w:r>
    </w:p>
    <w:p w:rsidR="0087123F" w:rsidRPr="0087123F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 w:val="0"/>
        </w:rPr>
      </w:pPr>
      <w:r w:rsidRPr="00627B07">
        <w:rPr>
          <w:iCs/>
        </w:rPr>
        <w:t xml:space="preserve">Meziroční vývoj stavební produkce je publikován po očištění o vliv počtu pracovních dnů. Meziměsíční, popř. mezičtvrtletní tempa jsou očištěna také o vliv sezónnosti. 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7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8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9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0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1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sectPr w:rsidR="00A848D0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14" w:rsidRDefault="00C63B14" w:rsidP="00BA6370">
      <w:r>
        <w:separator/>
      </w:r>
    </w:p>
  </w:endnote>
  <w:endnote w:type="continuationSeparator" w:id="0">
    <w:p w:rsidR="00C63B14" w:rsidRDefault="00C63B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D24A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D24A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14" w:rsidRDefault="00C63B14" w:rsidP="00BA6370">
      <w:r>
        <w:separator/>
      </w:r>
    </w:p>
  </w:footnote>
  <w:footnote w:type="continuationSeparator" w:id="0">
    <w:p w:rsidR="00C63B14" w:rsidRDefault="00C63B1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11884"/>
    <w:rsid w:val="00021A46"/>
    <w:rsid w:val="00043BF4"/>
    <w:rsid w:val="00082748"/>
    <w:rsid w:val="000843A5"/>
    <w:rsid w:val="000910DA"/>
    <w:rsid w:val="00091AEC"/>
    <w:rsid w:val="00096D6C"/>
    <w:rsid w:val="000A4237"/>
    <w:rsid w:val="000B596C"/>
    <w:rsid w:val="000B6F63"/>
    <w:rsid w:val="000D093F"/>
    <w:rsid w:val="000E43CC"/>
    <w:rsid w:val="00113796"/>
    <w:rsid w:val="001215F4"/>
    <w:rsid w:val="001404AB"/>
    <w:rsid w:val="00150AC2"/>
    <w:rsid w:val="001511B3"/>
    <w:rsid w:val="00163846"/>
    <w:rsid w:val="001666FC"/>
    <w:rsid w:val="0017231D"/>
    <w:rsid w:val="001810DC"/>
    <w:rsid w:val="0019045F"/>
    <w:rsid w:val="0019734E"/>
    <w:rsid w:val="001B607F"/>
    <w:rsid w:val="001D24A6"/>
    <w:rsid w:val="001D369A"/>
    <w:rsid w:val="001E4C2C"/>
    <w:rsid w:val="001F08B3"/>
    <w:rsid w:val="001F2FE0"/>
    <w:rsid w:val="00200854"/>
    <w:rsid w:val="002070FB"/>
    <w:rsid w:val="00213729"/>
    <w:rsid w:val="00222616"/>
    <w:rsid w:val="0023558B"/>
    <w:rsid w:val="002406FA"/>
    <w:rsid w:val="0026107B"/>
    <w:rsid w:val="002647EB"/>
    <w:rsid w:val="00275DF8"/>
    <w:rsid w:val="00285776"/>
    <w:rsid w:val="002A1B3D"/>
    <w:rsid w:val="002B2E47"/>
    <w:rsid w:val="002B4BF4"/>
    <w:rsid w:val="002D0710"/>
    <w:rsid w:val="002D6D37"/>
    <w:rsid w:val="002D7F4F"/>
    <w:rsid w:val="00304A1E"/>
    <w:rsid w:val="00324270"/>
    <w:rsid w:val="003301A3"/>
    <w:rsid w:val="003330A5"/>
    <w:rsid w:val="0033432E"/>
    <w:rsid w:val="0035535C"/>
    <w:rsid w:val="003614E8"/>
    <w:rsid w:val="0036777B"/>
    <w:rsid w:val="00375350"/>
    <w:rsid w:val="0038282A"/>
    <w:rsid w:val="00397580"/>
    <w:rsid w:val="003A45C8"/>
    <w:rsid w:val="003C2DCF"/>
    <w:rsid w:val="003C4F7B"/>
    <w:rsid w:val="003C7FE7"/>
    <w:rsid w:val="003D043D"/>
    <w:rsid w:val="003D0499"/>
    <w:rsid w:val="003D3576"/>
    <w:rsid w:val="003D5BA6"/>
    <w:rsid w:val="003E6F32"/>
    <w:rsid w:val="003F526A"/>
    <w:rsid w:val="00405244"/>
    <w:rsid w:val="00406349"/>
    <w:rsid w:val="004154C7"/>
    <w:rsid w:val="004436EE"/>
    <w:rsid w:val="0045547F"/>
    <w:rsid w:val="004619C6"/>
    <w:rsid w:val="00466708"/>
    <w:rsid w:val="00471DEF"/>
    <w:rsid w:val="00472310"/>
    <w:rsid w:val="004920AD"/>
    <w:rsid w:val="004A4D7A"/>
    <w:rsid w:val="004B3BAA"/>
    <w:rsid w:val="004B5FA7"/>
    <w:rsid w:val="004C703A"/>
    <w:rsid w:val="004C77F2"/>
    <w:rsid w:val="004D05B3"/>
    <w:rsid w:val="004D2EFE"/>
    <w:rsid w:val="004D392D"/>
    <w:rsid w:val="004E479E"/>
    <w:rsid w:val="004F654C"/>
    <w:rsid w:val="004F686C"/>
    <w:rsid w:val="004F78E6"/>
    <w:rsid w:val="0050420E"/>
    <w:rsid w:val="00512D99"/>
    <w:rsid w:val="00531DBB"/>
    <w:rsid w:val="005374E1"/>
    <w:rsid w:val="0054719A"/>
    <w:rsid w:val="005544AB"/>
    <w:rsid w:val="00561715"/>
    <w:rsid w:val="005670BB"/>
    <w:rsid w:val="00573994"/>
    <w:rsid w:val="005752E1"/>
    <w:rsid w:val="00581422"/>
    <w:rsid w:val="005840DD"/>
    <w:rsid w:val="00597A21"/>
    <w:rsid w:val="005B0A4B"/>
    <w:rsid w:val="005C2942"/>
    <w:rsid w:val="005E0E61"/>
    <w:rsid w:val="005F79FB"/>
    <w:rsid w:val="00604406"/>
    <w:rsid w:val="00605F4A"/>
    <w:rsid w:val="00607822"/>
    <w:rsid w:val="006103AA"/>
    <w:rsid w:val="00613BBF"/>
    <w:rsid w:val="00617698"/>
    <w:rsid w:val="00622B80"/>
    <w:rsid w:val="00627D9F"/>
    <w:rsid w:val="006327C3"/>
    <w:rsid w:val="00635600"/>
    <w:rsid w:val="0064139A"/>
    <w:rsid w:val="00692211"/>
    <w:rsid w:val="006931CF"/>
    <w:rsid w:val="006C6692"/>
    <w:rsid w:val="006D21EB"/>
    <w:rsid w:val="006E024F"/>
    <w:rsid w:val="006E4E81"/>
    <w:rsid w:val="006E6A33"/>
    <w:rsid w:val="006F1C51"/>
    <w:rsid w:val="007033D7"/>
    <w:rsid w:val="00706A21"/>
    <w:rsid w:val="00707F7D"/>
    <w:rsid w:val="00715E5B"/>
    <w:rsid w:val="00717EC5"/>
    <w:rsid w:val="00754C20"/>
    <w:rsid w:val="00756C5F"/>
    <w:rsid w:val="007927AA"/>
    <w:rsid w:val="00793737"/>
    <w:rsid w:val="00794385"/>
    <w:rsid w:val="00794B47"/>
    <w:rsid w:val="007A2048"/>
    <w:rsid w:val="007A57F2"/>
    <w:rsid w:val="007B1333"/>
    <w:rsid w:val="007C280F"/>
    <w:rsid w:val="007C3234"/>
    <w:rsid w:val="007E3CE2"/>
    <w:rsid w:val="007F4AEB"/>
    <w:rsid w:val="007F75B2"/>
    <w:rsid w:val="00800EF2"/>
    <w:rsid w:val="00803993"/>
    <w:rsid w:val="008043C4"/>
    <w:rsid w:val="00827B74"/>
    <w:rsid w:val="00831B1B"/>
    <w:rsid w:val="008403D0"/>
    <w:rsid w:val="00855FB3"/>
    <w:rsid w:val="00861D0E"/>
    <w:rsid w:val="008662BB"/>
    <w:rsid w:val="00867569"/>
    <w:rsid w:val="0087123F"/>
    <w:rsid w:val="00871F42"/>
    <w:rsid w:val="00872498"/>
    <w:rsid w:val="00875825"/>
    <w:rsid w:val="00883C87"/>
    <w:rsid w:val="00892217"/>
    <w:rsid w:val="008A4552"/>
    <w:rsid w:val="008A750A"/>
    <w:rsid w:val="008B3970"/>
    <w:rsid w:val="008C384C"/>
    <w:rsid w:val="008D0F11"/>
    <w:rsid w:val="008D158D"/>
    <w:rsid w:val="008E0FA4"/>
    <w:rsid w:val="008F73B4"/>
    <w:rsid w:val="00900455"/>
    <w:rsid w:val="009027EC"/>
    <w:rsid w:val="00926790"/>
    <w:rsid w:val="00926E30"/>
    <w:rsid w:val="00927EA2"/>
    <w:rsid w:val="0094550A"/>
    <w:rsid w:val="009774D3"/>
    <w:rsid w:val="00986DD7"/>
    <w:rsid w:val="009A0FD9"/>
    <w:rsid w:val="009A2EC4"/>
    <w:rsid w:val="009B55B1"/>
    <w:rsid w:val="009B62A7"/>
    <w:rsid w:val="009C73C8"/>
    <w:rsid w:val="009F1676"/>
    <w:rsid w:val="009F387A"/>
    <w:rsid w:val="00A0762A"/>
    <w:rsid w:val="00A1095E"/>
    <w:rsid w:val="00A15BA9"/>
    <w:rsid w:val="00A20DAA"/>
    <w:rsid w:val="00A2281E"/>
    <w:rsid w:val="00A4343D"/>
    <w:rsid w:val="00A502F1"/>
    <w:rsid w:val="00A51D82"/>
    <w:rsid w:val="00A5333A"/>
    <w:rsid w:val="00A545D2"/>
    <w:rsid w:val="00A56BCA"/>
    <w:rsid w:val="00A70A83"/>
    <w:rsid w:val="00A81EB3"/>
    <w:rsid w:val="00A848D0"/>
    <w:rsid w:val="00A84D04"/>
    <w:rsid w:val="00A955BC"/>
    <w:rsid w:val="00A95C8D"/>
    <w:rsid w:val="00AA5248"/>
    <w:rsid w:val="00AB3410"/>
    <w:rsid w:val="00AB75F1"/>
    <w:rsid w:val="00B00C1D"/>
    <w:rsid w:val="00B03E61"/>
    <w:rsid w:val="00B1016E"/>
    <w:rsid w:val="00B32CE7"/>
    <w:rsid w:val="00B529CD"/>
    <w:rsid w:val="00B55375"/>
    <w:rsid w:val="00B632CC"/>
    <w:rsid w:val="00B87D60"/>
    <w:rsid w:val="00B904DD"/>
    <w:rsid w:val="00B948D8"/>
    <w:rsid w:val="00BA12F1"/>
    <w:rsid w:val="00BA439F"/>
    <w:rsid w:val="00BA6370"/>
    <w:rsid w:val="00BB0059"/>
    <w:rsid w:val="00BB18C3"/>
    <w:rsid w:val="00BB6E90"/>
    <w:rsid w:val="00BD0F98"/>
    <w:rsid w:val="00C00767"/>
    <w:rsid w:val="00C027A8"/>
    <w:rsid w:val="00C11FB1"/>
    <w:rsid w:val="00C269D4"/>
    <w:rsid w:val="00C35900"/>
    <w:rsid w:val="00C37ADB"/>
    <w:rsid w:val="00C4160D"/>
    <w:rsid w:val="00C441FE"/>
    <w:rsid w:val="00C460A6"/>
    <w:rsid w:val="00C478CF"/>
    <w:rsid w:val="00C54F12"/>
    <w:rsid w:val="00C63B14"/>
    <w:rsid w:val="00C71E9B"/>
    <w:rsid w:val="00C732BE"/>
    <w:rsid w:val="00C8406E"/>
    <w:rsid w:val="00CB2709"/>
    <w:rsid w:val="00CB2C31"/>
    <w:rsid w:val="00CB2FA3"/>
    <w:rsid w:val="00CB4DEF"/>
    <w:rsid w:val="00CB6F89"/>
    <w:rsid w:val="00CC0AE9"/>
    <w:rsid w:val="00CD0D9F"/>
    <w:rsid w:val="00CD618A"/>
    <w:rsid w:val="00CE13A2"/>
    <w:rsid w:val="00CE228C"/>
    <w:rsid w:val="00CE43A4"/>
    <w:rsid w:val="00CE71D9"/>
    <w:rsid w:val="00CF545B"/>
    <w:rsid w:val="00D03C58"/>
    <w:rsid w:val="00D209A7"/>
    <w:rsid w:val="00D27D69"/>
    <w:rsid w:val="00D33658"/>
    <w:rsid w:val="00D3597A"/>
    <w:rsid w:val="00D402EA"/>
    <w:rsid w:val="00D448C2"/>
    <w:rsid w:val="00D62649"/>
    <w:rsid w:val="00D666C3"/>
    <w:rsid w:val="00D67AAE"/>
    <w:rsid w:val="00D77069"/>
    <w:rsid w:val="00D84208"/>
    <w:rsid w:val="00D9189F"/>
    <w:rsid w:val="00DA33DE"/>
    <w:rsid w:val="00DF3F77"/>
    <w:rsid w:val="00DF47FE"/>
    <w:rsid w:val="00E0156A"/>
    <w:rsid w:val="00E24CDB"/>
    <w:rsid w:val="00E26704"/>
    <w:rsid w:val="00E31980"/>
    <w:rsid w:val="00E3743B"/>
    <w:rsid w:val="00E4190A"/>
    <w:rsid w:val="00E527E5"/>
    <w:rsid w:val="00E609A3"/>
    <w:rsid w:val="00E6423C"/>
    <w:rsid w:val="00E64324"/>
    <w:rsid w:val="00E714B5"/>
    <w:rsid w:val="00E71E22"/>
    <w:rsid w:val="00E93830"/>
    <w:rsid w:val="00E93E0E"/>
    <w:rsid w:val="00E93F27"/>
    <w:rsid w:val="00E970C2"/>
    <w:rsid w:val="00EB1ED3"/>
    <w:rsid w:val="00EB3351"/>
    <w:rsid w:val="00EF1614"/>
    <w:rsid w:val="00F04906"/>
    <w:rsid w:val="00F425D2"/>
    <w:rsid w:val="00F45000"/>
    <w:rsid w:val="00F502CE"/>
    <w:rsid w:val="00F55C0D"/>
    <w:rsid w:val="00F75F2A"/>
    <w:rsid w:val="00F8334A"/>
    <w:rsid w:val="00FA17ED"/>
    <w:rsid w:val="00FB687C"/>
    <w:rsid w:val="00FC3658"/>
    <w:rsid w:val="00FE277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9211A72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vebnictvi_metodik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77BC-8117-4915-874C-1311E132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332</TotalTime>
  <Pages>2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12</cp:revision>
  <dcterms:created xsi:type="dcterms:W3CDTF">2022-08-03T10:58:00Z</dcterms:created>
  <dcterms:modified xsi:type="dcterms:W3CDTF">2022-08-04T08:36:00Z</dcterms:modified>
</cp:coreProperties>
</file>