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35" w:rsidRPr="008B1A1D" w:rsidRDefault="00F60982" w:rsidP="00981D35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1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 w:rsidR="00981D35">
        <w:rPr>
          <w:rFonts w:eastAsia="Calibri" w:cs="Arial"/>
          <w:bCs w:val="0"/>
          <w:color w:val="auto"/>
          <w:sz w:val="18"/>
          <w:szCs w:val="22"/>
        </w:rPr>
        <w:t>3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>. 20</w:t>
      </w:r>
      <w:r w:rsidR="00981D35">
        <w:rPr>
          <w:rFonts w:eastAsia="Calibri" w:cs="Arial"/>
          <w:bCs w:val="0"/>
          <w:color w:val="auto"/>
          <w:sz w:val="18"/>
          <w:szCs w:val="22"/>
        </w:rPr>
        <w:t>2</w:t>
      </w:r>
      <w:r>
        <w:rPr>
          <w:rFonts w:eastAsia="Calibri" w:cs="Arial"/>
          <w:bCs w:val="0"/>
          <w:color w:val="auto"/>
          <w:sz w:val="18"/>
          <w:szCs w:val="22"/>
        </w:rPr>
        <w:t>2</w:t>
      </w:r>
    </w:p>
    <w:p w:rsidR="00981D35" w:rsidRPr="00424047" w:rsidRDefault="00981D35" w:rsidP="00981D35">
      <w:pPr>
        <w:pStyle w:val="Nzev"/>
        <w:spacing w:after="360"/>
      </w:pPr>
      <w:r>
        <w:t>HDP v roce 202</w:t>
      </w:r>
      <w:r w:rsidR="00F60982">
        <w:t>1</w:t>
      </w:r>
      <w:r>
        <w:t xml:space="preserve"> </w:t>
      </w:r>
      <w:r w:rsidR="00F60982">
        <w:t>vzrostl</w:t>
      </w:r>
      <w:r>
        <w:t xml:space="preserve"> o </w:t>
      </w:r>
      <w:r w:rsidR="00F60982">
        <w:t>3</w:t>
      </w:r>
      <w:r>
        <w:t>,</w:t>
      </w:r>
      <w:r w:rsidR="00F60982">
        <w:t>3</w:t>
      </w:r>
      <w:r>
        <w:t xml:space="preserve"> %</w:t>
      </w:r>
    </w:p>
    <w:p w:rsidR="00981D35" w:rsidRPr="00424047" w:rsidRDefault="00981D35" w:rsidP="00981D35">
      <w:pPr>
        <w:pStyle w:val="Podtitulek"/>
      </w:pPr>
      <w:r w:rsidRPr="00424047">
        <w:t xml:space="preserve">Tvorba a užití HDP – </w:t>
      </w:r>
      <w:r>
        <w:t>4. čtvrtletí 202</w:t>
      </w:r>
      <w:r w:rsidR="00F60982">
        <w:t>1</w:t>
      </w:r>
    </w:p>
    <w:p w:rsidR="00981D35" w:rsidRDefault="00981D35" w:rsidP="00981D35">
      <w:pPr>
        <w:spacing w:before="240"/>
        <w:rPr>
          <w:rFonts w:cs="Arial"/>
          <w:b/>
          <w:szCs w:val="18"/>
        </w:rPr>
      </w:pPr>
      <w:r w:rsidRPr="00053D0B">
        <w:rPr>
          <w:rFonts w:cs="Arial"/>
          <w:b/>
          <w:szCs w:val="18"/>
        </w:rPr>
        <w:t xml:space="preserve">Podle zpřesněného odhadu vzrostl hrubý domácí produkt ve </w:t>
      </w:r>
      <w:r>
        <w:rPr>
          <w:rFonts w:cs="Arial"/>
          <w:b/>
          <w:szCs w:val="18"/>
        </w:rPr>
        <w:t>4. čtvrtletí 202</w:t>
      </w:r>
      <w:r w:rsidR="00F60982">
        <w:rPr>
          <w:rFonts w:cs="Arial"/>
          <w:b/>
          <w:szCs w:val="18"/>
        </w:rPr>
        <w:t>1</w:t>
      </w:r>
      <w:r>
        <w:rPr>
          <w:rFonts w:cs="Arial"/>
          <w:b/>
          <w:szCs w:val="18"/>
        </w:rPr>
        <w:t xml:space="preserve"> </w:t>
      </w:r>
      <w:proofErr w:type="spellStart"/>
      <w:r>
        <w:rPr>
          <w:rFonts w:cs="Arial"/>
          <w:b/>
          <w:szCs w:val="18"/>
        </w:rPr>
        <w:t>mezičtvrtletně</w:t>
      </w:r>
      <w:proofErr w:type="spellEnd"/>
      <w:r>
        <w:rPr>
          <w:rFonts w:cs="Arial"/>
          <w:b/>
          <w:szCs w:val="18"/>
        </w:rPr>
        <w:t xml:space="preserve"> o </w:t>
      </w:r>
      <w:r w:rsidRPr="00053D0B">
        <w:rPr>
          <w:rFonts w:cs="Arial"/>
          <w:b/>
          <w:szCs w:val="18"/>
        </w:rPr>
        <w:t>0,</w:t>
      </w:r>
      <w:r w:rsidR="00F60982">
        <w:rPr>
          <w:rFonts w:cs="Arial"/>
          <w:b/>
          <w:szCs w:val="18"/>
        </w:rPr>
        <w:t>9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 xml:space="preserve">% a </w:t>
      </w:r>
      <w:r>
        <w:rPr>
          <w:rFonts w:cs="Arial"/>
          <w:b/>
          <w:szCs w:val="18"/>
        </w:rPr>
        <w:t xml:space="preserve">meziročně o </w:t>
      </w:r>
      <w:r w:rsidR="00F60982">
        <w:rPr>
          <w:rFonts w:cs="Arial"/>
          <w:b/>
          <w:szCs w:val="18"/>
        </w:rPr>
        <w:t>3</w:t>
      </w:r>
      <w:r w:rsidRPr="00053D0B">
        <w:rPr>
          <w:rFonts w:cs="Arial"/>
          <w:b/>
          <w:szCs w:val="18"/>
        </w:rPr>
        <w:t>,</w:t>
      </w:r>
      <w:r w:rsidR="008D5290">
        <w:rPr>
          <w:rFonts w:cs="Arial"/>
          <w:b/>
          <w:szCs w:val="18"/>
        </w:rPr>
        <w:t>6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 xml:space="preserve">%. </w:t>
      </w:r>
      <w:r w:rsidR="00F60982">
        <w:rPr>
          <w:rFonts w:cs="Arial"/>
          <w:b/>
          <w:szCs w:val="18"/>
        </w:rPr>
        <w:t>Růst</w:t>
      </w:r>
      <w:r>
        <w:rPr>
          <w:rFonts w:cs="Arial"/>
          <w:b/>
          <w:szCs w:val="18"/>
        </w:rPr>
        <w:t xml:space="preserve"> HDP za celý rok 202</w:t>
      </w:r>
      <w:r w:rsidR="00F60982">
        <w:rPr>
          <w:rFonts w:cs="Arial"/>
          <w:b/>
          <w:szCs w:val="18"/>
        </w:rPr>
        <w:t>1</w:t>
      </w:r>
      <w:r w:rsidRPr="00053D0B">
        <w:rPr>
          <w:rFonts w:cs="Arial"/>
          <w:b/>
          <w:szCs w:val="18"/>
        </w:rPr>
        <w:t xml:space="preserve"> činil </w:t>
      </w:r>
      <w:r w:rsidR="00F60982">
        <w:rPr>
          <w:rFonts w:cs="Arial"/>
          <w:b/>
          <w:szCs w:val="18"/>
        </w:rPr>
        <w:t>3</w:t>
      </w:r>
      <w:r>
        <w:rPr>
          <w:rFonts w:cs="Arial"/>
          <w:b/>
          <w:szCs w:val="18"/>
        </w:rPr>
        <w:t>,</w:t>
      </w:r>
      <w:r w:rsidR="00F60982">
        <w:rPr>
          <w:rFonts w:cs="Arial"/>
          <w:b/>
          <w:szCs w:val="18"/>
        </w:rPr>
        <w:t>3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>%.</w:t>
      </w:r>
    </w:p>
    <w:p w:rsidR="00981D35" w:rsidRDefault="00F60982" w:rsidP="00981D35">
      <w:pPr>
        <w:spacing w:before="240"/>
      </w:pPr>
      <w:r>
        <w:t>Česk</w:t>
      </w:r>
      <w:r w:rsidR="00283787">
        <w:t>é</w:t>
      </w:r>
      <w:r>
        <w:t xml:space="preserve"> ekonomice</w:t>
      </w:r>
      <w:r w:rsidR="00981D35">
        <w:t xml:space="preserve"> </w:t>
      </w:r>
      <w:r>
        <w:t>se v </w:t>
      </w:r>
      <w:r w:rsidR="00981D35">
        <w:t xml:space="preserve">posledním čtvrtletí </w:t>
      </w:r>
      <w:r>
        <w:t>dařilo</w:t>
      </w:r>
      <w:r w:rsidR="00981D35">
        <w:t xml:space="preserve">. </w:t>
      </w:r>
      <w:r w:rsidR="00981D35" w:rsidRPr="00E504E2">
        <w:rPr>
          <w:b/>
        </w:rPr>
        <w:t>Hrubý domácí produkt</w:t>
      </w:r>
      <w:r w:rsidR="00981D35">
        <w:t xml:space="preserve"> (HDP) očištěný o cenové vlivy a </w:t>
      </w:r>
      <w:r w:rsidR="00981D35" w:rsidRPr="00053D0B">
        <w:t>sezónnost</w:t>
      </w:r>
      <w:r w:rsidR="00981D35" w:rsidRPr="00E504E2">
        <w:rPr>
          <w:rStyle w:val="Znakapoznpodarou"/>
          <w:rFonts w:cs="Arial"/>
          <w:szCs w:val="18"/>
        </w:rPr>
        <w:footnoteReference w:id="1"/>
      </w:r>
      <w:r w:rsidR="00981D35" w:rsidRPr="00053D0B">
        <w:t xml:space="preserve"> </w:t>
      </w:r>
      <w:r w:rsidR="00981D35" w:rsidRPr="00E504E2">
        <w:rPr>
          <w:b/>
        </w:rPr>
        <w:t>byl</w:t>
      </w:r>
      <w:r w:rsidR="00981D35">
        <w:rPr>
          <w:b/>
        </w:rPr>
        <w:t xml:space="preserve"> ve 4. čtvrtletí o 0,</w:t>
      </w:r>
      <w:r>
        <w:rPr>
          <w:b/>
        </w:rPr>
        <w:t>9</w:t>
      </w:r>
      <w:r w:rsidR="00981D35" w:rsidRPr="00E504E2">
        <w:rPr>
          <w:b/>
        </w:rPr>
        <w:t xml:space="preserve"> % vyšší než v předchozím čtvrtletí</w:t>
      </w:r>
      <w:r w:rsidR="00981D35">
        <w:t xml:space="preserve"> a </w:t>
      </w:r>
      <w:r w:rsidR="00981D35" w:rsidRPr="00E504E2">
        <w:rPr>
          <w:b/>
        </w:rPr>
        <w:t xml:space="preserve">v porovnání se stejným čtvrtletím roku </w:t>
      </w:r>
      <w:r w:rsidR="00981D35">
        <w:rPr>
          <w:b/>
        </w:rPr>
        <w:t>20</w:t>
      </w:r>
      <w:r>
        <w:rPr>
          <w:b/>
        </w:rPr>
        <w:t>20</w:t>
      </w:r>
      <w:r w:rsidR="00981D35">
        <w:rPr>
          <w:b/>
        </w:rPr>
        <w:t xml:space="preserve"> </w:t>
      </w:r>
      <w:r>
        <w:rPr>
          <w:b/>
        </w:rPr>
        <w:t>vzrostl</w:t>
      </w:r>
      <w:r w:rsidR="00981D35" w:rsidRPr="00E504E2">
        <w:rPr>
          <w:b/>
        </w:rPr>
        <w:t xml:space="preserve"> o </w:t>
      </w:r>
      <w:r>
        <w:rPr>
          <w:b/>
        </w:rPr>
        <w:t>3</w:t>
      </w:r>
      <w:r w:rsidR="00981D35" w:rsidRPr="00E504E2">
        <w:rPr>
          <w:b/>
        </w:rPr>
        <w:t>,</w:t>
      </w:r>
      <w:r w:rsidR="008D5290">
        <w:rPr>
          <w:b/>
        </w:rPr>
        <w:t>6</w:t>
      </w:r>
      <w:r w:rsidR="00981D35" w:rsidRPr="00E504E2">
        <w:rPr>
          <w:b/>
        </w:rPr>
        <w:t xml:space="preserve"> %</w:t>
      </w:r>
      <w:r w:rsidR="00981D35">
        <w:t>.</w:t>
      </w:r>
    </w:p>
    <w:p w:rsidR="00981D35" w:rsidRPr="001D39B2" w:rsidRDefault="00981D35" w:rsidP="00981D35">
      <w:pPr>
        <w:spacing w:before="240"/>
      </w:pPr>
      <w:r w:rsidRPr="001D39B2">
        <w:rPr>
          <w:b/>
        </w:rPr>
        <w:t>Vývoj hrubého domácího produktu v %</w:t>
      </w:r>
      <w:r w:rsidRPr="001D39B2">
        <w:t xml:space="preserve"> </w:t>
      </w: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18"/>
        <w:gridCol w:w="1134"/>
        <w:gridCol w:w="1134"/>
      </w:tblGrid>
      <w:tr w:rsidR="00981D35" w:rsidRPr="001D39B2" w:rsidTr="00FB0C2B">
        <w:trPr>
          <w:trHeight w:val="113"/>
        </w:trPr>
        <w:tc>
          <w:tcPr>
            <w:tcW w:w="2410" w:type="dxa"/>
            <w:shd w:val="clear" w:color="auto" w:fill="DBE5F1"/>
            <w:vAlign w:val="center"/>
          </w:tcPr>
          <w:p w:rsidR="00981D35" w:rsidRPr="001D39B2" w:rsidRDefault="00981D35" w:rsidP="00FB0C2B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1. 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2. čtvrtletí</w:t>
            </w:r>
          </w:p>
        </w:tc>
        <w:tc>
          <w:tcPr>
            <w:tcW w:w="1218" w:type="dxa"/>
            <w:shd w:val="clear" w:color="auto" w:fill="DBE5F1"/>
            <w:vAlign w:val="center"/>
          </w:tcPr>
          <w:p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3.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81D35" w:rsidRPr="004A1507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1507">
              <w:rPr>
                <w:rFonts w:cs="Arial"/>
                <w:b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81D35" w:rsidRPr="001D39B2" w:rsidRDefault="00981D35" w:rsidP="00DD6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39B2">
              <w:rPr>
                <w:rFonts w:cs="Arial"/>
                <w:b/>
                <w:sz w:val="18"/>
                <w:szCs w:val="18"/>
              </w:rPr>
              <w:t>Rok 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DD6F49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981D35" w:rsidRPr="001D39B2" w:rsidTr="00FB0C2B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 xml:space="preserve">K předchozímu čtvrtletí </w:t>
            </w:r>
          </w:p>
        </w:tc>
        <w:tc>
          <w:tcPr>
            <w:tcW w:w="1134" w:type="dxa"/>
            <w:vAlign w:val="center"/>
          </w:tcPr>
          <w:p w:rsidR="00981D35" w:rsidRPr="001D39B2" w:rsidRDefault="00981D35" w:rsidP="000754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0754C2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,</w:t>
            </w:r>
            <w:r w:rsidR="000754C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21" w:type="dxa"/>
            <w:vAlign w:val="center"/>
          </w:tcPr>
          <w:p w:rsidR="00981D35" w:rsidRPr="001D39B2" w:rsidRDefault="000754C2" w:rsidP="000754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+1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 w:rsidR="00981D35" w:rsidRPr="001D39B2" w:rsidRDefault="00981D35" w:rsidP="008D5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754C2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,</w:t>
            </w:r>
            <w:r w:rsidR="008D529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981D35" w:rsidRPr="004A1507" w:rsidRDefault="00981D35" w:rsidP="000754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+0,</w:t>
            </w:r>
            <w:r w:rsidR="000754C2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981D35" w:rsidRPr="001D39B2" w:rsidRDefault="000754C2" w:rsidP="000754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+3</w:t>
            </w:r>
            <w:r w:rsidR="00981D35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</w:tr>
      <w:tr w:rsidR="00981D35" w:rsidRPr="001D39B2" w:rsidTr="00FB0C2B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:rsidR="00981D35" w:rsidRPr="001D39B2" w:rsidRDefault="00981D35" w:rsidP="00DD6F49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Ke stejnému čtvrtletí 20</w:t>
            </w:r>
            <w:r w:rsidR="00DD6F4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981D35" w:rsidRPr="001D39B2" w:rsidRDefault="00981D35" w:rsidP="00DD6F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DD6F49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,</w:t>
            </w:r>
            <w:r w:rsidR="00DD6F4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21" w:type="dxa"/>
            <w:vAlign w:val="center"/>
          </w:tcPr>
          <w:p w:rsidR="00981D35" w:rsidRPr="001D39B2" w:rsidRDefault="00DD6F49" w:rsidP="008D5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+8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 w:rsidR="008D5290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 w:rsidR="00981D35" w:rsidRPr="001D39B2" w:rsidRDefault="00DD6F49" w:rsidP="00DD6F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+3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981D35" w:rsidRPr="004A1507" w:rsidRDefault="00DD6F49" w:rsidP="008D5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+3</w:t>
            </w:r>
            <w:r w:rsidR="00981D35">
              <w:rPr>
                <w:rFonts w:cs="Arial"/>
                <w:b/>
                <w:sz w:val="18"/>
                <w:szCs w:val="18"/>
              </w:rPr>
              <w:t>,</w:t>
            </w:r>
            <w:r w:rsidR="008D5290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981D35" w:rsidRPr="001D39B2" w:rsidRDefault="00981D35" w:rsidP="00981D35">
      <w:pPr>
        <w:spacing w:before="240"/>
      </w:pPr>
      <w:r w:rsidRPr="001D39B2">
        <w:rPr>
          <w:b/>
        </w:rPr>
        <w:t xml:space="preserve">Vývoj hrubé přidané hodnoty v % </w:t>
      </w: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18"/>
        <w:gridCol w:w="1134"/>
        <w:gridCol w:w="1134"/>
      </w:tblGrid>
      <w:tr w:rsidR="00981D35" w:rsidRPr="00BC6821" w:rsidTr="00FB0C2B">
        <w:trPr>
          <w:trHeight w:val="113"/>
        </w:trPr>
        <w:tc>
          <w:tcPr>
            <w:tcW w:w="2410" w:type="dxa"/>
            <w:shd w:val="clear" w:color="auto" w:fill="DBE5F1"/>
            <w:vAlign w:val="center"/>
          </w:tcPr>
          <w:p w:rsidR="00981D35" w:rsidRPr="00BC6821" w:rsidRDefault="00981D35" w:rsidP="00FB0C2B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981D35" w:rsidRPr="00BC6821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981D35" w:rsidRPr="00BC6821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218" w:type="dxa"/>
            <w:shd w:val="clear" w:color="auto" w:fill="DBE5F1"/>
            <w:vAlign w:val="center"/>
          </w:tcPr>
          <w:p w:rsidR="00981D35" w:rsidRPr="00BC6821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81D35" w:rsidRPr="004A1507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1507">
              <w:rPr>
                <w:rFonts w:cs="Arial"/>
                <w:b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81D35" w:rsidRPr="001D39B2" w:rsidRDefault="00981D35" w:rsidP="00DD6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39B2">
              <w:rPr>
                <w:rFonts w:cs="Arial"/>
                <w:b/>
                <w:sz w:val="18"/>
                <w:szCs w:val="18"/>
              </w:rPr>
              <w:t>Rok 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DD6F49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981D35" w:rsidRPr="00BC6821" w:rsidTr="00FB0C2B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 xml:space="preserve">K předchozímu čtvrtletí </w:t>
            </w:r>
          </w:p>
        </w:tc>
        <w:tc>
          <w:tcPr>
            <w:tcW w:w="1134" w:type="dxa"/>
            <w:vAlign w:val="center"/>
          </w:tcPr>
          <w:p w:rsidR="00981D35" w:rsidRPr="00CC4AC3" w:rsidRDefault="00981D35" w:rsidP="000754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0754C2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,4</w:t>
            </w:r>
          </w:p>
        </w:tc>
        <w:tc>
          <w:tcPr>
            <w:tcW w:w="1221" w:type="dxa"/>
            <w:vAlign w:val="center"/>
          </w:tcPr>
          <w:p w:rsidR="00981D35" w:rsidRPr="00CC4AC3" w:rsidRDefault="000754C2" w:rsidP="008D5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+1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 w:rsidR="008D529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18" w:type="dxa"/>
            <w:vAlign w:val="center"/>
          </w:tcPr>
          <w:p w:rsidR="00981D35" w:rsidRPr="00CC4AC3" w:rsidRDefault="00981D35" w:rsidP="000754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754C2">
              <w:rPr>
                <w:rFonts w:cs="Arial"/>
                <w:sz w:val="18"/>
                <w:szCs w:val="18"/>
              </w:rPr>
              <w:t>1</w:t>
            </w:r>
            <w:r w:rsidR="008D5290">
              <w:rPr>
                <w:rFonts w:cs="Arial"/>
                <w:sz w:val="18"/>
                <w:szCs w:val="18"/>
              </w:rPr>
              <w:t>,5</w:t>
            </w:r>
          </w:p>
        </w:tc>
        <w:tc>
          <w:tcPr>
            <w:tcW w:w="1134" w:type="dxa"/>
            <w:vAlign w:val="center"/>
          </w:tcPr>
          <w:p w:rsidR="00981D35" w:rsidRPr="004A1507" w:rsidRDefault="00981D35" w:rsidP="0028378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  <w:r w:rsidR="00283787"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b/>
                <w:sz w:val="18"/>
                <w:szCs w:val="18"/>
              </w:rPr>
              <w:t>,</w:t>
            </w:r>
            <w:r w:rsidR="00283787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981D35" w:rsidRPr="001D39B2" w:rsidRDefault="000754C2" w:rsidP="0028378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+3</w:t>
            </w:r>
            <w:r w:rsidR="00981D35">
              <w:rPr>
                <w:rFonts w:cs="Arial"/>
                <w:b/>
                <w:sz w:val="18"/>
                <w:szCs w:val="18"/>
              </w:rPr>
              <w:t>,</w:t>
            </w:r>
            <w:r w:rsidR="00283787">
              <w:rPr>
                <w:rFonts w:cs="Arial"/>
                <w:b/>
                <w:sz w:val="18"/>
                <w:szCs w:val="18"/>
              </w:rPr>
              <w:t>0</w:t>
            </w:r>
          </w:p>
        </w:tc>
      </w:tr>
      <w:tr w:rsidR="00981D35" w:rsidRPr="00BC6821" w:rsidTr="00FB0C2B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:rsidR="00981D35" w:rsidRPr="001D39B2" w:rsidRDefault="00DD6F49" w:rsidP="00FB0C2B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 stejnému čtvrtletí 2020</w:t>
            </w:r>
          </w:p>
        </w:tc>
        <w:tc>
          <w:tcPr>
            <w:tcW w:w="1134" w:type="dxa"/>
            <w:vAlign w:val="center"/>
          </w:tcPr>
          <w:p w:rsidR="00981D35" w:rsidRPr="00CC4AC3" w:rsidRDefault="00981D35" w:rsidP="00DD6F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DD6F49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,</w:t>
            </w:r>
            <w:r w:rsidR="00DD6F4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21" w:type="dxa"/>
            <w:vAlign w:val="center"/>
          </w:tcPr>
          <w:p w:rsidR="00981D35" w:rsidRPr="00CC4AC3" w:rsidRDefault="00DD6F49" w:rsidP="00DD6F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+8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 w:rsidR="00981D35" w:rsidRPr="00CC4AC3" w:rsidRDefault="000754C2" w:rsidP="008D5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+3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 w:rsidR="008D529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81D35" w:rsidRPr="004A1507" w:rsidRDefault="000754C2" w:rsidP="008D5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  <w:r w:rsidR="008D5290">
              <w:rPr>
                <w:rFonts w:cs="Arial"/>
                <w:b/>
                <w:sz w:val="18"/>
                <w:szCs w:val="18"/>
              </w:rPr>
              <w:t>2</w:t>
            </w:r>
            <w:r w:rsidR="00981D35">
              <w:rPr>
                <w:rFonts w:cs="Arial"/>
                <w:b/>
                <w:sz w:val="18"/>
                <w:szCs w:val="18"/>
              </w:rPr>
              <w:t>,</w:t>
            </w:r>
            <w:r w:rsidR="008D5290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D529B" w:rsidRDefault="00981D35" w:rsidP="00981D35">
      <w:pPr>
        <w:spacing w:before="240" w:after="240"/>
      </w:pPr>
      <w:r w:rsidRPr="00457400">
        <w:rPr>
          <w:b/>
        </w:rPr>
        <w:t>Hrubá přidaná hodnota</w:t>
      </w:r>
      <w:r w:rsidRPr="00457400">
        <w:t xml:space="preserve"> (HPH) </w:t>
      </w:r>
      <w:r w:rsidRPr="00A55AF0">
        <w:rPr>
          <w:b/>
        </w:rPr>
        <w:t>vzrostla</w:t>
      </w:r>
      <w:r w:rsidRPr="00457400">
        <w:t xml:space="preserve"> ve 4. čtvrtletí </w:t>
      </w:r>
      <w:proofErr w:type="spellStart"/>
      <w:r w:rsidRPr="00457400">
        <w:rPr>
          <w:b/>
        </w:rPr>
        <w:t>mezičtvrtletně</w:t>
      </w:r>
      <w:proofErr w:type="spellEnd"/>
      <w:r w:rsidRPr="00457400">
        <w:rPr>
          <w:b/>
        </w:rPr>
        <w:t xml:space="preserve"> o</w:t>
      </w:r>
      <w:r w:rsidRPr="00457400">
        <w:t> </w:t>
      </w:r>
      <w:r w:rsidR="00283787">
        <w:rPr>
          <w:b/>
        </w:rPr>
        <w:t>0</w:t>
      </w:r>
      <w:r w:rsidRPr="00457400">
        <w:rPr>
          <w:b/>
        </w:rPr>
        <w:t>,</w:t>
      </w:r>
      <w:r w:rsidR="00283787">
        <w:rPr>
          <w:b/>
        </w:rPr>
        <w:t>7</w:t>
      </w:r>
      <w:r w:rsidRPr="00457400">
        <w:rPr>
          <w:b/>
        </w:rPr>
        <w:t> %</w:t>
      </w:r>
      <w:r w:rsidRPr="00457400">
        <w:t xml:space="preserve"> </w:t>
      </w:r>
      <w:r w:rsidRPr="00E4172C">
        <w:t>a</w:t>
      </w:r>
      <w:r w:rsidRPr="00457400">
        <w:rPr>
          <w:b/>
        </w:rPr>
        <w:t xml:space="preserve"> meziročně</w:t>
      </w:r>
      <w:r>
        <w:rPr>
          <w:b/>
        </w:rPr>
        <w:t xml:space="preserve"> </w:t>
      </w:r>
      <w:r w:rsidRPr="009467E2">
        <w:rPr>
          <w:b/>
        </w:rPr>
        <w:t>o </w:t>
      </w:r>
      <w:r w:rsidR="003D529B">
        <w:rPr>
          <w:b/>
        </w:rPr>
        <w:t>2</w:t>
      </w:r>
      <w:r>
        <w:rPr>
          <w:b/>
        </w:rPr>
        <w:t>,</w:t>
      </w:r>
      <w:r w:rsidR="003D529B">
        <w:rPr>
          <w:b/>
        </w:rPr>
        <w:t>9</w:t>
      </w:r>
      <w:r w:rsidRPr="00457400">
        <w:rPr>
          <w:b/>
        </w:rPr>
        <w:t> %</w:t>
      </w:r>
      <w:r w:rsidRPr="00457400">
        <w:t xml:space="preserve">. </w:t>
      </w:r>
      <w:r w:rsidR="00187632">
        <w:t xml:space="preserve">V mezičtvrtletním srovnání </w:t>
      </w:r>
      <w:r w:rsidR="00896680">
        <w:t>nejvíce přispělo k růstu HPH odvětví</w:t>
      </w:r>
      <w:r>
        <w:t xml:space="preserve"> </w:t>
      </w:r>
      <w:r w:rsidR="00896680">
        <w:t>činnost</w:t>
      </w:r>
      <w:r w:rsidR="00E256DA">
        <w:t>í</w:t>
      </w:r>
      <w:r w:rsidR="00896680">
        <w:t xml:space="preserve"> v oblasti nemovitostí </w:t>
      </w:r>
      <w:r w:rsidR="003D529B">
        <w:t>(</w:t>
      </w:r>
      <w:r w:rsidR="00896680">
        <w:t>růst 2,7 %</w:t>
      </w:r>
      <w:r w:rsidR="003D529B">
        <w:t>)</w:t>
      </w:r>
      <w:r w:rsidR="00896680">
        <w:t xml:space="preserve"> a  odvětví veřejné správy, vzdělávání, zdravotní a sociální péče (+1,9</w:t>
      </w:r>
      <w:r w:rsidR="003D529B">
        <w:t> </w:t>
      </w:r>
      <w:r w:rsidR="00896680">
        <w:t xml:space="preserve">%). Růst zaznamenal také průmysl (+0,1 %) a  </w:t>
      </w:r>
      <w:r w:rsidR="00862A04">
        <w:t>skupin</w:t>
      </w:r>
      <w:r w:rsidR="00896680">
        <w:t>a</w:t>
      </w:r>
      <w:r w:rsidR="00862A04">
        <w:t xml:space="preserve"> odvětví obchodu, dopravy, ubytování a pohostinství (+</w:t>
      </w:r>
      <w:r w:rsidR="00896680">
        <w:t>0</w:t>
      </w:r>
      <w:r w:rsidR="00862A04">
        <w:t>,</w:t>
      </w:r>
      <w:r w:rsidR="00896680">
        <w:t>5 %).</w:t>
      </w:r>
      <w:r w:rsidR="00862A04">
        <w:t xml:space="preserve"> </w:t>
      </w:r>
      <w:r w:rsidR="00896680">
        <w:t>Pokles zaznamenalo stavebnictví (-0,</w:t>
      </w:r>
      <w:r w:rsidR="003D529B">
        <w:t>3</w:t>
      </w:r>
      <w:r w:rsidR="00896680">
        <w:t xml:space="preserve"> %).</w:t>
      </w:r>
    </w:p>
    <w:p w:rsidR="00981D35" w:rsidRPr="00D33CA6" w:rsidRDefault="00981D35" w:rsidP="00981D35">
      <w:pPr>
        <w:spacing w:before="240" w:after="240"/>
        <w:rPr>
          <w:rFonts w:cs="Arial"/>
          <w:szCs w:val="20"/>
        </w:rPr>
      </w:pPr>
      <w:r>
        <w:t xml:space="preserve">Na meziročním </w:t>
      </w:r>
      <w:r w:rsidR="00904B72">
        <w:t>růstu HPH (+</w:t>
      </w:r>
      <w:r w:rsidR="003D529B">
        <w:t>2</w:t>
      </w:r>
      <w:r>
        <w:t>,</w:t>
      </w:r>
      <w:r w:rsidR="003D529B">
        <w:t>9</w:t>
      </w:r>
      <w:r>
        <w:t xml:space="preserve"> %) se nejvíce podílela skupina odvětví obchodu, dopravy, ubytování a pohostinství </w:t>
      </w:r>
      <w:r w:rsidR="00904B72">
        <w:t>+</w:t>
      </w:r>
      <w:r w:rsidR="00896680">
        <w:t>1</w:t>
      </w:r>
      <w:r w:rsidR="00904B72">
        <w:t>,</w:t>
      </w:r>
      <w:r w:rsidR="00896680">
        <w:t>8</w:t>
      </w:r>
      <w:r w:rsidR="00904B72">
        <w:t xml:space="preserve"> </w:t>
      </w:r>
      <w:r>
        <w:t xml:space="preserve">p. b. (meziroční </w:t>
      </w:r>
      <w:r w:rsidR="00904B72">
        <w:t>růst</w:t>
      </w:r>
      <w:r>
        <w:t xml:space="preserve"> o 1</w:t>
      </w:r>
      <w:r w:rsidR="00896680">
        <w:t>0</w:t>
      </w:r>
      <w:r>
        <w:t>,</w:t>
      </w:r>
      <w:r w:rsidR="003D529B">
        <w:t>7</w:t>
      </w:r>
      <w:r>
        <w:t xml:space="preserve"> %), </w:t>
      </w:r>
      <w:r w:rsidR="00896680">
        <w:t>peněžnictví a pojišťovnictví +0,</w:t>
      </w:r>
      <w:r w:rsidR="003D529B">
        <w:t>3 </w:t>
      </w:r>
      <w:r w:rsidR="00896680">
        <w:t>p</w:t>
      </w:r>
      <w:r w:rsidR="003D529B">
        <w:t> </w:t>
      </w:r>
      <w:r w:rsidR="00896680">
        <w:t xml:space="preserve"> b. (+8,</w:t>
      </w:r>
      <w:r w:rsidR="003D529B">
        <w:t>6</w:t>
      </w:r>
      <w:r w:rsidR="00896680">
        <w:t xml:space="preserve"> %), </w:t>
      </w:r>
      <w:r>
        <w:t>p</w:t>
      </w:r>
      <w:r w:rsidRPr="00B63F22">
        <w:t>rofesní, vědecké, technické a administrativní činnosti</w:t>
      </w:r>
      <w:r w:rsidR="00904B72">
        <w:t xml:space="preserve"> +0</w:t>
      </w:r>
      <w:r>
        <w:t>,</w:t>
      </w:r>
      <w:r w:rsidR="00896680">
        <w:t>3</w:t>
      </w:r>
      <w:r>
        <w:t xml:space="preserve"> p. b. </w:t>
      </w:r>
      <w:r w:rsidR="00904B72">
        <w:t>(+</w:t>
      </w:r>
      <w:r w:rsidR="00896680">
        <w:t>4</w:t>
      </w:r>
      <w:r>
        <w:t>,</w:t>
      </w:r>
      <w:r w:rsidR="003D529B">
        <w:t>6</w:t>
      </w:r>
      <w:r w:rsidR="00284C2C">
        <w:t xml:space="preserve"> %) a </w:t>
      </w:r>
      <w:r w:rsidR="00904B72">
        <w:t>odvětví veřejné správy, vzdělávání, zdravotní a sociální péče +0,</w:t>
      </w:r>
      <w:r w:rsidR="00896680">
        <w:t>4</w:t>
      </w:r>
      <w:r w:rsidR="00904B72">
        <w:t xml:space="preserve"> p. b. (+</w:t>
      </w:r>
      <w:r w:rsidR="00896680">
        <w:t>2</w:t>
      </w:r>
      <w:r>
        <w:t>,</w:t>
      </w:r>
      <w:r w:rsidR="0094322B">
        <w:t>6</w:t>
      </w:r>
      <w:r>
        <w:t xml:space="preserve"> %). </w:t>
      </w:r>
      <w:r w:rsidR="00E256DA">
        <w:t>Zpracovatelský p</w:t>
      </w:r>
      <w:r w:rsidR="00904B72">
        <w:t>růmysl měl negativní vliv -</w:t>
      </w:r>
      <w:r w:rsidR="00896680">
        <w:t>0</w:t>
      </w:r>
      <w:r>
        <w:t>,</w:t>
      </w:r>
      <w:r w:rsidR="003D529B">
        <w:t>8</w:t>
      </w:r>
      <w:r w:rsidR="00896680">
        <w:t xml:space="preserve"> p. b. (-</w:t>
      </w:r>
      <w:r w:rsidR="00E256DA">
        <w:t>3</w:t>
      </w:r>
      <w:r>
        <w:t>,</w:t>
      </w:r>
      <w:r w:rsidR="00E256DA">
        <w:t>3</w:t>
      </w:r>
      <w:r>
        <w:t xml:space="preserve"> %).</w:t>
      </w:r>
    </w:p>
    <w:p w:rsidR="00981D35" w:rsidRDefault="00981D35" w:rsidP="00981D35">
      <w:pPr>
        <w:spacing w:before="240" w:after="240"/>
      </w:pPr>
      <w:r w:rsidRPr="001F14DE">
        <w:rPr>
          <w:b/>
        </w:rPr>
        <w:t>Na straně poptávky</w:t>
      </w:r>
      <w:r w:rsidRPr="001F14DE">
        <w:t xml:space="preserve"> byl</w:t>
      </w:r>
      <w:r w:rsidR="00BF7B16">
        <w:t>y</w:t>
      </w:r>
      <w:r w:rsidRPr="001F14DE">
        <w:t xml:space="preserve"> ve 4. čtvrtletí </w:t>
      </w:r>
      <w:r>
        <w:t>hlavním</w:t>
      </w:r>
      <w:r w:rsidRPr="001F14DE">
        <w:t xml:space="preserve"> faktor</w:t>
      </w:r>
      <w:r>
        <w:t>em</w:t>
      </w:r>
      <w:r w:rsidR="00BF7B16">
        <w:t xml:space="preserve"> mezičtvrtletního</w:t>
      </w:r>
      <w:r w:rsidRPr="001F14DE">
        <w:t xml:space="preserve"> </w:t>
      </w:r>
      <w:r w:rsidR="00680927">
        <w:t>růstu</w:t>
      </w:r>
      <w:r w:rsidRPr="001F14DE">
        <w:t xml:space="preserve"> HDP </w:t>
      </w:r>
      <w:r w:rsidR="00BF7B16">
        <w:t>rostoucí zahraniční poptávka a výdaje na tvorbu hrubého fixního kapitálu.</w:t>
      </w:r>
      <w:r w:rsidRPr="001F14DE">
        <w:t xml:space="preserve"> </w:t>
      </w:r>
      <w:r>
        <w:t>M</w:t>
      </w:r>
      <w:r w:rsidRPr="001F14DE">
        <w:t xml:space="preserve">eziroční </w:t>
      </w:r>
      <w:r w:rsidR="00680927">
        <w:t>růst</w:t>
      </w:r>
      <w:r w:rsidRPr="001F14DE">
        <w:t xml:space="preserve"> HDP (</w:t>
      </w:r>
      <w:r w:rsidR="00680927">
        <w:t>+3</w:t>
      </w:r>
      <w:r>
        <w:t>,</w:t>
      </w:r>
      <w:r w:rsidR="00A15612">
        <w:t>6</w:t>
      </w:r>
      <w:r w:rsidRPr="001F14DE">
        <w:t xml:space="preserve"> %) </w:t>
      </w:r>
      <w:r>
        <w:t>ovlivnily</w:t>
      </w:r>
      <w:r w:rsidRPr="001F14DE">
        <w:t xml:space="preserve"> výdaje na konečnou spotřebu </w:t>
      </w:r>
      <w:r w:rsidR="00680927">
        <w:t>domácností +</w:t>
      </w:r>
      <w:r>
        <w:t>3,</w:t>
      </w:r>
      <w:r w:rsidR="00BF7B16">
        <w:t>8</w:t>
      </w:r>
      <w:r w:rsidRPr="001F14DE">
        <w:t> p.</w:t>
      </w:r>
      <w:r>
        <w:t xml:space="preserve"> </w:t>
      </w:r>
      <w:r w:rsidRPr="001F14DE">
        <w:t>b.</w:t>
      </w:r>
      <w:r w:rsidRPr="001F14DE">
        <w:rPr>
          <w:rStyle w:val="Znakapoznpodarou"/>
          <w:rFonts w:cs="Arial"/>
          <w:szCs w:val="20"/>
        </w:rPr>
        <w:footnoteReference w:id="2"/>
      </w:r>
      <w:r w:rsidR="00680927">
        <w:t>,</w:t>
      </w:r>
      <w:r>
        <w:t xml:space="preserve"> investiční výdaje</w:t>
      </w:r>
      <w:r w:rsidRPr="001F14DE">
        <w:t xml:space="preserve"> </w:t>
      </w:r>
      <w:r w:rsidR="00680927">
        <w:t>+0</w:t>
      </w:r>
      <w:r>
        <w:t>,</w:t>
      </w:r>
      <w:r w:rsidR="00A15612">
        <w:t>6</w:t>
      </w:r>
      <w:r>
        <w:t xml:space="preserve"> </w:t>
      </w:r>
      <w:r w:rsidRPr="001F14DE">
        <w:t>p.</w:t>
      </w:r>
      <w:r>
        <w:t xml:space="preserve"> </w:t>
      </w:r>
      <w:r w:rsidRPr="001F14DE">
        <w:t>b.</w:t>
      </w:r>
      <w:r w:rsidR="00BF7B16">
        <w:t xml:space="preserve"> </w:t>
      </w:r>
      <w:r w:rsidR="00680927">
        <w:t>a</w:t>
      </w:r>
      <w:r w:rsidR="006C0678">
        <w:t> </w:t>
      </w:r>
      <w:r w:rsidR="00680927">
        <w:t>změna stavu zásob +5,</w:t>
      </w:r>
      <w:r w:rsidR="00A15612">
        <w:t>7</w:t>
      </w:r>
      <w:r w:rsidR="00680927">
        <w:t xml:space="preserve"> p. b.</w:t>
      </w:r>
      <w:r>
        <w:t xml:space="preserve"> Naopak </w:t>
      </w:r>
      <w:r w:rsidR="00680927">
        <w:t>negativní</w:t>
      </w:r>
      <w:r>
        <w:t xml:space="preserve"> </w:t>
      </w:r>
      <w:r w:rsidR="00680927">
        <w:t>vliv měl</w:t>
      </w:r>
      <w:r w:rsidR="00BF7B16">
        <w:t>a</w:t>
      </w:r>
      <w:r w:rsidR="00680927">
        <w:t xml:space="preserve"> zahraniční poptávka (-</w:t>
      </w:r>
      <w:r w:rsidR="00BF7B16">
        <w:t>6</w:t>
      </w:r>
      <w:r w:rsidRPr="001F14DE">
        <w:t>,</w:t>
      </w:r>
      <w:r w:rsidR="00BF7B16">
        <w:t>5</w:t>
      </w:r>
      <w:r w:rsidRPr="001F14DE">
        <w:t xml:space="preserve"> p.</w:t>
      </w:r>
      <w:r>
        <w:t xml:space="preserve"> </w:t>
      </w:r>
      <w:r w:rsidRPr="001F14DE">
        <w:t>b.</w:t>
      </w:r>
      <w:r w:rsidR="00680927">
        <w:t>)</w:t>
      </w:r>
      <w:r>
        <w:t>.</w:t>
      </w:r>
    </w:p>
    <w:p w:rsidR="00981D35" w:rsidRDefault="00C31C8E" w:rsidP="00981D35">
      <w:pPr>
        <w:spacing w:before="240" w:after="240"/>
      </w:pPr>
      <w:r>
        <w:rPr>
          <w:b/>
        </w:rPr>
        <w:lastRenderedPageBreak/>
        <w:t>Výdaje na konečnou spotřebu domácností</w:t>
      </w:r>
      <w:r w:rsidR="00981D35" w:rsidRPr="00737453">
        <w:rPr>
          <w:b/>
        </w:rPr>
        <w:t xml:space="preserve"> </w:t>
      </w:r>
      <w:r w:rsidR="00981D35">
        <w:t xml:space="preserve">se </w:t>
      </w:r>
      <w:proofErr w:type="spellStart"/>
      <w:r w:rsidR="00981D35">
        <w:t>mezičtvrtletně</w:t>
      </w:r>
      <w:proofErr w:type="spellEnd"/>
      <w:r w:rsidR="00981D35">
        <w:t xml:space="preserve"> snížily o </w:t>
      </w:r>
      <w:r w:rsidR="008F24E5">
        <w:t>1</w:t>
      </w:r>
      <w:r w:rsidR="00981D35">
        <w:t>,</w:t>
      </w:r>
      <w:r w:rsidR="008F24E5">
        <w:t>8</w:t>
      </w:r>
      <w:r w:rsidR="00981D35">
        <w:t> %</w:t>
      </w:r>
      <w:r w:rsidR="008F24E5">
        <w:t>.</w:t>
      </w:r>
      <w:r w:rsidR="00FF5D48">
        <w:t xml:space="preserve"> </w:t>
      </w:r>
      <w:r w:rsidR="008F24E5">
        <w:t xml:space="preserve">Klesaly hlavně výdaje za nákup předmětů s krátkodobou a střednědobou trvanlivostí a služeb. Meziročně vzrostly </w:t>
      </w:r>
      <w:r w:rsidR="008F24E5" w:rsidRPr="008F24E5">
        <w:t>výdaje na konečnou spotřebu domácností</w:t>
      </w:r>
      <w:r w:rsidR="008F24E5">
        <w:t xml:space="preserve"> </w:t>
      </w:r>
      <w:r w:rsidR="00FF5D48">
        <w:t>o 9</w:t>
      </w:r>
      <w:r w:rsidR="00981D35">
        <w:t>,</w:t>
      </w:r>
      <w:r w:rsidR="008F24E5">
        <w:t>3</w:t>
      </w:r>
      <w:r w:rsidR="00981D35">
        <w:t xml:space="preserve"> %. </w:t>
      </w:r>
    </w:p>
    <w:p w:rsidR="00981D35" w:rsidRDefault="00981D35" w:rsidP="00981D35">
      <w:pPr>
        <w:spacing w:before="240" w:after="240"/>
      </w:pPr>
      <w:r>
        <w:rPr>
          <w:b/>
        </w:rPr>
        <w:t>T</w:t>
      </w:r>
      <w:r w:rsidRPr="00737453">
        <w:rPr>
          <w:b/>
        </w:rPr>
        <w:t>vorb</w:t>
      </w:r>
      <w:r>
        <w:rPr>
          <w:b/>
        </w:rPr>
        <w:t>a </w:t>
      </w:r>
      <w:r w:rsidRPr="00737453">
        <w:rPr>
          <w:b/>
        </w:rPr>
        <w:t>fixního</w:t>
      </w:r>
      <w:r>
        <w:rPr>
          <w:b/>
        </w:rPr>
        <w:t> </w:t>
      </w:r>
      <w:r w:rsidRPr="00737453">
        <w:rPr>
          <w:b/>
        </w:rPr>
        <w:t>kapitálu</w:t>
      </w:r>
      <w:r>
        <w:t xml:space="preserve"> </w:t>
      </w:r>
      <w:r w:rsidR="00FF5D48">
        <w:t>vzrostla</w:t>
      </w:r>
      <w:r>
        <w:t xml:space="preserve"> o 0,</w:t>
      </w:r>
      <w:r w:rsidR="008F24E5">
        <w:t>5</w:t>
      </w:r>
      <w:r>
        <w:t xml:space="preserve"> % </w:t>
      </w:r>
      <w:proofErr w:type="spellStart"/>
      <w:r>
        <w:t>mezičtvrtletně</w:t>
      </w:r>
      <w:proofErr w:type="spellEnd"/>
      <w:r>
        <w:t xml:space="preserve"> a o </w:t>
      </w:r>
      <w:r w:rsidR="00E13264">
        <w:t>3</w:t>
      </w:r>
      <w:r w:rsidR="00FF5D48">
        <w:t>,</w:t>
      </w:r>
      <w:r w:rsidR="00E13264">
        <w:t>5</w:t>
      </w:r>
      <w:r>
        <w:t xml:space="preserve"> % meziročně. </w:t>
      </w:r>
      <w:r w:rsidR="008F24E5">
        <w:t xml:space="preserve">V mezičtvrtletním srovnání rostly investice do většiny fixních aktiv, méně se investovalo do nákupu </w:t>
      </w:r>
      <w:r w:rsidR="00E13264">
        <w:t>strojů a </w:t>
      </w:r>
      <w:r w:rsidR="008F24E5">
        <w:t xml:space="preserve">zařízení. Meziročně rostly </w:t>
      </w:r>
      <w:r>
        <w:t xml:space="preserve">především investice do </w:t>
      </w:r>
      <w:r w:rsidR="008F24E5">
        <w:t xml:space="preserve">obydlí, </w:t>
      </w:r>
      <w:r w:rsidR="00E13264">
        <w:t>ostatních budov a staveb a </w:t>
      </w:r>
      <w:r>
        <w:t xml:space="preserve">dopravních prostředků. </w:t>
      </w:r>
    </w:p>
    <w:p w:rsidR="00981D35" w:rsidRDefault="00981D35" w:rsidP="00981D35">
      <w:pPr>
        <w:spacing w:before="240" w:after="240"/>
      </w:pPr>
      <w:r>
        <w:rPr>
          <w:b/>
        </w:rPr>
        <w:t xml:space="preserve">Saldo zahraničního obchodu se </w:t>
      </w:r>
      <w:r w:rsidRPr="00D36813">
        <w:rPr>
          <w:b/>
        </w:rPr>
        <w:t>zboží</w:t>
      </w:r>
      <w:r>
        <w:rPr>
          <w:b/>
        </w:rPr>
        <w:t>m</w:t>
      </w:r>
      <w:r w:rsidRPr="00D36813">
        <w:rPr>
          <w:b/>
        </w:rPr>
        <w:t xml:space="preserve"> a služb</w:t>
      </w:r>
      <w:r>
        <w:rPr>
          <w:b/>
        </w:rPr>
        <w:t>ami</w:t>
      </w:r>
      <w:r>
        <w:t xml:space="preserve"> do</w:t>
      </w:r>
      <w:r w:rsidR="00FF5D48">
        <w:t xml:space="preserve">sáhlo v běžných cenách hodnoty </w:t>
      </w:r>
      <w:r w:rsidR="008F24E5">
        <w:t>22</w:t>
      </w:r>
      <w:r>
        <w:t>,</w:t>
      </w:r>
      <w:r w:rsidR="008F24E5">
        <w:t>5</w:t>
      </w:r>
      <w:r>
        <w:t xml:space="preserve"> mld. Kč, bylo tak o </w:t>
      </w:r>
      <w:r w:rsidR="00FF5D48">
        <w:t>1</w:t>
      </w:r>
      <w:r w:rsidR="008F24E5">
        <w:t>22</w:t>
      </w:r>
      <w:r>
        <w:t>,</w:t>
      </w:r>
      <w:r w:rsidR="00E13264">
        <w:t>6</w:t>
      </w:r>
      <w:r>
        <w:t xml:space="preserve"> mld. </w:t>
      </w:r>
      <w:r w:rsidR="00FF5D48">
        <w:t>nižší</w:t>
      </w:r>
      <w:r>
        <w:t xml:space="preserve"> než ve stejném období předchozího roku. </w:t>
      </w:r>
      <w:r w:rsidRPr="00D9259D">
        <w:rPr>
          <w:rFonts w:cs="Arial"/>
          <w:szCs w:val="20"/>
        </w:rPr>
        <w:t>Vývoz</w:t>
      </w:r>
      <w:r w:rsidRPr="00F108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rostl</w:t>
      </w:r>
      <w:r w:rsidRPr="00F10882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mezičtvrtletně</w:t>
      </w:r>
      <w:proofErr w:type="spellEnd"/>
      <w:r w:rsidRPr="00F10882">
        <w:rPr>
          <w:rFonts w:cs="Arial"/>
          <w:szCs w:val="20"/>
        </w:rPr>
        <w:t xml:space="preserve"> </w:t>
      </w:r>
      <w:r w:rsidR="00AD04BF">
        <w:rPr>
          <w:rFonts w:cs="Arial"/>
          <w:szCs w:val="20"/>
        </w:rPr>
        <w:t xml:space="preserve">reálně </w:t>
      </w:r>
      <w:r w:rsidRPr="00F10882">
        <w:rPr>
          <w:rFonts w:cs="Arial"/>
          <w:szCs w:val="20"/>
        </w:rPr>
        <w:t xml:space="preserve">o </w:t>
      </w:r>
      <w:r w:rsidR="00AD04BF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8F24E5">
        <w:rPr>
          <w:rFonts w:cs="Arial"/>
          <w:szCs w:val="20"/>
        </w:rPr>
        <w:t>2</w:t>
      </w:r>
      <w:r w:rsidRPr="00F10882">
        <w:rPr>
          <w:rFonts w:cs="Arial"/>
          <w:szCs w:val="20"/>
        </w:rPr>
        <w:t> %</w:t>
      </w:r>
      <w:r w:rsidR="00AD04BF">
        <w:rPr>
          <w:rFonts w:cs="Arial"/>
          <w:szCs w:val="20"/>
        </w:rPr>
        <w:t xml:space="preserve">, přičemž </w:t>
      </w:r>
      <w:r>
        <w:rPr>
          <w:rFonts w:cs="Arial"/>
          <w:szCs w:val="20"/>
        </w:rPr>
        <w:t>meziročn</w:t>
      </w:r>
      <w:r w:rsidR="00AD04BF">
        <w:rPr>
          <w:rFonts w:cs="Arial"/>
          <w:szCs w:val="20"/>
        </w:rPr>
        <w:t>ě klesl</w:t>
      </w:r>
      <w:r>
        <w:rPr>
          <w:rFonts w:cs="Arial"/>
          <w:szCs w:val="20"/>
        </w:rPr>
        <w:t xml:space="preserve"> o </w:t>
      </w:r>
      <w:r w:rsidR="00AD04BF">
        <w:rPr>
          <w:rFonts w:cs="Arial"/>
          <w:szCs w:val="20"/>
        </w:rPr>
        <w:t>5</w:t>
      </w:r>
      <w:r>
        <w:rPr>
          <w:rFonts w:cs="Arial"/>
          <w:szCs w:val="20"/>
        </w:rPr>
        <w:t>,</w:t>
      </w:r>
      <w:r w:rsidR="008F24E5">
        <w:rPr>
          <w:rFonts w:cs="Arial"/>
          <w:szCs w:val="20"/>
        </w:rPr>
        <w:t>7</w:t>
      </w:r>
      <w:r w:rsidR="00AD04BF">
        <w:rPr>
          <w:rFonts w:cs="Arial"/>
          <w:szCs w:val="20"/>
        </w:rPr>
        <w:t xml:space="preserve"> %. Tento vývoj nejvíce ovlivnil </w:t>
      </w:r>
      <w:r w:rsidR="005E7011">
        <w:rPr>
          <w:rFonts w:cs="Arial"/>
          <w:szCs w:val="20"/>
        </w:rPr>
        <w:t>pokles</w:t>
      </w:r>
      <w:r w:rsidR="00AD04BF">
        <w:rPr>
          <w:rFonts w:cs="Arial"/>
          <w:szCs w:val="20"/>
        </w:rPr>
        <w:t xml:space="preserve"> vývozu elektronických a optických přístrojů a motorových vozidel. D</w:t>
      </w:r>
      <w:r w:rsidR="00AD04BF" w:rsidRPr="00F10882">
        <w:rPr>
          <w:rFonts w:cs="Arial"/>
          <w:szCs w:val="20"/>
        </w:rPr>
        <w:t xml:space="preserve">ovoz </w:t>
      </w:r>
      <w:r w:rsidR="00AD04BF">
        <w:rPr>
          <w:rFonts w:cs="Arial"/>
          <w:szCs w:val="20"/>
        </w:rPr>
        <w:t xml:space="preserve">klesl </w:t>
      </w:r>
      <w:proofErr w:type="spellStart"/>
      <w:r w:rsidR="00AD04BF">
        <w:rPr>
          <w:rFonts w:cs="Arial"/>
          <w:szCs w:val="20"/>
        </w:rPr>
        <w:t>mezičtvrtletně</w:t>
      </w:r>
      <w:proofErr w:type="spellEnd"/>
      <w:r w:rsidR="00AD04BF">
        <w:rPr>
          <w:rFonts w:cs="Arial"/>
          <w:szCs w:val="20"/>
        </w:rPr>
        <w:t xml:space="preserve"> </w:t>
      </w:r>
      <w:r w:rsidR="00AD04BF" w:rsidRPr="00F10882">
        <w:rPr>
          <w:rFonts w:cs="Arial"/>
          <w:szCs w:val="20"/>
        </w:rPr>
        <w:t>o </w:t>
      </w:r>
      <w:r w:rsidR="00DF0E94">
        <w:rPr>
          <w:rFonts w:cs="Arial"/>
          <w:szCs w:val="20"/>
        </w:rPr>
        <w:t>0</w:t>
      </w:r>
      <w:r w:rsidR="00AD04BF" w:rsidRPr="00F10882">
        <w:rPr>
          <w:rFonts w:cs="Arial"/>
          <w:szCs w:val="20"/>
        </w:rPr>
        <w:t>,</w:t>
      </w:r>
      <w:r w:rsidR="00DF0E94">
        <w:rPr>
          <w:rFonts w:cs="Arial"/>
          <w:szCs w:val="20"/>
        </w:rPr>
        <w:t>4</w:t>
      </w:r>
      <w:r w:rsidR="00AD04BF" w:rsidRPr="00F10882">
        <w:rPr>
          <w:rFonts w:cs="Arial"/>
          <w:szCs w:val="20"/>
        </w:rPr>
        <w:t> %</w:t>
      </w:r>
      <w:r w:rsidR="00DC014F">
        <w:rPr>
          <w:rFonts w:cs="Arial"/>
          <w:szCs w:val="20"/>
        </w:rPr>
        <w:t>,</w:t>
      </w:r>
      <w:r w:rsidR="00DF0E94">
        <w:rPr>
          <w:rFonts w:cs="Arial"/>
          <w:szCs w:val="20"/>
        </w:rPr>
        <w:t xml:space="preserve"> meziročně </w:t>
      </w:r>
      <w:r w:rsidR="00DC014F">
        <w:rPr>
          <w:rFonts w:cs="Arial"/>
          <w:szCs w:val="20"/>
        </w:rPr>
        <w:t xml:space="preserve">však </w:t>
      </w:r>
      <w:r w:rsidR="00DF0E94">
        <w:rPr>
          <w:rFonts w:cs="Arial"/>
          <w:szCs w:val="20"/>
        </w:rPr>
        <w:t>vzrostl o 4</w:t>
      </w:r>
      <w:r w:rsidR="00AD04BF">
        <w:rPr>
          <w:rFonts w:cs="Arial"/>
          <w:szCs w:val="20"/>
        </w:rPr>
        <w:t>,</w:t>
      </w:r>
      <w:r w:rsidR="00DF0E94">
        <w:rPr>
          <w:rFonts w:cs="Arial"/>
          <w:szCs w:val="20"/>
        </w:rPr>
        <w:t>0</w:t>
      </w:r>
      <w:r w:rsidR="00AD04BF">
        <w:rPr>
          <w:rFonts w:cs="Arial"/>
          <w:szCs w:val="20"/>
        </w:rPr>
        <w:t xml:space="preserve"> % především zásluhou růstu dovozu</w:t>
      </w:r>
      <w:r w:rsidR="00683F5C">
        <w:rPr>
          <w:rFonts w:cs="Arial"/>
          <w:szCs w:val="20"/>
        </w:rPr>
        <w:t xml:space="preserve"> léčiv, základních kovů</w:t>
      </w:r>
      <w:r w:rsidR="00CA2DB0">
        <w:rPr>
          <w:rFonts w:cs="Arial"/>
          <w:szCs w:val="20"/>
        </w:rPr>
        <w:t>,</w:t>
      </w:r>
      <w:r w:rsidR="00AD04BF">
        <w:rPr>
          <w:rFonts w:cs="Arial"/>
          <w:szCs w:val="20"/>
        </w:rPr>
        <w:t xml:space="preserve"> elektrických zařízení</w:t>
      </w:r>
      <w:r w:rsidR="00CA2DB0" w:rsidRPr="00CA2DB0">
        <w:rPr>
          <w:rFonts w:cs="Arial"/>
          <w:szCs w:val="20"/>
        </w:rPr>
        <w:t xml:space="preserve"> </w:t>
      </w:r>
      <w:r w:rsidR="00CA2DB0">
        <w:rPr>
          <w:rFonts w:cs="Arial"/>
          <w:szCs w:val="20"/>
        </w:rPr>
        <w:t>a strojů a zařízení</w:t>
      </w:r>
      <w:r>
        <w:rPr>
          <w:rFonts w:cs="Arial"/>
          <w:szCs w:val="20"/>
        </w:rPr>
        <w:t>.</w:t>
      </w:r>
    </w:p>
    <w:p w:rsidR="00AD04BF" w:rsidRDefault="00981D35" w:rsidP="00981D35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t>Z hlediska cenového vývoje ve </w:t>
      </w:r>
      <w:r>
        <w:rPr>
          <w:rFonts w:cs="Arial"/>
          <w:szCs w:val="20"/>
        </w:rPr>
        <w:t xml:space="preserve">4. čtvrtletí </w:t>
      </w:r>
      <w:r w:rsidRPr="00AF011D">
        <w:rPr>
          <w:rFonts w:cs="Arial"/>
          <w:szCs w:val="20"/>
        </w:rPr>
        <w:t xml:space="preserve">celkový deflátor HDP </w:t>
      </w:r>
      <w:r>
        <w:rPr>
          <w:rFonts w:cs="Arial"/>
          <w:szCs w:val="20"/>
        </w:rPr>
        <w:t xml:space="preserve">vzrostl </w:t>
      </w:r>
      <w:r w:rsidR="00AD04BF">
        <w:rPr>
          <w:rFonts w:cs="Arial"/>
          <w:szCs w:val="20"/>
        </w:rPr>
        <w:t xml:space="preserve">meziročně </w:t>
      </w:r>
      <w:r>
        <w:rPr>
          <w:rFonts w:cs="Arial"/>
          <w:szCs w:val="20"/>
        </w:rPr>
        <w:t>o</w:t>
      </w:r>
      <w:r w:rsidRPr="00AF011D">
        <w:rPr>
          <w:rFonts w:cs="Arial"/>
          <w:szCs w:val="20"/>
        </w:rPr>
        <w:t xml:space="preserve"> </w:t>
      </w:r>
      <w:r w:rsidR="00AD04BF">
        <w:rPr>
          <w:rFonts w:cs="Arial"/>
          <w:szCs w:val="20"/>
        </w:rPr>
        <w:t>3</w:t>
      </w:r>
      <w:r w:rsidRPr="00AF011D">
        <w:rPr>
          <w:rFonts w:cs="Arial"/>
          <w:szCs w:val="20"/>
        </w:rPr>
        <w:t>,</w:t>
      </w:r>
      <w:r w:rsidR="00E13264">
        <w:rPr>
          <w:rFonts w:cs="Arial"/>
          <w:szCs w:val="20"/>
        </w:rPr>
        <w:t>3</w:t>
      </w:r>
      <w:r w:rsidR="00AD04BF">
        <w:rPr>
          <w:rFonts w:cs="Arial"/>
          <w:szCs w:val="20"/>
        </w:rPr>
        <w:t xml:space="preserve"> %.</w:t>
      </w:r>
    </w:p>
    <w:p w:rsidR="00981D35" w:rsidRPr="00AF011D" w:rsidRDefault="00981D35" w:rsidP="00981D35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t>Objem mzdových nákladů</w:t>
      </w:r>
      <w:r w:rsidRPr="00AF011D">
        <w:rPr>
          <w:rStyle w:val="Znakapoznpodarou"/>
        </w:rPr>
        <w:footnoteReference w:id="3"/>
      </w:r>
      <w:r>
        <w:rPr>
          <w:rFonts w:cs="Arial"/>
          <w:szCs w:val="20"/>
        </w:rPr>
        <w:t xml:space="preserve"> ve 4</w:t>
      </w:r>
      <w:r w:rsidRPr="00AF011D">
        <w:rPr>
          <w:rFonts w:cs="Arial"/>
          <w:szCs w:val="20"/>
        </w:rPr>
        <w:t>. čtvrtletí vzrostl meziročně o</w:t>
      </w:r>
      <w:r>
        <w:rPr>
          <w:rFonts w:cs="Arial"/>
          <w:szCs w:val="20"/>
        </w:rPr>
        <w:t> </w:t>
      </w:r>
      <w:r w:rsidR="00DF0E94">
        <w:rPr>
          <w:rFonts w:cs="Arial"/>
          <w:szCs w:val="20"/>
        </w:rPr>
        <w:t>5</w:t>
      </w:r>
      <w:r w:rsidRPr="00AF011D">
        <w:rPr>
          <w:rFonts w:cs="Arial"/>
          <w:szCs w:val="20"/>
        </w:rPr>
        <w:t>,</w:t>
      </w:r>
      <w:r w:rsidR="00DF0E94">
        <w:rPr>
          <w:rFonts w:cs="Arial"/>
          <w:szCs w:val="20"/>
        </w:rPr>
        <w:t>5</w:t>
      </w:r>
      <w:r>
        <w:rPr>
          <w:rFonts w:cs="Arial"/>
          <w:szCs w:val="20"/>
        </w:rPr>
        <w:t> </w:t>
      </w:r>
      <w:r w:rsidRPr="00AF011D">
        <w:rPr>
          <w:rFonts w:cs="Arial"/>
          <w:szCs w:val="20"/>
        </w:rPr>
        <w:t>%.</w:t>
      </w:r>
    </w:p>
    <w:p w:rsidR="00981D35" w:rsidRDefault="00981D35" w:rsidP="000671A9">
      <w:pPr>
        <w:spacing w:before="240" w:after="240"/>
        <w:rPr>
          <w:rFonts w:cs="Arial"/>
          <w:szCs w:val="20"/>
        </w:rPr>
      </w:pPr>
      <w:r w:rsidRPr="00E50E52">
        <w:rPr>
          <w:rFonts w:cs="Arial"/>
          <w:b/>
          <w:szCs w:val="20"/>
        </w:rPr>
        <w:t>Celková zaměstnanost</w:t>
      </w:r>
      <w:r w:rsidRPr="00E50E52">
        <w:rPr>
          <w:rStyle w:val="Znakapoznpodarou"/>
          <w:rFonts w:cs="Arial"/>
          <w:szCs w:val="20"/>
        </w:rPr>
        <w:footnoteReference w:id="4"/>
      </w:r>
      <w:r w:rsidRPr="00E50E52">
        <w:rPr>
          <w:rFonts w:cs="Arial"/>
          <w:szCs w:val="20"/>
        </w:rPr>
        <w:t xml:space="preserve"> </w:t>
      </w:r>
      <w:r w:rsidR="005211E4">
        <w:t xml:space="preserve">vzrostla </w:t>
      </w:r>
      <w:r w:rsidR="005211E4">
        <w:rPr>
          <w:rFonts w:cs="Arial"/>
          <w:szCs w:val="20"/>
        </w:rPr>
        <w:t xml:space="preserve">v </w:t>
      </w:r>
      <w:r w:rsidRPr="006C6198">
        <w:t>porovnání s předchozím čtvrtletím</w:t>
      </w:r>
      <w:r>
        <w:t xml:space="preserve"> </w:t>
      </w:r>
      <w:r w:rsidR="005211E4">
        <w:t>o 0,1 % a</w:t>
      </w:r>
      <w:r w:rsidRPr="00E50E52">
        <w:rPr>
          <w:rFonts w:cs="Arial"/>
          <w:szCs w:val="20"/>
        </w:rPr>
        <w:t xml:space="preserve"> meziročně</w:t>
      </w:r>
      <w:r w:rsidR="003734EA">
        <w:rPr>
          <w:rFonts w:cs="Arial"/>
          <w:szCs w:val="20"/>
        </w:rPr>
        <w:t xml:space="preserve"> </w:t>
      </w:r>
      <w:r w:rsidR="005211E4">
        <w:rPr>
          <w:rFonts w:cs="Arial"/>
          <w:szCs w:val="20"/>
        </w:rPr>
        <w:t xml:space="preserve">vzrostla </w:t>
      </w:r>
      <w:r w:rsidR="003734EA">
        <w:rPr>
          <w:rFonts w:cs="Arial"/>
          <w:szCs w:val="20"/>
        </w:rPr>
        <w:t>o 1,</w:t>
      </w:r>
      <w:r w:rsidR="005211E4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%.</w:t>
      </w:r>
    </w:p>
    <w:p w:rsidR="000671A9" w:rsidRDefault="000671A9" w:rsidP="000671A9">
      <w:pPr>
        <w:spacing w:before="240" w:after="240"/>
      </w:pPr>
    </w:p>
    <w:p w:rsidR="00981D35" w:rsidRPr="00AD7489" w:rsidRDefault="00981D35" w:rsidP="00981D35">
      <w:pPr>
        <w:pStyle w:val="Podtitulek"/>
        <w:spacing w:after="120"/>
        <w:rPr>
          <w:sz w:val="20"/>
          <w:szCs w:val="20"/>
        </w:rPr>
      </w:pPr>
      <w:r w:rsidRPr="00AD7489">
        <w:rPr>
          <w:sz w:val="20"/>
          <w:szCs w:val="20"/>
        </w:rPr>
        <w:t>Tvorba a užití HDP v roce 202</w:t>
      </w:r>
      <w:r w:rsidR="00884917" w:rsidRPr="00AD7489">
        <w:rPr>
          <w:sz w:val="20"/>
          <w:szCs w:val="20"/>
        </w:rPr>
        <w:t>1</w:t>
      </w:r>
    </w:p>
    <w:p w:rsidR="00981D35" w:rsidRDefault="00981D35" w:rsidP="00981D35">
      <w:pPr>
        <w:spacing w:before="240" w:after="240"/>
      </w:pPr>
      <w:r w:rsidRPr="00455CEB">
        <w:rPr>
          <w:b/>
        </w:rPr>
        <w:t>HDP za rok 20</w:t>
      </w:r>
      <w:r>
        <w:rPr>
          <w:b/>
        </w:rPr>
        <w:t>2</w:t>
      </w:r>
      <w:r w:rsidR="000D3E39">
        <w:rPr>
          <w:b/>
        </w:rPr>
        <w:t>1</w:t>
      </w:r>
      <w:r w:rsidRPr="00455CEB">
        <w:t xml:space="preserve"> byl </w:t>
      </w:r>
      <w:r w:rsidRPr="00455CEB">
        <w:rPr>
          <w:b/>
        </w:rPr>
        <w:t xml:space="preserve">o </w:t>
      </w:r>
      <w:r w:rsidR="000D3E39">
        <w:rPr>
          <w:b/>
        </w:rPr>
        <w:t>3</w:t>
      </w:r>
      <w:r>
        <w:rPr>
          <w:b/>
        </w:rPr>
        <w:t>,</w:t>
      </w:r>
      <w:r w:rsidR="000D3E39">
        <w:rPr>
          <w:b/>
        </w:rPr>
        <w:t>3</w:t>
      </w:r>
      <w:r w:rsidRPr="00455CEB">
        <w:rPr>
          <w:b/>
        </w:rPr>
        <w:t> %</w:t>
      </w:r>
      <w:r w:rsidRPr="00455CEB">
        <w:t xml:space="preserve"> </w:t>
      </w:r>
      <w:r w:rsidR="000D3E39">
        <w:rPr>
          <w:b/>
        </w:rPr>
        <w:t>vyšší</w:t>
      </w:r>
      <w:r w:rsidRPr="00455CEB">
        <w:t xml:space="preserve"> než v roce 20</w:t>
      </w:r>
      <w:r w:rsidR="000D3E39">
        <w:t>20</w:t>
      </w:r>
      <w:r w:rsidRPr="00455CEB">
        <w:t xml:space="preserve">. </w:t>
      </w:r>
      <w:r>
        <w:t xml:space="preserve">Hlavním faktorem celoročního </w:t>
      </w:r>
      <w:r w:rsidR="00FF37CD">
        <w:t>růstu</w:t>
      </w:r>
      <w:r>
        <w:t xml:space="preserve"> byly výdaje </w:t>
      </w:r>
      <w:r w:rsidR="00C31C8E">
        <w:t xml:space="preserve">na konečnou spotřebu </w:t>
      </w:r>
      <w:r>
        <w:t xml:space="preserve">domácností a </w:t>
      </w:r>
      <w:r w:rsidR="00FF37CD">
        <w:t>změna stavu zásob</w:t>
      </w:r>
      <w:r>
        <w:t>.</w:t>
      </w:r>
      <w:r w:rsidRPr="00F901B5">
        <w:t xml:space="preserve"> </w:t>
      </w:r>
      <w:r w:rsidR="00C31C8E">
        <w:t>Konečná s</w:t>
      </w:r>
      <w:r>
        <w:t xml:space="preserve">potřeba domácností </w:t>
      </w:r>
      <w:r w:rsidR="00870B17">
        <w:t>př</w:t>
      </w:r>
      <w:r w:rsidR="004C1BBB">
        <w:t>i</w:t>
      </w:r>
      <w:r w:rsidR="00870B17">
        <w:t>spě</w:t>
      </w:r>
      <w:r w:rsidR="004C1BBB">
        <w:t>la</w:t>
      </w:r>
      <w:r>
        <w:t xml:space="preserve"> </w:t>
      </w:r>
      <w:r w:rsidR="00870B17">
        <w:t>+</w:t>
      </w:r>
      <w:r>
        <w:t>1,</w:t>
      </w:r>
      <w:r w:rsidR="004C1BBB">
        <w:t>1</w:t>
      </w:r>
      <w:r>
        <w:t xml:space="preserve"> p. b., </w:t>
      </w:r>
      <w:r w:rsidR="004C1BBB">
        <w:t xml:space="preserve">výdaje vládních institucí </w:t>
      </w:r>
      <w:r w:rsidR="00844154">
        <w:t>+</w:t>
      </w:r>
      <w:r w:rsidR="004C1BBB">
        <w:t xml:space="preserve">0,3 p. b., </w:t>
      </w:r>
      <w:r>
        <w:t xml:space="preserve">tvorba kapitálu </w:t>
      </w:r>
      <w:r w:rsidR="004C1BBB">
        <w:t>+</w:t>
      </w:r>
      <w:r>
        <w:t>3,</w:t>
      </w:r>
      <w:r w:rsidR="00FF37CD">
        <w:t>9</w:t>
      </w:r>
      <w:r>
        <w:t xml:space="preserve"> p. b. </w:t>
      </w:r>
      <w:r w:rsidR="004C1BBB">
        <w:t>Zahraniční poptávka měla negativní vliv -</w:t>
      </w:r>
      <w:r w:rsidR="00FF37CD">
        <w:t>2</w:t>
      </w:r>
      <w:r w:rsidR="004C1BBB">
        <w:t>,</w:t>
      </w:r>
      <w:r w:rsidR="00FF37CD">
        <w:t>0</w:t>
      </w:r>
      <w:r w:rsidR="004C1BBB">
        <w:t xml:space="preserve"> p. b.</w:t>
      </w:r>
    </w:p>
    <w:p w:rsidR="00981D35" w:rsidRPr="00F901B5" w:rsidRDefault="00981D35" w:rsidP="00981D35">
      <w:pPr>
        <w:spacing w:before="240"/>
      </w:pPr>
      <w:r w:rsidRPr="00F901B5">
        <w:rPr>
          <w:b/>
        </w:rPr>
        <w:t>Výdaje na konečnou spotřebu domácností</w:t>
      </w:r>
      <w:r w:rsidRPr="00F901B5">
        <w:t xml:space="preserve"> </w:t>
      </w:r>
      <w:r w:rsidR="003734EA">
        <w:t>vzrostly</w:t>
      </w:r>
      <w:r w:rsidRPr="00F901B5">
        <w:t xml:space="preserve"> o </w:t>
      </w:r>
      <w:r w:rsidR="00A16A1F">
        <w:t>4</w:t>
      </w:r>
      <w:r>
        <w:t>,</w:t>
      </w:r>
      <w:r w:rsidR="00A16A1F">
        <w:t>3</w:t>
      </w:r>
      <w:r>
        <w:t xml:space="preserve"> %. </w:t>
      </w:r>
      <w:r w:rsidR="003734EA" w:rsidRPr="00CC1A65">
        <w:rPr>
          <w:b/>
        </w:rPr>
        <w:t>Výdaje vládních institucí</w:t>
      </w:r>
      <w:r w:rsidR="003734EA">
        <w:t xml:space="preserve"> </w:t>
      </w:r>
      <w:r w:rsidR="003734EA" w:rsidRPr="00C31C8E">
        <w:rPr>
          <w:b/>
        </w:rPr>
        <w:t>na konečnou spotřebu</w:t>
      </w:r>
      <w:r w:rsidR="003734EA">
        <w:t xml:space="preserve"> vzrostly o 1,</w:t>
      </w:r>
      <w:r w:rsidR="00152BAF">
        <w:t>6</w:t>
      </w:r>
      <w:r w:rsidR="003734EA">
        <w:t xml:space="preserve"> % především zásluhou rychle rostoucích výdajů na kolektivní spotřebu. </w:t>
      </w:r>
      <w:r>
        <w:rPr>
          <w:b/>
        </w:rPr>
        <w:t xml:space="preserve">Tvorba hrubého fixního kapitálu </w:t>
      </w:r>
      <w:r>
        <w:t>za celý rok 202</w:t>
      </w:r>
      <w:r w:rsidR="003734EA">
        <w:t>1</w:t>
      </w:r>
      <w:r>
        <w:t xml:space="preserve"> byla o </w:t>
      </w:r>
      <w:r w:rsidR="003734EA">
        <w:t>0</w:t>
      </w:r>
      <w:r>
        <w:t>,</w:t>
      </w:r>
      <w:r w:rsidR="00152BAF">
        <w:t>9</w:t>
      </w:r>
      <w:r>
        <w:t xml:space="preserve"> % </w:t>
      </w:r>
      <w:r w:rsidR="003734EA">
        <w:t>vyšší</w:t>
      </w:r>
      <w:r>
        <w:t xml:space="preserve"> než v roce 20</w:t>
      </w:r>
      <w:r w:rsidR="003734EA">
        <w:t>20</w:t>
      </w:r>
      <w:r>
        <w:t>.</w:t>
      </w:r>
      <w:r w:rsidRPr="00F901B5">
        <w:t xml:space="preserve"> </w:t>
      </w:r>
      <w:r w:rsidR="003734EA">
        <w:t>Rostly</w:t>
      </w:r>
      <w:r>
        <w:t xml:space="preserve"> především investice do </w:t>
      </w:r>
      <w:r w:rsidR="003734EA">
        <w:t>obydlí</w:t>
      </w:r>
      <w:r w:rsidR="00152BAF">
        <w:t xml:space="preserve"> a dopravních prostředků</w:t>
      </w:r>
      <w:r>
        <w:t xml:space="preserve">. </w:t>
      </w:r>
      <w:r w:rsidRPr="00F901B5">
        <w:rPr>
          <w:b/>
        </w:rPr>
        <w:t>Saldo zahraničního obchodu</w:t>
      </w:r>
      <w:r w:rsidRPr="00F901B5">
        <w:t xml:space="preserve"> </w:t>
      </w:r>
      <w:r w:rsidR="003734EA">
        <w:t>kleslo</w:t>
      </w:r>
      <w:r w:rsidRPr="00F901B5">
        <w:t xml:space="preserve"> v běžných cenách meziročně o</w:t>
      </w:r>
      <w:r>
        <w:t> </w:t>
      </w:r>
      <w:r w:rsidR="00152BAF">
        <w:t>204</w:t>
      </w:r>
      <w:r>
        <w:t>,</w:t>
      </w:r>
      <w:r w:rsidR="00152BAF">
        <w:t>1</w:t>
      </w:r>
      <w:r w:rsidRPr="00F901B5">
        <w:t xml:space="preserve"> mld. Kč na</w:t>
      </w:r>
      <w:r>
        <w:t> </w:t>
      </w:r>
      <w:r w:rsidR="00152BAF">
        <w:t>185</w:t>
      </w:r>
      <w:r w:rsidRPr="00F901B5">
        <w:t>,</w:t>
      </w:r>
      <w:r w:rsidR="00152BAF">
        <w:t>2</w:t>
      </w:r>
      <w:r>
        <w:t> </w:t>
      </w:r>
      <w:r w:rsidRPr="00F901B5">
        <w:t>mld. Kč</w:t>
      </w:r>
      <w:r>
        <w:t xml:space="preserve">. </w:t>
      </w:r>
    </w:p>
    <w:p w:rsidR="00585F13" w:rsidRDefault="00585F13" w:rsidP="00585F13">
      <w:pPr>
        <w:spacing w:before="240"/>
      </w:pPr>
      <w:r w:rsidRPr="00F901B5">
        <w:rPr>
          <w:b/>
        </w:rPr>
        <w:t>HPH se v roce 20</w:t>
      </w:r>
      <w:r>
        <w:rPr>
          <w:b/>
        </w:rPr>
        <w:t>21</w:t>
      </w:r>
      <w:r w:rsidRPr="00F901B5">
        <w:t xml:space="preserve"> </w:t>
      </w:r>
      <w:r>
        <w:rPr>
          <w:b/>
        </w:rPr>
        <w:t>zvýšila</w:t>
      </w:r>
      <w:r w:rsidRPr="00F901B5">
        <w:t xml:space="preserve"> v porovnání s předchozím rokem </w:t>
      </w:r>
      <w:r w:rsidRPr="00F901B5">
        <w:rPr>
          <w:b/>
        </w:rPr>
        <w:t xml:space="preserve">o </w:t>
      </w:r>
      <w:r>
        <w:rPr>
          <w:b/>
        </w:rPr>
        <w:t>3,0</w:t>
      </w:r>
      <w:r w:rsidRPr="00F901B5">
        <w:rPr>
          <w:b/>
        </w:rPr>
        <w:t xml:space="preserve"> %</w:t>
      </w:r>
      <w:r w:rsidRPr="00F901B5">
        <w:t xml:space="preserve">. </w:t>
      </w:r>
      <w:r>
        <w:t xml:space="preserve">Ekonomický růst se </w:t>
      </w:r>
      <w:r w:rsidRPr="00F901B5">
        <w:t xml:space="preserve">projevoval </w:t>
      </w:r>
      <w:r>
        <w:t>napříč celým</w:t>
      </w:r>
      <w:r w:rsidRPr="00F901B5">
        <w:t xml:space="preserve"> národní</w:t>
      </w:r>
      <w:r>
        <w:t>m</w:t>
      </w:r>
      <w:r w:rsidRPr="00F901B5">
        <w:t xml:space="preserve"> hospodářství</w:t>
      </w:r>
      <w:r>
        <w:t>m. K růstu HPH</w:t>
      </w:r>
      <w:r w:rsidRPr="001A6D9B">
        <w:t xml:space="preserve"> nejvýrazněji přispěl</w:t>
      </w:r>
      <w:r>
        <w:t xml:space="preserve"> vývoj v průmyslu (+1,1 p. b.), ve skupině odvětví obchodu, dopravy, ubytování </w:t>
      </w:r>
      <w:r w:rsidR="008976A5">
        <w:t>a pohostinství (+0,4 </w:t>
      </w:r>
      <w:bookmarkStart w:id="0" w:name="_GoBack"/>
      <w:bookmarkEnd w:id="0"/>
      <w:r>
        <w:t>p.</w:t>
      </w:r>
      <w:r w:rsidR="008976A5">
        <w:t> </w:t>
      </w:r>
      <w:r>
        <w:t>b.) a skupině odvětví veřejné správy, vzdělávání, zdravotní a sociální péče (+0,5 p. b.).</w:t>
      </w:r>
    </w:p>
    <w:p w:rsidR="00981D35" w:rsidRPr="007E5CB4" w:rsidRDefault="00981D35" w:rsidP="00981D35">
      <w:pPr>
        <w:spacing w:before="240"/>
      </w:pPr>
      <w:r w:rsidRPr="0095162E">
        <w:rPr>
          <w:b/>
        </w:rPr>
        <w:lastRenderedPageBreak/>
        <w:t>Celková zaměstnanost</w:t>
      </w:r>
      <w:r w:rsidRPr="0095162E">
        <w:t xml:space="preserve"> </w:t>
      </w:r>
      <w:r w:rsidR="003734EA">
        <w:t>vzrostla</w:t>
      </w:r>
      <w:r w:rsidRPr="0095162E">
        <w:t xml:space="preserve"> ve srovnání s předchozím rokem o </w:t>
      </w:r>
      <w:r w:rsidR="003734EA">
        <w:t>0</w:t>
      </w:r>
      <w:r w:rsidRPr="0095162E">
        <w:t>,</w:t>
      </w:r>
      <w:r w:rsidR="003734EA">
        <w:t>1</w:t>
      </w:r>
      <w:r w:rsidRPr="0095162E">
        <w:t> % na 5 </w:t>
      </w:r>
      <w:r>
        <w:t>3</w:t>
      </w:r>
      <w:r w:rsidR="003734EA">
        <w:t>4</w:t>
      </w:r>
      <w:r w:rsidR="002D2649">
        <w:t>7</w:t>
      </w:r>
      <w:r w:rsidRPr="0095162E">
        <w:t xml:space="preserve"> tisíc osob. </w:t>
      </w:r>
      <w:r>
        <w:t xml:space="preserve">Celkem </w:t>
      </w:r>
      <w:r w:rsidRPr="0095162E">
        <w:t xml:space="preserve">bylo </w:t>
      </w:r>
      <w:r>
        <w:t xml:space="preserve">odpracováno </w:t>
      </w:r>
      <w:r w:rsidRPr="0095162E">
        <w:t xml:space="preserve">o </w:t>
      </w:r>
      <w:r w:rsidR="003734EA">
        <w:t>2</w:t>
      </w:r>
      <w:r>
        <w:t>,</w:t>
      </w:r>
      <w:r w:rsidR="00152BAF">
        <w:t>9</w:t>
      </w:r>
      <w:r>
        <w:t xml:space="preserve"> % hodin </w:t>
      </w:r>
      <w:r w:rsidR="003734EA">
        <w:t>více</w:t>
      </w:r>
      <w:r w:rsidRPr="0095162E">
        <w:t xml:space="preserve"> než v roce 20</w:t>
      </w:r>
      <w:r w:rsidR="003734EA">
        <w:t>20</w:t>
      </w:r>
      <w:r w:rsidRPr="0095162E">
        <w:t>.</w:t>
      </w:r>
    </w:p>
    <w:p w:rsidR="007C771E" w:rsidRDefault="007C771E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>
        <w:rPr>
          <w:i/>
        </w:rPr>
        <w:t>Poznámky:</w:t>
      </w:r>
    </w:p>
    <w:p w:rsidR="00981D35" w:rsidRPr="004E3EF6" w:rsidRDefault="00981D35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 w:rsidRPr="004E3EF6">
        <w:rPr>
          <w:i/>
        </w:rPr>
        <w:t>Zodpovědný vedoucí pracovník:</w:t>
      </w:r>
      <w:r w:rsidRPr="004E3EF6">
        <w:rPr>
          <w:i/>
        </w:rPr>
        <w:tab/>
      </w:r>
      <w:r>
        <w:rPr>
          <w:i/>
        </w:rPr>
        <w:t xml:space="preserve">Ing. Vladimír </w:t>
      </w:r>
      <w:proofErr w:type="spellStart"/>
      <w:r>
        <w:rPr>
          <w:i/>
        </w:rPr>
        <w:t>Kermiet</w:t>
      </w:r>
      <w:proofErr w:type="spellEnd"/>
      <w:r>
        <w:rPr>
          <w:i/>
        </w:rPr>
        <w:t>, ředitel o</w:t>
      </w:r>
      <w:r w:rsidRPr="004E3EF6">
        <w:rPr>
          <w:i/>
        </w:rPr>
        <w:t>dboru národních účtů, tel. 274 054 247, e</w:t>
      </w:r>
      <w:r w:rsidRPr="004E3EF6">
        <w:rPr>
          <w:i/>
        </w:rPr>
        <w:noBreakHyphen/>
        <w:t>mail: </w:t>
      </w:r>
      <w:hyperlink r:id="rId7" w:history="1">
        <w:r w:rsidRPr="004E3EF6">
          <w:rPr>
            <w:rStyle w:val="Hypertextovodkaz"/>
            <w:i/>
          </w:rPr>
          <w:t>vladimir.kermiet@czso.cz</w:t>
        </w:r>
      </w:hyperlink>
      <w:r w:rsidRPr="004E3EF6">
        <w:rPr>
          <w:i/>
        </w:rPr>
        <w:t xml:space="preserve"> </w:t>
      </w:r>
    </w:p>
    <w:p w:rsidR="00981D35" w:rsidRPr="004E3EF6" w:rsidRDefault="00981D35" w:rsidP="00981D35">
      <w:pPr>
        <w:pStyle w:val="Poznamkytexty"/>
        <w:spacing w:before="120"/>
        <w:ind w:left="4253" w:hanging="4253"/>
        <w:jc w:val="left"/>
      </w:pPr>
      <w:r w:rsidRPr="004E3EF6">
        <w:t>Kontaktní osoba:</w:t>
      </w:r>
      <w:r w:rsidRPr="004E3EF6">
        <w:tab/>
      </w:r>
      <w:r w:rsidRPr="005F6D4D">
        <w:t>Ing. Jan</w:t>
      </w:r>
      <w:r>
        <w:t xml:space="preserve"> Benedikt</w:t>
      </w:r>
      <w:r w:rsidRPr="00315471">
        <w:t xml:space="preserve">, </w:t>
      </w:r>
      <w:r>
        <w:t>oddělení čtvrtletních odhadů</w:t>
      </w:r>
      <w:r w:rsidRPr="004E3EF6">
        <w:t>, tel. </w:t>
      </w:r>
      <w:r w:rsidRPr="00315471">
        <w:t>274 052 750, e</w:t>
      </w:r>
      <w:r w:rsidRPr="00315471">
        <w:noBreakHyphen/>
        <w:t>mail: </w:t>
      </w:r>
      <w:hyperlink r:id="rId8" w:history="1">
        <w:r w:rsidRPr="00D82385">
          <w:rPr>
            <w:rStyle w:val="Hypertextovodkaz"/>
          </w:rPr>
          <w:t>jan.benedikt@czso.cz</w:t>
        </w:r>
      </w:hyperlink>
      <w:r w:rsidRPr="004E3EF6">
        <w:t xml:space="preserve"> </w:t>
      </w:r>
    </w:p>
    <w:p w:rsidR="00981D35" w:rsidRPr="004E3EF6" w:rsidRDefault="00981D35" w:rsidP="00981D35">
      <w:pPr>
        <w:pStyle w:val="Poznamkytexty"/>
        <w:spacing w:before="120"/>
        <w:ind w:left="4253" w:hanging="4253"/>
      </w:pPr>
      <w:r w:rsidRPr="004E3EF6">
        <w:t>Aktuálnost použitých datových zdrojů:</w:t>
      </w:r>
      <w:r w:rsidRPr="004E3EF6">
        <w:tab/>
        <w:t>2</w:t>
      </w:r>
      <w:r>
        <w:t>2</w:t>
      </w:r>
      <w:r w:rsidRPr="004E3EF6">
        <w:t>.</w:t>
      </w:r>
      <w:r>
        <w:t xml:space="preserve"> února 202</w:t>
      </w:r>
      <w:r w:rsidR="00324416">
        <w:t>2</w:t>
      </w:r>
    </w:p>
    <w:p w:rsidR="00981D35" w:rsidRPr="00FE1D62" w:rsidRDefault="00981D35" w:rsidP="00981D35">
      <w:pPr>
        <w:pStyle w:val="Poznamkytexty"/>
        <w:spacing w:before="120"/>
        <w:ind w:left="4253" w:hanging="4253"/>
      </w:pPr>
      <w:r w:rsidRPr="00FE1D62">
        <w:t>Časové řady:</w:t>
      </w:r>
      <w:r w:rsidRPr="00FE1D62">
        <w:tab/>
      </w:r>
      <w:hyperlink r:id="rId9" w:history="1">
        <w:r w:rsidRPr="00FE1D62">
          <w:rPr>
            <w:rStyle w:val="Hypertextovodkaz"/>
          </w:rPr>
          <w:t>https://www.czso.cz/csu/czso/hdp_cr</w:t>
        </w:r>
      </w:hyperlink>
      <w:r w:rsidRPr="00FE1D62">
        <w:t xml:space="preserve"> </w:t>
      </w:r>
    </w:p>
    <w:p w:rsidR="00981D35" w:rsidRPr="00424047" w:rsidRDefault="00981D35" w:rsidP="00981D35">
      <w:pPr>
        <w:pStyle w:val="Poznamkytexty"/>
        <w:spacing w:before="120"/>
        <w:ind w:left="4253" w:hanging="4253"/>
        <w:jc w:val="left"/>
        <w:rPr>
          <w:highlight w:val="yellow"/>
        </w:rPr>
      </w:pPr>
      <w:r w:rsidRPr="00FE1D62">
        <w:t>Internetové stránky RI:</w:t>
      </w:r>
      <w:r w:rsidRPr="00FE1D62">
        <w:tab/>
      </w:r>
      <w:hyperlink r:id="rId10" w:history="1">
        <w:r w:rsidRPr="00FE1D62">
          <w:rPr>
            <w:rStyle w:val="Hypertextovodkaz"/>
            <w:iCs/>
          </w:rPr>
          <w:t>https://www.czso.cz/csu/czso/ctvrtletni-narodni-ucty-tvorba-a-uziti-hdp-a-predbezny-odhad-hdp</w:t>
        </w:r>
      </w:hyperlink>
    </w:p>
    <w:p w:rsidR="00981D35" w:rsidRDefault="00981D35" w:rsidP="00981D35">
      <w:pPr>
        <w:pStyle w:val="Poznamkytexty"/>
        <w:spacing w:before="120"/>
        <w:ind w:left="4253" w:hanging="4253"/>
        <w:jc w:val="left"/>
      </w:pPr>
      <w:r w:rsidRPr="00FE1D62">
        <w:t>Termín zveřejnění další RI:</w:t>
      </w:r>
      <w:r w:rsidRPr="00FE1D62">
        <w:tab/>
      </w:r>
      <w:r w:rsidR="00324416">
        <w:t>29</w:t>
      </w:r>
      <w:r w:rsidRPr="00FE1D62">
        <w:t xml:space="preserve">. </w:t>
      </w:r>
      <w:r>
        <w:t>dubna 202</w:t>
      </w:r>
      <w:r w:rsidR="00324416">
        <w:t>2</w:t>
      </w:r>
      <w:r w:rsidRPr="00FE1D62">
        <w:t xml:space="preserve"> </w:t>
      </w:r>
      <w:r w:rsidRPr="00FE1D62">
        <w:br/>
        <w:t xml:space="preserve">(Předběžný odhad HDP za </w:t>
      </w:r>
      <w:r>
        <w:t>1</w:t>
      </w:r>
      <w:r w:rsidRPr="00FE1D62">
        <w:t>. čtvrtletí 20</w:t>
      </w:r>
      <w:r>
        <w:t>2</w:t>
      </w:r>
      <w:r w:rsidR="00324416">
        <w:t>2</w:t>
      </w:r>
      <w:r w:rsidRPr="00FE1D62">
        <w:t>)</w:t>
      </w:r>
    </w:p>
    <w:p w:rsidR="00D209A7" w:rsidRPr="00981D35" w:rsidRDefault="00D209A7" w:rsidP="00981D35"/>
    <w:sectPr w:rsidR="00D209A7" w:rsidRPr="00981D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4E" w:rsidRDefault="004F134E" w:rsidP="00BA6370">
      <w:r>
        <w:separator/>
      </w:r>
    </w:p>
  </w:endnote>
  <w:endnote w:type="continuationSeparator" w:id="0">
    <w:p w:rsidR="004F134E" w:rsidRDefault="004F134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976A5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976A5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2DB5B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4E" w:rsidRDefault="004F134E" w:rsidP="00BA6370">
      <w:r>
        <w:separator/>
      </w:r>
    </w:p>
  </w:footnote>
  <w:footnote w:type="continuationSeparator" w:id="0">
    <w:p w:rsidR="004F134E" w:rsidRDefault="004F134E" w:rsidP="00BA6370">
      <w:r>
        <w:continuationSeparator/>
      </w:r>
    </w:p>
  </w:footnote>
  <w:footnote w:id="1">
    <w:p w:rsidR="00981D35" w:rsidRPr="00247C5D" w:rsidRDefault="00981D35" w:rsidP="00981D35">
      <w:pPr>
        <w:pStyle w:val="Textpoznpodarou"/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2">
    <w:p w:rsidR="00981D35" w:rsidRPr="00403FFD" w:rsidRDefault="00981D35" w:rsidP="00981D35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užití, pokud není uvedeno jinak.</w:t>
      </w:r>
    </w:p>
  </w:footnote>
  <w:footnote w:id="3">
    <w:p w:rsidR="00981D35" w:rsidRPr="00943006" w:rsidRDefault="00981D35" w:rsidP="00981D35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 běžných cenách, neočištěno o sezónní vlivy.</w:t>
      </w:r>
    </w:p>
  </w:footnote>
  <w:footnote w:id="4">
    <w:p w:rsidR="00981D35" w:rsidRPr="00877248" w:rsidRDefault="00981D35" w:rsidP="00981D35">
      <w:pPr>
        <w:pStyle w:val="Textpoznpodarou"/>
        <w:spacing w:line="288" w:lineRule="auto"/>
        <w:rPr>
          <w:rFonts w:ascii="Arial" w:hAnsi="Arial" w:cs="Arial"/>
          <w:i/>
          <w:sz w:val="22"/>
        </w:rPr>
      </w:pPr>
      <w:r w:rsidRPr="00877248">
        <w:rPr>
          <w:rStyle w:val="Znakapoznpodarou"/>
          <w:rFonts w:ascii="Arial" w:hAnsi="Arial" w:cs="Arial"/>
          <w:i/>
          <w:sz w:val="18"/>
        </w:rPr>
        <w:footnoteRef/>
      </w:r>
      <w:r w:rsidRPr="00877248">
        <w:rPr>
          <w:rFonts w:ascii="Arial" w:hAnsi="Arial" w:cs="Arial"/>
          <w:i/>
          <w:sz w:val="18"/>
        </w:rPr>
        <w:t xml:space="preserve"> V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2751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43BF4"/>
    <w:rsid w:val="000671A9"/>
    <w:rsid w:val="000754C2"/>
    <w:rsid w:val="000843A5"/>
    <w:rsid w:val="000910DA"/>
    <w:rsid w:val="00096D6C"/>
    <w:rsid w:val="000B6F63"/>
    <w:rsid w:val="000D093F"/>
    <w:rsid w:val="000D3E39"/>
    <w:rsid w:val="000E43CC"/>
    <w:rsid w:val="001404AB"/>
    <w:rsid w:val="001511B3"/>
    <w:rsid w:val="00152BAF"/>
    <w:rsid w:val="0017231D"/>
    <w:rsid w:val="001810DC"/>
    <w:rsid w:val="00187632"/>
    <w:rsid w:val="001B607F"/>
    <w:rsid w:val="001D369A"/>
    <w:rsid w:val="001F08B3"/>
    <w:rsid w:val="001F2FE0"/>
    <w:rsid w:val="00200854"/>
    <w:rsid w:val="002070FB"/>
    <w:rsid w:val="00213729"/>
    <w:rsid w:val="002406FA"/>
    <w:rsid w:val="00254511"/>
    <w:rsid w:val="0026107B"/>
    <w:rsid w:val="00275DF8"/>
    <w:rsid w:val="00283787"/>
    <w:rsid w:val="00284C2C"/>
    <w:rsid w:val="002B2E47"/>
    <w:rsid w:val="002D2649"/>
    <w:rsid w:val="002D7F4F"/>
    <w:rsid w:val="00324416"/>
    <w:rsid w:val="003301A3"/>
    <w:rsid w:val="0036777B"/>
    <w:rsid w:val="003734EA"/>
    <w:rsid w:val="0038282A"/>
    <w:rsid w:val="00397580"/>
    <w:rsid w:val="003A45C8"/>
    <w:rsid w:val="003C2DCF"/>
    <w:rsid w:val="003C4F7B"/>
    <w:rsid w:val="003C7FE7"/>
    <w:rsid w:val="003D0499"/>
    <w:rsid w:val="003D3576"/>
    <w:rsid w:val="003D529B"/>
    <w:rsid w:val="003F526A"/>
    <w:rsid w:val="00405244"/>
    <w:rsid w:val="004154C7"/>
    <w:rsid w:val="004436EE"/>
    <w:rsid w:val="0045547F"/>
    <w:rsid w:val="00471DEF"/>
    <w:rsid w:val="00472310"/>
    <w:rsid w:val="004920AD"/>
    <w:rsid w:val="004C1BBB"/>
    <w:rsid w:val="004D05B3"/>
    <w:rsid w:val="004E479E"/>
    <w:rsid w:val="004F134E"/>
    <w:rsid w:val="004F686C"/>
    <w:rsid w:val="004F78E6"/>
    <w:rsid w:val="0050420E"/>
    <w:rsid w:val="00512D99"/>
    <w:rsid w:val="005211E4"/>
    <w:rsid w:val="00531DBB"/>
    <w:rsid w:val="00573994"/>
    <w:rsid w:val="00585F13"/>
    <w:rsid w:val="005E7011"/>
    <w:rsid w:val="005F79FB"/>
    <w:rsid w:val="00604406"/>
    <w:rsid w:val="00605F4A"/>
    <w:rsid w:val="00607822"/>
    <w:rsid w:val="006103AA"/>
    <w:rsid w:val="00613BBF"/>
    <w:rsid w:val="00622B80"/>
    <w:rsid w:val="0064139A"/>
    <w:rsid w:val="00680927"/>
    <w:rsid w:val="00683F5C"/>
    <w:rsid w:val="00692211"/>
    <w:rsid w:val="006931CF"/>
    <w:rsid w:val="006C05CC"/>
    <w:rsid w:val="006C0678"/>
    <w:rsid w:val="006D21EB"/>
    <w:rsid w:val="006E024F"/>
    <w:rsid w:val="006E4E81"/>
    <w:rsid w:val="00707F7D"/>
    <w:rsid w:val="00717EC5"/>
    <w:rsid w:val="00734E3E"/>
    <w:rsid w:val="00754C20"/>
    <w:rsid w:val="007A2048"/>
    <w:rsid w:val="007A57F2"/>
    <w:rsid w:val="007B1333"/>
    <w:rsid w:val="007C771E"/>
    <w:rsid w:val="007F4AEB"/>
    <w:rsid w:val="007F75B2"/>
    <w:rsid w:val="00803993"/>
    <w:rsid w:val="008043C4"/>
    <w:rsid w:val="00817ADC"/>
    <w:rsid w:val="00831B1B"/>
    <w:rsid w:val="00844154"/>
    <w:rsid w:val="00855FB3"/>
    <w:rsid w:val="00861D0E"/>
    <w:rsid w:val="00862A04"/>
    <w:rsid w:val="008662BB"/>
    <w:rsid w:val="00867569"/>
    <w:rsid w:val="00870B17"/>
    <w:rsid w:val="00884917"/>
    <w:rsid w:val="00896680"/>
    <w:rsid w:val="008976A5"/>
    <w:rsid w:val="008A750A"/>
    <w:rsid w:val="008B3970"/>
    <w:rsid w:val="008C384C"/>
    <w:rsid w:val="008D0F11"/>
    <w:rsid w:val="008D5290"/>
    <w:rsid w:val="008D7206"/>
    <w:rsid w:val="008F24E5"/>
    <w:rsid w:val="008F73B4"/>
    <w:rsid w:val="00904B72"/>
    <w:rsid w:val="0094322B"/>
    <w:rsid w:val="00981D35"/>
    <w:rsid w:val="00986DD7"/>
    <w:rsid w:val="009B55B1"/>
    <w:rsid w:val="009B62A7"/>
    <w:rsid w:val="00A0762A"/>
    <w:rsid w:val="00A1095E"/>
    <w:rsid w:val="00A15612"/>
    <w:rsid w:val="00A16A1F"/>
    <w:rsid w:val="00A4343D"/>
    <w:rsid w:val="00A502F1"/>
    <w:rsid w:val="00A70A83"/>
    <w:rsid w:val="00A81EB3"/>
    <w:rsid w:val="00A955BC"/>
    <w:rsid w:val="00AB3410"/>
    <w:rsid w:val="00AD04BF"/>
    <w:rsid w:val="00AD7489"/>
    <w:rsid w:val="00B00C1D"/>
    <w:rsid w:val="00B55375"/>
    <w:rsid w:val="00B632CC"/>
    <w:rsid w:val="00BA12F1"/>
    <w:rsid w:val="00BA439F"/>
    <w:rsid w:val="00BA6370"/>
    <w:rsid w:val="00BF7B16"/>
    <w:rsid w:val="00C009CE"/>
    <w:rsid w:val="00C269D4"/>
    <w:rsid w:val="00C31C8E"/>
    <w:rsid w:val="00C35900"/>
    <w:rsid w:val="00C37ADB"/>
    <w:rsid w:val="00C4160D"/>
    <w:rsid w:val="00C8406E"/>
    <w:rsid w:val="00CA2DB0"/>
    <w:rsid w:val="00CB2709"/>
    <w:rsid w:val="00CB6F89"/>
    <w:rsid w:val="00CC0AE9"/>
    <w:rsid w:val="00CD618A"/>
    <w:rsid w:val="00CE13A2"/>
    <w:rsid w:val="00CE228C"/>
    <w:rsid w:val="00CE71D9"/>
    <w:rsid w:val="00CF545B"/>
    <w:rsid w:val="00D209A7"/>
    <w:rsid w:val="00D27D69"/>
    <w:rsid w:val="00D33658"/>
    <w:rsid w:val="00D3597A"/>
    <w:rsid w:val="00D448C2"/>
    <w:rsid w:val="00D666C3"/>
    <w:rsid w:val="00D67AAE"/>
    <w:rsid w:val="00D9189F"/>
    <w:rsid w:val="00DC014F"/>
    <w:rsid w:val="00DD6F49"/>
    <w:rsid w:val="00DF0E94"/>
    <w:rsid w:val="00DF47FE"/>
    <w:rsid w:val="00E0156A"/>
    <w:rsid w:val="00E13264"/>
    <w:rsid w:val="00E256DA"/>
    <w:rsid w:val="00E26704"/>
    <w:rsid w:val="00E31980"/>
    <w:rsid w:val="00E6423C"/>
    <w:rsid w:val="00E93830"/>
    <w:rsid w:val="00E93E0E"/>
    <w:rsid w:val="00EB1ED3"/>
    <w:rsid w:val="00F60982"/>
    <w:rsid w:val="00F75F2A"/>
    <w:rsid w:val="00FB687C"/>
    <w:rsid w:val="00FF37CD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1bc"/>
    </o:shapedefaults>
    <o:shapelayout v:ext="edit">
      <o:idmap v:ext="edit" data="1"/>
    </o:shapelayout>
  </w:shapeDefaults>
  <w:decimalSymbol w:val=","/>
  <w:listSeparator w:val=";"/>
  <w14:docId w14:val="5D392052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hdp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7503-8266-45A3-BB6F-A078B115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530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5499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Ing. Jan Benedikt</cp:lastModifiedBy>
  <cp:revision>45</cp:revision>
  <dcterms:created xsi:type="dcterms:W3CDTF">2022-02-16T10:08:00Z</dcterms:created>
  <dcterms:modified xsi:type="dcterms:W3CDTF">2022-02-28T08:46:00Z</dcterms:modified>
</cp:coreProperties>
</file>