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Default="002B4057" w:rsidP="00867569">
      <w:pPr>
        <w:pStyle w:val="Datum"/>
      </w:pPr>
      <w:r>
        <w:t>7. 8</w:t>
      </w:r>
      <w:r w:rsidR="00475A42">
        <w:t>. 2015</w:t>
      </w:r>
    </w:p>
    <w:p w:rsidR="003D2918" w:rsidRDefault="001434F0" w:rsidP="003D2918">
      <w:pPr>
        <w:pStyle w:val="Nzev"/>
      </w:pPr>
      <w:r>
        <w:t xml:space="preserve">Ve většině odvětví </w:t>
      </w:r>
      <w:r w:rsidR="00906B60">
        <w:t xml:space="preserve">služeb </w:t>
      </w:r>
      <w:r>
        <w:t>tržby rostly</w:t>
      </w:r>
    </w:p>
    <w:p w:rsidR="008B3970" w:rsidRDefault="00F004F1" w:rsidP="008B3970">
      <w:pPr>
        <w:pStyle w:val="Podtitulek"/>
      </w:pPr>
      <w:r>
        <w:t xml:space="preserve">Služby – </w:t>
      </w:r>
      <w:r w:rsidR="00313B02">
        <w:t>2</w:t>
      </w:r>
      <w:r w:rsidR="00475A42">
        <w:t>. čtvrtletí 2015</w:t>
      </w:r>
    </w:p>
    <w:p w:rsidR="005A7CEA" w:rsidRDefault="005A7CEA" w:rsidP="005A7CEA">
      <w:pPr>
        <w:rPr>
          <w:b/>
          <w:bCs/>
          <w:iCs/>
        </w:rPr>
      </w:pPr>
      <w:r>
        <w:rPr>
          <w:b/>
          <w:bCs/>
          <w:iCs/>
        </w:rPr>
        <w:t>Ve 2. čtvrtletí sezónně očištěné tržby ve službách reálně mezičtvrletně stagnovaly. Tržby očištěné o vliv počtu pracov</w:t>
      </w:r>
      <w:r w:rsidR="00906B60">
        <w:rPr>
          <w:b/>
          <w:bCs/>
          <w:iCs/>
        </w:rPr>
        <w:t>ních dní se meziročně zvýšily o 2,2 </w:t>
      </w:r>
      <w:r>
        <w:rPr>
          <w:b/>
          <w:bCs/>
          <w:iCs/>
        </w:rPr>
        <w:t xml:space="preserve">%, stejně jako bez očištění. Na růstu se podílela všechna odvětví s výjimkou dopravy a skladování. </w:t>
      </w:r>
    </w:p>
    <w:p w:rsidR="005A7CEA" w:rsidRDefault="005A7CEA" w:rsidP="005A7CEA">
      <w:pPr>
        <w:rPr>
          <w:b/>
          <w:bCs/>
          <w:iCs/>
        </w:rPr>
      </w:pPr>
    </w:p>
    <w:p w:rsidR="00313B02" w:rsidRPr="005A7CEA" w:rsidRDefault="006E09C6" w:rsidP="00313B02">
      <w:pPr>
        <w:rPr>
          <w:bCs/>
          <w:iCs/>
        </w:rPr>
      </w:pPr>
      <w:r>
        <w:rPr>
          <w:bCs/>
        </w:rPr>
        <w:t>Ve 2</w:t>
      </w:r>
      <w:r w:rsidR="005A7CEA" w:rsidRPr="005A0775">
        <w:rPr>
          <w:bCs/>
        </w:rPr>
        <w:t xml:space="preserve">. čtvrtletí </w:t>
      </w:r>
      <w:r w:rsidR="005A7CEA" w:rsidRPr="000821DB">
        <w:rPr>
          <w:b/>
          <w:bCs/>
        </w:rPr>
        <w:t>sezónně očištěné tržby ve službách</w:t>
      </w:r>
      <w:r w:rsidR="005A7CEA" w:rsidRPr="000821DB">
        <w:rPr>
          <w:rStyle w:val="Znakapoznpodarou"/>
          <w:b/>
          <w:bCs/>
        </w:rPr>
        <w:footnoteReference w:customMarkFollows="1" w:id="1"/>
        <w:t>1)</w:t>
      </w:r>
      <w:r w:rsidR="005A7CEA" w:rsidRPr="000821DB">
        <w:rPr>
          <w:b/>
          <w:bCs/>
        </w:rPr>
        <w:t xml:space="preserve"> reálně mezičtvrtletně stagnovaly</w:t>
      </w:r>
      <w:r w:rsidR="005A7CEA">
        <w:rPr>
          <w:bCs/>
        </w:rPr>
        <w:t xml:space="preserve">. </w:t>
      </w:r>
      <w:r w:rsidR="005A7CEA">
        <w:rPr>
          <w:b/>
          <w:bCs/>
        </w:rPr>
        <w:t xml:space="preserve">Tržby po očištění o vliv počtu pracovních dní se meziročně zvýšily </w:t>
      </w:r>
      <w:r w:rsidR="005A7CEA" w:rsidRPr="000821DB">
        <w:rPr>
          <w:bCs/>
        </w:rPr>
        <w:t>o</w:t>
      </w:r>
      <w:r w:rsidR="00906B60">
        <w:rPr>
          <w:b/>
          <w:bCs/>
        </w:rPr>
        <w:t> </w:t>
      </w:r>
      <w:r w:rsidR="00906B60">
        <w:rPr>
          <w:bCs/>
        </w:rPr>
        <w:t>2,2 </w:t>
      </w:r>
      <w:r w:rsidR="005A7CEA">
        <w:rPr>
          <w:bCs/>
        </w:rPr>
        <w:t xml:space="preserve">%, stejně jako bez očištění </w:t>
      </w:r>
      <w:r w:rsidR="005A7CEA" w:rsidRPr="00FF3FAB">
        <w:rPr>
          <w:rFonts w:cs="Arial"/>
          <w:bCs/>
        </w:rPr>
        <w:t>(v</w:t>
      </w:r>
      <w:r w:rsidR="00906B60">
        <w:rPr>
          <w:rFonts w:cs="Arial"/>
          <w:bCs/>
        </w:rPr>
        <w:t>e 2. </w:t>
      </w:r>
      <w:r w:rsidR="005A7CEA">
        <w:rPr>
          <w:rFonts w:cs="Arial"/>
          <w:bCs/>
        </w:rPr>
        <w:t>čtvrtletí</w:t>
      </w:r>
      <w:r w:rsidR="005A7CEA" w:rsidRPr="00FF3FAB">
        <w:rPr>
          <w:rFonts w:cs="Arial"/>
          <w:bCs/>
        </w:rPr>
        <w:t xml:space="preserve"> 2</w:t>
      </w:r>
      <w:r w:rsidR="005A7CEA">
        <w:rPr>
          <w:rFonts w:cs="Arial"/>
          <w:bCs/>
        </w:rPr>
        <w:t>014 i 2015 byl</w:t>
      </w:r>
      <w:r w:rsidR="005A7CEA" w:rsidRPr="00FF3FAB">
        <w:rPr>
          <w:rFonts w:cs="Arial"/>
          <w:bCs/>
        </w:rPr>
        <w:t xml:space="preserve"> </w:t>
      </w:r>
      <w:r w:rsidR="005A7CEA">
        <w:rPr>
          <w:rFonts w:cs="Arial"/>
          <w:bCs/>
        </w:rPr>
        <w:t xml:space="preserve">shodný počet pracovních dní). </w:t>
      </w:r>
      <w:r w:rsidR="003553CB">
        <w:rPr>
          <w:rFonts w:cs="Arial"/>
          <w:bCs/>
        </w:rPr>
        <w:t>Růst</w:t>
      </w:r>
      <w:r w:rsidR="005A7CEA">
        <w:rPr>
          <w:rFonts w:cs="Arial"/>
          <w:bCs/>
        </w:rPr>
        <w:t xml:space="preserve"> vykázala všechna odvětví</w:t>
      </w:r>
      <w:r w:rsidR="003553CB">
        <w:rPr>
          <w:rFonts w:cs="Arial"/>
          <w:bCs/>
        </w:rPr>
        <w:t xml:space="preserve"> služeb</w:t>
      </w:r>
      <w:r w:rsidR="005A7CEA">
        <w:rPr>
          <w:rFonts w:cs="Arial"/>
          <w:bCs/>
        </w:rPr>
        <w:t xml:space="preserve"> s výjimkou </w:t>
      </w:r>
      <w:r w:rsidR="00C46950">
        <w:rPr>
          <w:rFonts w:cs="Arial"/>
          <w:bCs/>
        </w:rPr>
        <w:t xml:space="preserve">objemově nejvýznamnější </w:t>
      </w:r>
      <w:r w:rsidR="005A7CEA">
        <w:rPr>
          <w:rFonts w:cs="Arial"/>
          <w:bCs/>
        </w:rPr>
        <w:t xml:space="preserve">dopravy a skladování. </w:t>
      </w:r>
    </w:p>
    <w:p w:rsidR="00F004F1" w:rsidRDefault="00F004F1" w:rsidP="00043BF4">
      <w:pPr>
        <w:pStyle w:val="Nadpis1"/>
      </w:pPr>
    </w:p>
    <w:p w:rsidR="00F004F1" w:rsidRDefault="00F004F1" w:rsidP="00F004F1">
      <w:pPr>
        <w:rPr>
          <w:b/>
          <w:bCs/>
          <w:iCs/>
        </w:rPr>
      </w:pPr>
      <w:r>
        <w:rPr>
          <w:b/>
          <w:bCs/>
          <w:iCs/>
        </w:rPr>
        <w:t>Meziroční vývoj sezónně neočištěných tržeb v jednotlivých odvětvích služeb:</w:t>
      </w:r>
    </w:p>
    <w:p w:rsidR="002B4057" w:rsidRDefault="002B4057" w:rsidP="005404AD">
      <w:pPr>
        <w:numPr>
          <w:ilvl w:val="0"/>
          <w:numId w:val="1"/>
        </w:numPr>
        <w:tabs>
          <w:tab w:val="left" w:pos="284"/>
        </w:tabs>
        <w:ind w:left="284" w:hanging="284"/>
      </w:pPr>
      <w:r>
        <w:t>v </w:t>
      </w:r>
      <w:r w:rsidRPr="00C0006F">
        <w:rPr>
          <w:b/>
        </w:rPr>
        <w:t>dopravě a skladování</w:t>
      </w:r>
      <w:r>
        <w:t xml:space="preserve"> se </w:t>
      </w:r>
      <w:r w:rsidR="00C12724">
        <w:t>tržby snížily</w:t>
      </w:r>
      <w:r w:rsidR="00906B60">
        <w:t xml:space="preserve"> o 0,8 </w:t>
      </w:r>
      <w:r>
        <w:t>%. Pokles by</w:t>
      </w:r>
      <w:r w:rsidR="008D51DB">
        <w:t>l ovlivněn především vývojem ve </w:t>
      </w:r>
      <w:r w:rsidR="00906B60">
        <w:t>skladování a </w:t>
      </w:r>
      <w:r>
        <w:t>vedlejších činnostech v </w:t>
      </w:r>
      <w:r w:rsidR="00610B93">
        <w:t>dopravě, kde tržby klesly o 6,2 </w:t>
      </w:r>
      <w:r>
        <w:t>%. Nižší tržby v</w:t>
      </w:r>
      <w:r w:rsidR="00610B93">
        <w:t>ykázala také letecká doprava (o 6,7 </w:t>
      </w:r>
      <w:r>
        <w:t>%) a</w:t>
      </w:r>
      <w:r w:rsidR="00906B60">
        <w:t> poštovní a </w:t>
      </w:r>
      <w:r w:rsidR="00610B93">
        <w:t>kurýrní činnosti (o 1,5 </w:t>
      </w:r>
      <w:r>
        <w:t xml:space="preserve">%). Naopak růst </w:t>
      </w:r>
      <w:r w:rsidR="008D51DB" w:rsidRPr="008D51DB">
        <w:t>o</w:t>
      </w:r>
      <w:r w:rsidR="008D51DB">
        <w:t> </w:t>
      </w:r>
      <w:r w:rsidR="00981C97" w:rsidRPr="008D51DB">
        <w:t>3</w:t>
      </w:r>
      <w:r w:rsidR="008D51DB">
        <w:t>,5 </w:t>
      </w:r>
      <w:r w:rsidR="00981C97">
        <w:t xml:space="preserve">% </w:t>
      </w:r>
      <w:r>
        <w:t xml:space="preserve">zaznamenala objemově nejvýznamnější pozemní a potrubní doprava, </w:t>
      </w:r>
      <w:r w:rsidR="00981C97">
        <w:t>kde</w:t>
      </w:r>
      <w:r w:rsidR="003553CB">
        <w:t xml:space="preserve"> tržby </w:t>
      </w:r>
      <w:r w:rsidR="00981C97">
        <w:t>rostly</w:t>
      </w:r>
      <w:r w:rsidR="003553CB">
        <w:t xml:space="preserve"> již desáté</w:t>
      </w:r>
      <w:r w:rsidR="00610B93">
        <w:t xml:space="preserve"> čtvrtletí v</w:t>
      </w:r>
      <w:r w:rsidR="00B745A2">
        <w:t> </w:t>
      </w:r>
      <w:r w:rsidR="00610B93">
        <w:t>řadě</w:t>
      </w:r>
      <w:r w:rsidR="00B745A2">
        <w:t>.</w:t>
      </w:r>
      <w:r w:rsidR="00981C97">
        <w:t xml:space="preserve"> Vyšší tržby </w:t>
      </w:r>
      <w:bookmarkStart w:id="0" w:name="_GoBack"/>
      <w:bookmarkEnd w:id="0"/>
      <w:r>
        <w:t xml:space="preserve">vykázala </w:t>
      </w:r>
      <w:r w:rsidR="003553CB">
        <w:t xml:space="preserve">i </w:t>
      </w:r>
      <w:r w:rsidR="00610B93">
        <w:t>vodní doprava (o 0,9 </w:t>
      </w:r>
      <w:r>
        <w:t>%);</w:t>
      </w:r>
    </w:p>
    <w:p w:rsidR="005404AD" w:rsidRDefault="005404AD" w:rsidP="005404AD">
      <w:pPr>
        <w:tabs>
          <w:tab w:val="left" w:pos="284"/>
        </w:tabs>
        <w:ind w:left="284"/>
      </w:pPr>
    </w:p>
    <w:p w:rsidR="00E83E04" w:rsidRDefault="00E83E04" w:rsidP="00E83E04">
      <w:pPr>
        <w:numPr>
          <w:ilvl w:val="0"/>
          <w:numId w:val="2"/>
        </w:numPr>
        <w:tabs>
          <w:tab w:val="left" w:pos="284"/>
        </w:tabs>
        <w:ind w:left="284" w:hanging="284"/>
      </w:pPr>
      <w:r w:rsidRPr="007E6A49">
        <w:t>v </w:t>
      </w:r>
      <w:r w:rsidRPr="007E6A49">
        <w:rPr>
          <w:b/>
        </w:rPr>
        <w:t>ubytování, stravování a pohostinství</w:t>
      </w:r>
      <w:r w:rsidRPr="001E5BFD">
        <w:rPr>
          <w:rFonts w:cs="Arial"/>
          <w:bCs/>
          <w:szCs w:val="20"/>
        </w:rPr>
        <w:t xml:space="preserve"> </w:t>
      </w:r>
      <w:r w:rsidR="008D51DB">
        <w:rPr>
          <w:rFonts w:cs="Arial"/>
          <w:bCs/>
          <w:szCs w:val="20"/>
        </w:rPr>
        <w:t>tržby vzrostly o 6,5 </w:t>
      </w:r>
      <w:r>
        <w:rPr>
          <w:rFonts w:cs="Arial"/>
          <w:bCs/>
          <w:szCs w:val="20"/>
        </w:rPr>
        <w:t xml:space="preserve">%. </w:t>
      </w:r>
      <w:r>
        <w:t>Tr</w:t>
      </w:r>
      <w:r w:rsidR="008D51DB">
        <w:t>žby vzrostly jak v ubytování (o 10,7 </w:t>
      </w:r>
      <w:r>
        <w:t xml:space="preserve">%), tak i </w:t>
      </w:r>
      <w:r w:rsidR="008D51DB">
        <w:t>ve stravování a pohostinství (o 4,4 </w:t>
      </w:r>
      <w:r>
        <w:t>%);</w:t>
      </w:r>
    </w:p>
    <w:p w:rsidR="00F004F1" w:rsidRDefault="00F004F1" w:rsidP="00F004F1">
      <w:pPr>
        <w:tabs>
          <w:tab w:val="left" w:pos="284"/>
        </w:tabs>
      </w:pPr>
    </w:p>
    <w:p w:rsidR="002B4057" w:rsidRDefault="002B4057" w:rsidP="00313B02">
      <w:pPr>
        <w:numPr>
          <w:ilvl w:val="0"/>
          <w:numId w:val="1"/>
        </w:numPr>
        <w:tabs>
          <w:tab w:val="left" w:pos="284"/>
        </w:tabs>
        <w:ind w:left="284" w:hanging="284"/>
      </w:pPr>
      <w:r>
        <w:t xml:space="preserve">tržby </w:t>
      </w:r>
      <w:r w:rsidRPr="00BD3252">
        <w:rPr>
          <w:b/>
        </w:rPr>
        <w:t>informačních a komunikačních činností</w:t>
      </w:r>
      <w:r>
        <w:t xml:space="preserve"> </w:t>
      </w:r>
      <w:r w:rsidR="003553CB">
        <w:t>vzrostly</w:t>
      </w:r>
      <w:r w:rsidR="008D51DB">
        <w:t xml:space="preserve"> o </w:t>
      </w:r>
      <w:r w:rsidR="00610B93">
        <w:t>3,5 </w:t>
      </w:r>
      <w:r>
        <w:t>%. Dvouciferný nárůst</w:t>
      </w:r>
      <w:r w:rsidR="00610B93">
        <w:t xml:space="preserve"> (o 11,5 </w:t>
      </w:r>
      <w:r w:rsidR="003553CB">
        <w:t>%)</w:t>
      </w:r>
      <w:r>
        <w:t xml:space="preserve"> zaznamenal</w:t>
      </w:r>
      <w:r w:rsidR="003553CB">
        <w:t>y informační činnosti</w:t>
      </w:r>
      <w:r>
        <w:t xml:space="preserve">, </w:t>
      </w:r>
      <w:r w:rsidRPr="00C5265F">
        <w:t>které zahrnují například tiskové agentury,</w:t>
      </w:r>
      <w:r>
        <w:t xml:space="preserve"> zpracování dat, webové portály a </w:t>
      </w:r>
      <w:r w:rsidRPr="00C5265F">
        <w:t>hosting.</w:t>
      </w:r>
      <w:r>
        <w:t xml:space="preserve"> </w:t>
      </w:r>
      <w:r w:rsidR="003553CB">
        <w:t>Č</w:t>
      </w:r>
      <w:r>
        <w:t>innosti v oblasti informač</w:t>
      </w:r>
      <w:r w:rsidR="003553CB">
        <w:t xml:space="preserve">ních technologií, </w:t>
      </w:r>
      <w:r>
        <w:t xml:space="preserve">které zahrnují </w:t>
      </w:r>
      <w:r w:rsidRPr="00C5265F">
        <w:t>např. programování</w:t>
      </w:r>
      <w:r>
        <w:t>, správu počítačového vybavení</w:t>
      </w:r>
      <w:r w:rsidRPr="00C5265F">
        <w:t xml:space="preserve"> či poradenství v oblasti IT</w:t>
      </w:r>
      <w:r w:rsidR="00610B93">
        <w:t>, vzrostly o 5,3 </w:t>
      </w:r>
      <w:r w:rsidR="003553CB">
        <w:t>%</w:t>
      </w:r>
      <w:r>
        <w:t xml:space="preserve">. </w:t>
      </w:r>
      <w:r w:rsidR="003553CB">
        <w:t xml:space="preserve">Tržby se zvýšily </w:t>
      </w:r>
      <w:r w:rsidR="00610B93">
        <w:t>také vydavatelským činnostem (o 4,5 </w:t>
      </w:r>
      <w:r w:rsidR="003553CB">
        <w:t>%), tvorbě</w:t>
      </w:r>
      <w:r w:rsidR="00906B60">
        <w:t xml:space="preserve"> programů a </w:t>
      </w:r>
      <w:r w:rsidR="00610B93">
        <w:t>vysílání (o 3,4 </w:t>
      </w:r>
      <w:r>
        <w:t>%) a telekomunikační</w:t>
      </w:r>
      <w:r w:rsidR="003553CB">
        <w:t>m činnostem</w:t>
      </w:r>
      <w:r w:rsidR="00610B93">
        <w:t xml:space="preserve"> (o 2,8 </w:t>
      </w:r>
      <w:r>
        <w:t>%). Naopak dvouciferný pokles již třetí čtvrtletí v řadě vykázal tzv. fi</w:t>
      </w:r>
      <w:r w:rsidR="00610B93">
        <w:t>lmový a hudební průmysl (nyní o 21,0 </w:t>
      </w:r>
      <w:r w:rsidR="00313B02">
        <w:t>%);</w:t>
      </w:r>
      <w:r>
        <w:t xml:space="preserve"> </w:t>
      </w:r>
    </w:p>
    <w:p w:rsidR="005404AD" w:rsidRDefault="005404AD" w:rsidP="005404AD">
      <w:pPr>
        <w:tabs>
          <w:tab w:val="left" w:pos="284"/>
        </w:tabs>
        <w:ind w:left="284"/>
      </w:pPr>
    </w:p>
    <w:p w:rsidR="005404AD" w:rsidRDefault="00B745A2" w:rsidP="005404AD">
      <w:pPr>
        <w:numPr>
          <w:ilvl w:val="0"/>
          <w:numId w:val="1"/>
        </w:numPr>
        <w:tabs>
          <w:tab w:val="left" w:pos="284"/>
        </w:tabs>
        <w:ind w:left="284" w:hanging="284"/>
      </w:pPr>
      <w:r>
        <w:rPr>
          <w:rFonts w:cs="Arial"/>
          <w:szCs w:val="20"/>
        </w:rPr>
        <w:t>zvýšení tržeb</w:t>
      </w:r>
      <w:r w:rsidR="005404AD" w:rsidRPr="001C449F">
        <w:rPr>
          <w:rFonts w:cs="Arial"/>
          <w:b/>
          <w:bCs/>
          <w:szCs w:val="20"/>
        </w:rPr>
        <w:t xml:space="preserve"> v oblasti nemovitostí </w:t>
      </w:r>
      <w:r w:rsidR="00906B60">
        <w:rPr>
          <w:rFonts w:cs="Arial"/>
          <w:b/>
          <w:bCs/>
          <w:szCs w:val="20"/>
        </w:rPr>
        <w:t>o 0,2 </w:t>
      </w:r>
      <w:r w:rsidR="001434F0">
        <w:rPr>
          <w:rFonts w:cs="Arial"/>
          <w:b/>
          <w:bCs/>
          <w:szCs w:val="20"/>
        </w:rPr>
        <w:t xml:space="preserve">% </w:t>
      </w:r>
      <w:r w:rsidR="001434F0" w:rsidRPr="00B745A2">
        <w:rPr>
          <w:rFonts w:cs="Arial"/>
          <w:bCs/>
          <w:szCs w:val="20"/>
        </w:rPr>
        <w:t>způsobil vývoj v realitních kancelářích a správě nemovitostí</w:t>
      </w:r>
      <w:r>
        <w:rPr>
          <w:rFonts w:cs="Arial"/>
          <w:bCs/>
          <w:szCs w:val="20"/>
        </w:rPr>
        <w:t xml:space="preserve"> (</w:t>
      </w:r>
      <w:r w:rsidR="00166074">
        <w:rPr>
          <w:rFonts w:cs="Arial"/>
          <w:bCs/>
          <w:szCs w:val="20"/>
        </w:rPr>
        <w:t>růst o 4,2 </w:t>
      </w:r>
      <w:r w:rsidR="001434F0" w:rsidRPr="00B745A2">
        <w:rPr>
          <w:rFonts w:cs="Arial"/>
          <w:bCs/>
          <w:szCs w:val="20"/>
        </w:rPr>
        <w:t>%), naopak</w:t>
      </w:r>
      <w:r w:rsidR="001434F0">
        <w:rPr>
          <w:rFonts w:cs="Arial"/>
          <w:b/>
          <w:bCs/>
          <w:szCs w:val="20"/>
        </w:rPr>
        <w:t xml:space="preserve"> </w:t>
      </w:r>
      <w:r w:rsidR="001434F0">
        <w:t xml:space="preserve">v pronájmu nemovitostí přetrval pokles </w:t>
      </w:r>
      <w:r>
        <w:t>(</w:t>
      </w:r>
      <w:r w:rsidR="00166074">
        <w:t>o 0,9 </w:t>
      </w:r>
      <w:r w:rsidR="005404AD" w:rsidRPr="00C31812">
        <w:t>%</w:t>
      </w:r>
      <w:r w:rsidR="001434F0">
        <w:t>)</w:t>
      </w:r>
      <w:r w:rsidR="005404AD">
        <w:t>;</w:t>
      </w:r>
    </w:p>
    <w:p w:rsidR="005404AD" w:rsidRDefault="005404AD" w:rsidP="005404AD">
      <w:pPr>
        <w:pStyle w:val="Odstavecseseznamem"/>
      </w:pPr>
    </w:p>
    <w:p w:rsidR="005404AD" w:rsidRPr="00C31812" w:rsidRDefault="005404AD" w:rsidP="005404AD">
      <w:pPr>
        <w:tabs>
          <w:tab w:val="left" w:pos="284"/>
        </w:tabs>
      </w:pPr>
    </w:p>
    <w:p w:rsidR="005404AD" w:rsidRDefault="001434F0" w:rsidP="00906B60">
      <w:pPr>
        <w:numPr>
          <w:ilvl w:val="0"/>
          <w:numId w:val="1"/>
        </w:numPr>
        <w:tabs>
          <w:tab w:val="left" w:pos="284"/>
        </w:tabs>
        <w:ind w:left="284" w:hanging="284"/>
      </w:pPr>
      <w:r>
        <w:rPr>
          <w:rFonts w:cs="Arial"/>
          <w:bCs/>
          <w:szCs w:val="20"/>
        </w:rPr>
        <w:lastRenderedPageBreak/>
        <w:t>v</w:t>
      </w:r>
      <w:r w:rsidR="005404AD" w:rsidRPr="00D70EE3">
        <w:rPr>
          <w:rFonts w:cs="Arial"/>
          <w:szCs w:val="20"/>
        </w:rPr>
        <w:t xml:space="preserve"> </w:t>
      </w:r>
      <w:r w:rsidR="005404AD" w:rsidRPr="00D70EE3">
        <w:rPr>
          <w:rFonts w:cs="Arial"/>
          <w:b/>
          <w:bCs/>
          <w:szCs w:val="20"/>
        </w:rPr>
        <w:t>profesní</w:t>
      </w:r>
      <w:r>
        <w:rPr>
          <w:rFonts w:cs="Arial"/>
          <w:b/>
          <w:bCs/>
          <w:szCs w:val="20"/>
        </w:rPr>
        <w:t>ch</w:t>
      </w:r>
      <w:r w:rsidR="005404AD" w:rsidRPr="00D70EE3">
        <w:rPr>
          <w:rFonts w:cs="Arial"/>
          <w:b/>
          <w:bCs/>
          <w:szCs w:val="20"/>
        </w:rPr>
        <w:t>, vědeck</w:t>
      </w:r>
      <w:r>
        <w:rPr>
          <w:rFonts w:cs="Arial"/>
          <w:b/>
          <w:bCs/>
          <w:szCs w:val="20"/>
        </w:rPr>
        <w:t>ých</w:t>
      </w:r>
      <w:r w:rsidR="005404AD" w:rsidRPr="00D70EE3">
        <w:rPr>
          <w:rFonts w:cs="Arial"/>
          <w:b/>
          <w:bCs/>
          <w:szCs w:val="20"/>
        </w:rPr>
        <w:t xml:space="preserve"> a technick</w:t>
      </w:r>
      <w:r>
        <w:rPr>
          <w:rFonts w:cs="Arial"/>
          <w:b/>
          <w:bCs/>
          <w:szCs w:val="20"/>
        </w:rPr>
        <w:t>ých</w:t>
      </w:r>
      <w:r w:rsidR="005404AD" w:rsidRPr="00D70EE3">
        <w:rPr>
          <w:rFonts w:cs="Arial"/>
          <w:b/>
          <w:bCs/>
          <w:szCs w:val="20"/>
        </w:rPr>
        <w:t xml:space="preserve"> činnost</w:t>
      </w:r>
      <w:r>
        <w:rPr>
          <w:rFonts w:cs="Arial"/>
          <w:b/>
          <w:bCs/>
          <w:szCs w:val="20"/>
        </w:rPr>
        <w:t>ech</w:t>
      </w:r>
      <w:r w:rsidR="005404AD" w:rsidRPr="00D70EE3">
        <w:rPr>
          <w:rStyle w:val="Znakapoznpodarou"/>
          <w:b/>
        </w:rPr>
        <w:footnoteReference w:customMarkFollows="1" w:id="2"/>
        <w:t>2)</w:t>
      </w:r>
      <w:r w:rsidR="005404AD">
        <w:rPr>
          <w:b/>
        </w:rPr>
        <w:t xml:space="preserve"> </w:t>
      </w:r>
      <w:r w:rsidRPr="00B745A2">
        <w:t>pokr</w:t>
      </w:r>
      <w:r w:rsidR="00166074">
        <w:t>ačoval růst tržeb započatý v 1. </w:t>
      </w:r>
      <w:r w:rsidRPr="00B745A2">
        <w:t>čtvrtletí 2015, tentokrát</w:t>
      </w:r>
      <w:r w:rsidR="005404AD" w:rsidRPr="00C31812">
        <w:t xml:space="preserve"> o 3,0 %. Zvýšily se trž</w:t>
      </w:r>
      <w:r w:rsidR="00906B60">
        <w:t>by za reklamu a průzkum trhu (o 4,6 </w:t>
      </w:r>
      <w:r w:rsidR="005404AD" w:rsidRPr="00C31812">
        <w:t>%), za archite</w:t>
      </w:r>
      <w:r w:rsidR="00906B60">
        <w:t>ktonické a inženýrské služby (o 4,2 </w:t>
      </w:r>
      <w:r w:rsidR="005404AD" w:rsidRPr="00C31812">
        <w:t>%), za právní a</w:t>
      </w:r>
      <w:r w:rsidR="00906B60">
        <w:t xml:space="preserve"> účetnické činnosti (o 3,1 </w:t>
      </w:r>
      <w:r w:rsidR="00166074">
        <w:t>%) i </w:t>
      </w:r>
      <w:r w:rsidR="005404AD" w:rsidRPr="00C31812">
        <w:t>za tzv. ostatní profesní, vědecké a techni</w:t>
      </w:r>
      <w:r w:rsidR="00906B60">
        <w:t>cké činnosti (o 2,8 </w:t>
      </w:r>
      <w:r w:rsidR="005404AD" w:rsidRPr="00C31812">
        <w:t xml:space="preserve">%). Pokles byl zaznamenán pouze </w:t>
      </w:r>
      <w:r>
        <w:t>v</w:t>
      </w:r>
      <w:r w:rsidRPr="00C31812">
        <w:t xml:space="preserve"> </w:t>
      </w:r>
      <w:r w:rsidR="005404AD" w:rsidRPr="00C31812">
        <w:t>činnost</w:t>
      </w:r>
      <w:r>
        <w:t>ech</w:t>
      </w:r>
      <w:r w:rsidR="005404AD" w:rsidRPr="00C31812">
        <w:t xml:space="preserve"> vedení podniků a porad</w:t>
      </w:r>
      <w:r w:rsidR="00906B60">
        <w:t>enství v oblasti řízení, a to o 3,2 </w:t>
      </w:r>
      <w:r w:rsidR="005404AD" w:rsidRPr="00C31812">
        <w:t>%</w:t>
      </w:r>
      <w:r w:rsidR="005404AD">
        <w:t>;</w:t>
      </w:r>
    </w:p>
    <w:p w:rsidR="005404AD" w:rsidRPr="00C31812" w:rsidRDefault="005404AD" w:rsidP="005404AD">
      <w:pPr>
        <w:tabs>
          <w:tab w:val="left" w:pos="284"/>
        </w:tabs>
        <w:ind w:left="284"/>
      </w:pPr>
    </w:p>
    <w:p w:rsidR="002B4057" w:rsidRDefault="005404AD" w:rsidP="00F004F1">
      <w:pPr>
        <w:numPr>
          <w:ilvl w:val="0"/>
          <w:numId w:val="1"/>
        </w:numPr>
        <w:tabs>
          <w:tab w:val="left" w:pos="284"/>
        </w:tabs>
        <w:ind w:left="284" w:hanging="284"/>
      </w:pPr>
      <w:r>
        <w:t xml:space="preserve">tržby </w:t>
      </w:r>
      <w:r w:rsidRPr="00DD054D">
        <w:rPr>
          <w:rFonts w:cs="Arial"/>
          <w:bCs/>
          <w:szCs w:val="20"/>
        </w:rPr>
        <w:t xml:space="preserve">v odvětví </w:t>
      </w:r>
      <w:r w:rsidRPr="00DD054D">
        <w:rPr>
          <w:rFonts w:cs="Arial"/>
          <w:b/>
          <w:bCs/>
          <w:szCs w:val="20"/>
        </w:rPr>
        <w:t>administrativních a podpůrných činností</w:t>
      </w:r>
      <w:r w:rsidRPr="00DD054D">
        <w:rPr>
          <w:rStyle w:val="Znakapoznpodarou"/>
          <w:b/>
        </w:rPr>
        <w:footnoteReference w:customMarkFollows="1" w:id="3"/>
        <w:t>3)</w:t>
      </w:r>
      <w:r w:rsidRPr="00DD054D">
        <w:rPr>
          <w:rFonts w:cs="Arial"/>
          <w:bCs/>
          <w:szCs w:val="20"/>
        </w:rPr>
        <w:t xml:space="preserve"> </w:t>
      </w:r>
      <w:r w:rsidRPr="00C31812">
        <w:t>vzrostly o 5,7 %. Nárůst vykázaly všechny skupiny s výjimkou cestovních agentur a ka</w:t>
      </w:r>
      <w:r w:rsidR="00166074">
        <w:t>nceláří (pokles o 4,5 </w:t>
      </w:r>
      <w:r w:rsidR="00B745A2">
        <w:t>%). Tržby</w:t>
      </w:r>
      <w:r w:rsidRPr="00C31812">
        <w:t xml:space="preserve"> </w:t>
      </w:r>
      <w:r w:rsidR="001434F0">
        <w:t>podniků</w:t>
      </w:r>
      <w:r w:rsidR="001434F0" w:rsidRPr="00C31812">
        <w:t xml:space="preserve"> </w:t>
      </w:r>
      <w:r w:rsidRPr="00C31812">
        <w:t xml:space="preserve">poskytujících pronájem a operativní leasing </w:t>
      </w:r>
      <w:r w:rsidR="00B745A2">
        <w:t>s</w:t>
      </w:r>
      <w:r w:rsidR="001434F0">
        <w:t xml:space="preserve">e zvýšily </w:t>
      </w:r>
      <w:r w:rsidR="00166074">
        <w:t>o 8,9 </w:t>
      </w:r>
      <w:r w:rsidRPr="00C31812">
        <w:t>%</w:t>
      </w:r>
      <w:r w:rsidR="00166074">
        <w:t>, úklidových firem o 6,0 </w:t>
      </w:r>
      <w:r w:rsidR="001434F0">
        <w:t>% a</w:t>
      </w:r>
      <w:r w:rsidRPr="00C31812">
        <w:t xml:space="preserve"> bezpe</w:t>
      </w:r>
      <w:r w:rsidR="00166074">
        <w:t>čnostních a pátracích agentur o 3,1 </w:t>
      </w:r>
      <w:r w:rsidRPr="00C31812">
        <w:t>%</w:t>
      </w:r>
      <w:r w:rsidR="001434F0">
        <w:t xml:space="preserve">. </w:t>
      </w:r>
      <w:r w:rsidR="00981C97">
        <w:t>Nejvyšší tempa růstu však dlouhodobě zaznamenávají pracovní agentury, jejichž t</w:t>
      </w:r>
      <w:r w:rsidR="00166074">
        <w:t>ržby ve 2. čtvrtletí vzrostly o 20,2 </w:t>
      </w:r>
      <w:r w:rsidR="00B745A2">
        <w:t>%</w:t>
      </w:r>
      <w:r w:rsidR="00A378B6">
        <w:t>.</w:t>
      </w:r>
    </w:p>
    <w:p w:rsidR="00F004F1" w:rsidRPr="00830BE7" w:rsidRDefault="00F004F1" w:rsidP="00F004F1">
      <w:pPr>
        <w:pStyle w:val="Zkladntextodsazen3"/>
        <w:tabs>
          <w:tab w:val="num" w:pos="360"/>
        </w:tabs>
        <w:spacing w:line="276" w:lineRule="auto"/>
        <w:ind w:left="360" w:hanging="360"/>
        <w:rPr>
          <w:b/>
          <w:bCs/>
          <w:i/>
          <w:iCs/>
          <w:sz w:val="18"/>
        </w:rPr>
      </w:pPr>
    </w:p>
    <w:p w:rsidR="00F004F1" w:rsidRPr="00830BE7" w:rsidRDefault="00F004F1" w:rsidP="005404AD">
      <w:pPr>
        <w:pStyle w:val="Zkladntextodsazen3"/>
        <w:tabs>
          <w:tab w:val="num" w:pos="360"/>
        </w:tabs>
        <w:spacing w:line="276" w:lineRule="auto"/>
        <w:rPr>
          <w:rFonts w:cs="Arial"/>
          <w:b/>
          <w:bCs/>
          <w:i/>
          <w:iCs/>
          <w:sz w:val="18"/>
          <w:szCs w:val="20"/>
        </w:rPr>
      </w:pPr>
    </w:p>
    <w:p w:rsidR="00D209A7" w:rsidRDefault="00D209A7" w:rsidP="00D209A7">
      <w:pPr>
        <w:pStyle w:val="Poznmky0"/>
      </w:pPr>
      <w:r>
        <w:t>Poznámky</w:t>
      </w:r>
      <w:r w:rsidR="007A2048">
        <w:t>:</w:t>
      </w:r>
    </w:p>
    <w:p w:rsidR="00883965" w:rsidRPr="004D015A" w:rsidRDefault="00883965" w:rsidP="00883965">
      <w:pPr>
        <w:pStyle w:val="Poznmky"/>
        <w:spacing w:before="0"/>
        <w:rPr>
          <w:i/>
        </w:rPr>
      </w:pPr>
      <w:r w:rsidRPr="004D015A">
        <w:rPr>
          <w:i/>
        </w:rPr>
        <w:t>Da</w:t>
      </w:r>
      <w:r>
        <w:rPr>
          <w:i/>
        </w:rPr>
        <w:t xml:space="preserve">ta za </w:t>
      </w:r>
      <w:r w:rsidR="002B4057">
        <w:rPr>
          <w:i/>
        </w:rPr>
        <w:t>2</w:t>
      </w:r>
      <w:r w:rsidR="00471A52">
        <w:rPr>
          <w:i/>
        </w:rPr>
        <w:t>. čtvrtletí 2015</w:t>
      </w:r>
      <w:r w:rsidRPr="004D015A">
        <w:rPr>
          <w:i/>
        </w:rPr>
        <w:t xml:space="preserve"> jsou předběžná; definitivní údaje za jednotlivá čtvrtletí roku 201</w:t>
      </w:r>
      <w:r w:rsidR="00471A52">
        <w:rPr>
          <w:i/>
        </w:rPr>
        <w:t>5</w:t>
      </w:r>
      <w:r w:rsidRPr="004D015A">
        <w:rPr>
          <w:i/>
        </w:rPr>
        <w:t xml:space="preserve"> budo</w:t>
      </w:r>
      <w:r w:rsidR="00471A52">
        <w:rPr>
          <w:i/>
        </w:rPr>
        <w:t>u známy nejpozději v červnu 2016</w:t>
      </w:r>
      <w:r w:rsidRPr="004D015A">
        <w:rPr>
          <w:i/>
          <w:iCs/>
        </w:rPr>
        <w:t xml:space="preserve">.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szCs w:val="22"/>
        </w:rPr>
      </w:pP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  <w:szCs w:val="22"/>
        </w:rPr>
        <w:t>Zodpovědný vedoucí pracovník ČSÚ:</w:t>
      </w:r>
      <w:r w:rsidRPr="004D015A">
        <w:rPr>
          <w:i/>
          <w:szCs w:val="22"/>
        </w:rPr>
        <w:tab/>
      </w:r>
      <w:r w:rsidRPr="004D015A">
        <w:rPr>
          <w:i/>
          <w:iCs/>
        </w:rPr>
        <w:t>Ing. Marie Boušková, tel. 274052935,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color w:val="0000FF"/>
          <w:u w:val="single"/>
        </w:rPr>
      </w:pPr>
      <w:r w:rsidRPr="004D015A">
        <w:rPr>
          <w:i/>
          <w:iCs/>
        </w:rPr>
        <w:tab/>
        <w:t>e-mail:  marie.bouskova@czso.cz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Kontaktní osoba:</w:t>
      </w:r>
      <w:r w:rsidRPr="004D015A">
        <w:rPr>
          <w:i/>
        </w:rPr>
        <w:tab/>
      </w:r>
      <w:r w:rsidRPr="004D015A">
        <w:rPr>
          <w:i/>
          <w:iCs/>
        </w:rPr>
        <w:t>Ing. Jana Gotvaldová, tel. 274052691,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  <w:iCs/>
        </w:rPr>
        <w:tab/>
        <w:t>e-mail:  jana.gotvaldova@czso.cz</w:t>
      </w:r>
      <w:r w:rsidRPr="004D015A">
        <w:rPr>
          <w:i/>
        </w:rPr>
        <w:t xml:space="preserve"> 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 xml:space="preserve">Metoda získání dat: </w:t>
      </w:r>
      <w:r w:rsidRPr="004D015A">
        <w:rPr>
          <w:i/>
        </w:rPr>
        <w:tab/>
        <w:t>přímé zjišťování ČSÚ SP1-12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Termín ukončení sběru dat:</w:t>
      </w:r>
      <w:r w:rsidRPr="004D015A">
        <w:rPr>
          <w:i/>
          <w:color w:val="FF0000"/>
        </w:rPr>
        <w:t xml:space="preserve"> </w:t>
      </w:r>
      <w:r w:rsidRPr="004D015A">
        <w:rPr>
          <w:i/>
          <w:color w:val="FF0000"/>
        </w:rPr>
        <w:tab/>
      </w:r>
      <w:r>
        <w:rPr>
          <w:i/>
          <w:color w:val="auto"/>
        </w:rPr>
        <w:t>2</w:t>
      </w:r>
      <w:r w:rsidR="002B4057">
        <w:rPr>
          <w:i/>
          <w:color w:val="auto"/>
        </w:rPr>
        <w:t>8</w:t>
      </w:r>
      <w:r w:rsidRPr="004D015A">
        <w:rPr>
          <w:i/>
          <w:color w:val="auto"/>
        </w:rPr>
        <w:t xml:space="preserve">. </w:t>
      </w:r>
      <w:r w:rsidR="002B4057">
        <w:rPr>
          <w:i/>
          <w:color w:val="auto"/>
        </w:rPr>
        <w:t>7</w:t>
      </w:r>
      <w:r w:rsidR="00471A52">
        <w:rPr>
          <w:i/>
        </w:rPr>
        <w:t>. 2015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</w:t>
      </w:r>
      <w:r w:rsidR="002B4057">
        <w:rPr>
          <w:i/>
        </w:rPr>
        <w:t xml:space="preserve">rmín ukončení zpracování: </w:t>
      </w:r>
      <w:r w:rsidR="002B4057">
        <w:rPr>
          <w:i/>
        </w:rPr>
        <w:tab/>
        <w:t>31</w:t>
      </w:r>
      <w:r w:rsidR="00336E63">
        <w:rPr>
          <w:i/>
        </w:rPr>
        <w:t xml:space="preserve">. </w:t>
      </w:r>
      <w:r w:rsidR="002B4057">
        <w:rPr>
          <w:i/>
        </w:rPr>
        <w:t>7</w:t>
      </w:r>
      <w:r w:rsidR="00471A52">
        <w:rPr>
          <w:i/>
        </w:rPr>
        <w:t>. 2015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ind w:left="3600" w:hanging="3600"/>
        <w:rPr>
          <w:i/>
          <w:iCs/>
        </w:rPr>
      </w:pPr>
      <w:r w:rsidRPr="004D015A">
        <w:rPr>
          <w:i/>
        </w:rPr>
        <w:t>Navazující výstupy:</w:t>
      </w:r>
      <w:r w:rsidRPr="004D015A">
        <w:rPr>
          <w:i/>
        </w:rPr>
        <w:tab/>
      </w:r>
      <w:r w:rsidRPr="004D015A">
        <w:rPr>
          <w:i/>
          <w:iCs/>
        </w:rPr>
        <w:t xml:space="preserve">Bazické indexy od r. 2000 a meziroční indexy od r. 2001 jsou k dispozici v časových řadách (s výjimkou sekce J, která je k dispozici od roku 2005, resp. roku 2006). </w:t>
      </w:r>
    </w:p>
    <w:p w:rsidR="00883965" w:rsidRPr="00FB4A8B" w:rsidRDefault="00883965" w:rsidP="007444DB">
      <w:pPr>
        <w:pStyle w:val="Poznmky"/>
        <w:tabs>
          <w:tab w:val="left" w:pos="3600"/>
        </w:tabs>
        <w:spacing w:before="0"/>
        <w:ind w:left="3600" w:hanging="3600"/>
      </w:pPr>
      <w:r w:rsidRPr="004D015A">
        <w:rPr>
          <w:i/>
          <w:iCs/>
        </w:rPr>
        <w:tab/>
        <w:t>(</w:t>
      </w:r>
      <w:hyperlink r:id="rId8" w:history="1">
        <w:r w:rsidR="007444DB" w:rsidRPr="00523197">
          <w:rPr>
            <w:rStyle w:val="Hypertextovodkaz"/>
          </w:rPr>
          <w:t>https://www.czso.cz/csu/czso/sluzby_casove_rady_mesicni_indexy_trzeb</w:t>
        </w:r>
      </w:hyperlink>
      <w:r w:rsidR="007444DB">
        <w:t>)</w:t>
      </w:r>
    </w:p>
    <w:p w:rsidR="00883965" w:rsidRPr="004D015A" w:rsidRDefault="00883965" w:rsidP="00883965">
      <w:pPr>
        <w:pStyle w:val="Poznmky"/>
        <w:tabs>
          <w:tab w:val="left" w:pos="3600"/>
        </w:tabs>
        <w:spacing w:before="0"/>
        <w:rPr>
          <w:i/>
        </w:rPr>
      </w:pPr>
      <w:r w:rsidRPr="004D015A">
        <w:rPr>
          <w:i/>
        </w:rPr>
        <w:t>Term</w:t>
      </w:r>
      <w:r w:rsidR="00E83E04">
        <w:rPr>
          <w:i/>
        </w:rPr>
        <w:t>ín zveřejnění další RI:</w:t>
      </w:r>
      <w:r w:rsidR="00E83E04">
        <w:rPr>
          <w:i/>
        </w:rPr>
        <w:tab/>
        <w:t>9. 11</w:t>
      </w:r>
      <w:r>
        <w:rPr>
          <w:i/>
        </w:rPr>
        <w:t>. 201</w:t>
      </w:r>
      <w:r w:rsidR="00D179FC">
        <w:rPr>
          <w:i/>
        </w:rPr>
        <w:t>5</w:t>
      </w:r>
    </w:p>
    <w:p w:rsidR="00883965" w:rsidRPr="004D015A" w:rsidRDefault="00883965" w:rsidP="00883965">
      <w:pPr>
        <w:rPr>
          <w:i/>
        </w:rPr>
      </w:pPr>
    </w:p>
    <w:p w:rsidR="00883965" w:rsidRDefault="00883965" w:rsidP="00883965">
      <w:r>
        <w:t>Přílohy</w:t>
      </w:r>
    </w:p>
    <w:p w:rsidR="00883965" w:rsidRDefault="00883965" w:rsidP="00883965">
      <w:r>
        <w:t>Tab. 1 Tržby ve službách (meziroční indexy)</w:t>
      </w:r>
    </w:p>
    <w:p w:rsidR="00883965" w:rsidRDefault="00883965" w:rsidP="00883965">
      <w:r>
        <w:t>Tab. 2 Tržby ve službách (meziroční změny, rozklad přírůstku - meziročního)</w:t>
      </w:r>
    </w:p>
    <w:p w:rsidR="00883965" w:rsidRDefault="00883965" w:rsidP="00883965">
      <w:r>
        <w:t>Graf 1 Tržby ve službách (bazické indexy)</w:t>
      </w:r>
    </w:p>
    <w:p w:rsidR="00883965" w:rsidRPr="005A0775" w:rsidRDefault="00883965" w:rsidP="00883965">
      <w:pPr>
        <w:rPr>
          <w:rFonts w:cs="Arial"/>
        </w:rPr>
      </w:pPr>
      <w:r>
        <w:t>Graf 2 Tržby ve službách (CZ-NACE sekce H+I+J+M+N) - mezinárodní porovnání</w:t>
      </w:r>
    </w:p>
    <w:sectPr w:rsidR="00883965" w:rsidRPr="005A0775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150" w:rsidRDefault="00B74150" w:rsidP="00BA6370">
      <w:r>
        <w:separator/>
      </w:r>
    </w:p>
  </w:endnote>
  <w:endnote w:type="continuationSeparator" w:id="0">
    <w:p w:rsidR="00B74150" w:rsidRDefault="00B74150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FF" w:rsidRDefault="00E74DC5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5A7CEA" w:rsidRPr="001404AB" w:rsidRDefault="005A7CEA" w:rsidP="005A7CEA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C93EFF" w:rsidRPr="00A81EB3" w:rsidRDefault="005A7CEA" w:rsidP="005A7CEA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Pr="00175AB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C93EFF">
                  <w:rPr>
                    <w:rFonts w:cs="Arial"/>
                    <w:sz w:val="15"/>
                    <w:szCs w:val="15"/>
                  </w:rPr>
                  <w:tab/>
                </w:r>
                <w:r w:rsidR="00E74DC5" w:rsidRPr="004E479E">
                  <w:rPr>
                    <w:rFonts w:cs="Arial"/>
                    <w:szCs w:val="15"/>
                  </w:rPr>
                  <w:fldChar w:fldCharType="begin"/>
                </w:r>
                <w:r w:rsidR="00C93EFF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E74DC5" w:rsidRPr="004E479E">
                  <w:rPr>
                    <w:rFonts w:cs="Arial"/>
                    <w:szCs w:val="15"/>
                  </w:rPr>
                  <w:fldChar w:fldCharType="separate"/>
                </w:r>
                <w:r w:rsidR="00A378B6">
                  <w:rPr>
                    <w:rFonts w:cs="Arial"/>
                    <w:noProof/>
                    <w:szCs w:val="15"/>
                  </w:rPr>
                  <w:t>1</w:t>
                </w:r>
                <w:r w:rsidR="00E74DC5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150" w:rsidRDefault="00B74150" w:rsidP="00BA6370">
      <w:r>
        <w:separator/>
      </w:r>
    </w:p>
  </w:footnote>
  <w:footnote w:type="continuationSeparator" w:id="0">
    <w:p w:rsidR="00B74150" w:rsidRDefault="00B74150" w:rsidP="00BA6370">
      <w:r>
        <w:continuationSeparator/>
      </w:r>
    </w:p>
  </w:footnote>
  <w:footnote w:id="1">
    <w:p w:rsidR="005A7CEA" w:rsidRPr="0014718D" w:rsidRDefault="005A7CEA" w:rsidP="005A7CEA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1)</w:t>
      </w:r>
      <w:r>
        <w:t xml:space="preserve"> </w:t>
      </w:r>
      <w:r>
        <w:rPr>
          <w:i/>
          <w:iCs/>
          <w:sz w:val="18"/>
        </w:rPr>
        <w:t>Pro účely Rychlých informací se do služeb zahrnují následující sekce: Klasifikace ekonomických činností – Doprava a skladování (H), Ubytování, stravování a pohostinství (I), Informační a komunikační činnosti (J), Činnosti v oblasti nemovitostí (L), Profesní, vědecké, a technické činnosti – bez činností Výzkum a vývoj a Veterinární činnosti (M bez 72 a 75), Administrativní a podpůrné činnosti bez Činností souvisejících s úpravou krajiny (N bez 81.3).</w:t>
      </w:r>
    </w:p>
  </w:footnote>
  <w:footnote w:id="2">
    <w:p w:rsidR="005404AD" w:rsidRDefault="005404AD" w:rsidP="005404AD">
      <w:pPr>
        <w:spacing w:line="240" w:lineRule="exact"/>
        <w:rPr>
          <w:i/>
          <w:iCs/>
          <w:sz w:val="18"/>
        </w:rPr>
      </w:pPr>
      <w:r>
        <w:rPr>
          <w:rStyle w:val="Znakapoznpodarou"/>
        </w:rPr>
        <w:t>2)</w:t>
      </w:r>
      <w:r>
        <w:t xml:space="preserve"> </w:t>
      </w:r>
      <w:r>
        <w:rPr>
          <w:i/>
          <w:iCs/>
          <w:sz w:val="18"/>
        </w:rPr>
        <w:t>Pro účely Rychlých informací se do sekce M – Profesní, vědecké, a technické činnosti nezahrnují CZ</w:t>
      </w:r>
      <w:r>
        <w:rPr>
          <w:i/>
          <w:iCs/>
          <w:sz w:val="18"/>
        </w:rPr>
        <w:noBreakHyphen/>
        <w:t>NACE 72 – Výzkum a vývoj a CZ-NACE 75 – Veterinární činnosti.</w:t>
      </w:r>
    </w:p>
    <w:p w:rsidR="005404AD" w:rsidRDefault="005404AD" w:rsidP="005404AD">
      <w:pPr>
        <w:pStyle w:val="Textpoznpodarou"/>
        <w:rPr>
          <w:sz w:val="16"/>
        </w:rPr>
      </w:pPr>
    </w:p>
  </w:footnote>
  <w:footnote w:id="3">
    <w:p w:rsidR="005404AD" w:rsidRDefault="005404AD" w:rsidP="005404AD">
      <w:pPr>
        <w:spacing w:line="240" w:lineRule="exact"/>
        <w:rPr>
          <w:rFonts w:cs="Arial"/>
          <w:i/>
          <w:iCs/>
          <w:sz w:val="18"/>
        </w:rPr>
      </w:pPr>
      <w:r>
        <w:rPr>
          <w:rStyle w:val="Znakapoznpodarou"/>
        </w:rPr>
        <w:t>3)</w:t>
      </w:r>
      <w:r>
        <w:t xml:space="preserve"> </w:t>
      </w:r>
      <w:r>
        <w:rPr>
          <w:rFonts w:cs="Arial"/>
          <w:i/>
          <w:iCs/>
          <w:sz w:val="18"/>
        </w:rPr>
        <w:t>Pro účely Rychlých informací se do sekce N – Administrativní a podpůrné činnosti nezahrnují CZ</w:t>
      </w:r>
      <w:r>
        <w:rPr>
          <w:rFonts w:cs="Arial"/>
          <w:i/>
          <w:iCs/>
          <w:sz w:val="18"/>
        </w:rPr>
        <w:noBreakHyphen/>
        <w:t>NACE 81.3 – Činnosti související s úpravou krajiny.</w:t>
      </w:r>
    </w:p>
    <w:p w:rsidR="005404AD" w:rsidRDefault="005404AD" w:rsidP="005404AD">
      <w:pPr>
        <w:pStyle w:val="Textpoznpodarou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EFF" w:rsidRDefault="00E74DC5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6B97"/>
    <w:multiLevelType w:val="hybridMultilevel"/>
    <w:tmpl w:val="F0B8651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D0BCC"/>
    <w:multiLevelType w:val="hybridMultilevel"/>
    <w:tmpl w:val="61D2315A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5F70D5"/>
    <w:multiLevelType w:val="hybridMultilevel"/>
    <w:tmpl w:val="EEEE9F14"/>
    <w:lvl w:ilvl="0" w:tplc="454E223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E0E1A"/>
    <w:multiLevelType w:val="hybridMultilevel"/>
    <w:tmpl w:val="FF2CFA30"/>
    <w:lvl w:ilvl="0" w:tplc="AE28A40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531051AB"/>
    <w:multiLevelType w:val="hybridMultilevel"/>
    <w:tmpl w:val="E51E3606"/>
    <w:lvl w:ilvl="0" w:tplc="4754E0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EDB38CC"/>
    <w:multiLevelType w:val="hybridMultilevel"/>
    <w:tmpl w:val="032AB58E"/>
    <w:lvl w:ilvl="0" w:tplc="AE28A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80CD4"/>
    <w:multiLevelType w:val="hybridMultilevel"/>
    <w:tmpl w:val="83DE76E2"/>
    <w:lvl w:ilvl="0" w:tplc="2E782E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hyphenationZone w:val="425"/>
  <w:characterSpacingControl w:val="doNotCompress"/>
  <w:hdrShapeDefaults>
    <o:shapedefaults v:ext="edit" spidmax="10242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A05"/>
    <w:rsid w:val="00024803"/>
    <w:rsid w:val="00043BF4"/>
    <w:rsid w:val="00044E1A"/>
    <w:rsid w:val="00056FB2"/>
    <w:rsid w:val="000773ED"/>
    <w:rsid w:val="000843A5"/>
    <w:rsid w:val="0009005C"/>
    <w:rsid w:val="000910DA"/>
    <w:rsid w:val="00096D6C"/>
    <w:rsid w:val="000B5CBC"/>
    <w:rsid w:val="000B6F63"/>
    <w:rsid w:val="000C0696"/>
    <w:rsid w:val="000D093F"/>
    <w:rsid w:val="000E24C1"/>
    <w:rsid w:val="000F2486"/>
    <w:rsid w:val="00123312"/>
    <w:rsid w:val="001261BE"/>
    <w:rsid w:val="0012699B"/>
    <w:rsid w:val="00133EAF"/>
    <w:rsid w:val="001345C3"/>
    <w:rsid w:val="00135EC9"/>
    <w:rsid w:val="001404AB"/>
    <w:rsid w:val="001434F0"/>
    <w:rsid w:val="00166074"/>
    <w:rsid w:val="0017231D"/>
    <w:rsid w:val="00172520"/>
    <w:rsid w:val="001810DC"/>
    <w:rsid w:val="001B5A5D"/>
    <w:rsid w:val="001B607F"/>
    <w:rsid w:val="001C653A"/>
    <w:rsid w:val="001C772E"/>
    <w:rsid w:val="001C78DA"/>
    <w:rsid w:val="001D026F"/>
    <w:rsid w:val="001D1A5F"/>
    <w:rsid w:val="001D369A"/>
    <w:rsid w:val="001D4C08"/>
    <w:rsid w:val="001F08B3"/>
    <w:rsid w:val="001F0CF4"/>
    <w:rsid w:val="001F2FE0"/>
    <w:rsid w:val="001F576B"/>
    <w:rsid w:val="00200854"/>
    <w:rsid w:val="002070FB"/>
    <w:rsid w:val="00213729"/>
    <w:rsid w:val="002166A7"/>
    <w:rsid w:val="002275B0"/>
    <w:rsid w:val="00236383"/>
    <w:rsid w:val="002406FA"/>
    <w:rsid w:val="00292A9A"/>
    <w:rsid w:val="002A75D6"/>
    <w:rsid w:val="002B2E47"/>
    <w:rsid w:val="002B4057"/>
    <w:rsid w:val="002D7C2C"/>
    <w:rsid w:val="002E302F"/>
    <w:rsid w:val="002F074F"/>
    <w:rsid w:val="0030398B"/>
    <w:rsid w:val="00313B02"/>
    <w:rsid w:val="00321478"/>
    <w:rsid w:val="00321524"/>
    <w:rsid w:val="003301A3"/>
    <w:rsid w:val="00335E37"/>
    <w:rsid w:val="00336E63"/>
    <w:rsid w:val="003553CB"/>
    <w:rsid w:val="00364437"/>
    <w:rsid w:val="00364833"/>
    <w:rsid w:val="00364B17"/>
    <w:rsid w:val="0036777B"/>
    <w:rsid w:val="0038282A"/>
    <w:rsid w:val="00397580"/>
    <w:rsid w:val="003A3DFD"/>
    <w:rsid w:val="003A45C8"/>
    <w:rsid w:val="003C2DCF"/>
    <w:rsid w:val="003C71E7"/>
    <w:rsid w:val="003C7FE7"/>
    <w:rsid w:val="003D0499"/>
    <w:rsid w:val="003D2918"/>
    <w:rsid w:val="003D3576"/>
    <w:rsid w:val="003F526A"/>
    <w:rsid w:val="004016F4"/>
    <w:rsid w:val="00405244"/>
    <w:rsid w:val="00405D62"/>
    <w:rsid w:val="00424283"/>
    <w:rsid w:val="00436BE0"/>
    <w:rsid w:val="00442C1E"/>
    <w:rsid w:val="004436EE"/>
    <w:rsid w:val="0045547F"/>
    <w:rsid w:val="00471A52"/>
    <w:rsid w:val="00471DEF"/>
    <w:rsid w:val="00473091"/>
    <w:rsid w:val="00475A42"/>
    <w:rsid w:val="004920AD"/>
    <w:rsid w:val="00493E59"/>
    <w:rsid w:val="004A111D"/>
    <w:rsid w:val="004A64A0"/>
    <w:rsid w:val="004B0973"/>
    <w:rsid w:val="004C0E77"/>
    <w:rsid w:val="004C7E07"/>
    <w:rsid w:val="004D05B3"/>
    <w:rsid w:val="004E479E"/>
    <w:rsid w:val="004F686C"/>
    <w:rsid w:val="004F7539"/>
    <w:rsid w:val="004F78E6"/>
    <w:rsid w:val="0050420E"/>
    <w:rsid w:val="00512D99"/>
    <w:rsid w:val="00531DBB"/>
    <w:rsid w:val="00533767"/>
    <w:rsid w:val="005404AD"/>
    <w:rsid w:val="0054433C"/>
    <w:rsid w:val="00546E34"/>
    <w:rsid w:val="00564758"/>
    <w:rsid w:val="00573994"/>
    <w:rsid w:val="005918FA"/>
    <w:rsid w:val="0059406A"/>
    <w:rsid w:val="005A0563"/>
    <w:rsid w:val="005A0775"/>
    <w:rsid w:val="005A26D5"/>
    <w:rsid w:val="005A7CEA"/>
    <w:rsid w:val="005F343B"/>
    <w:rsid w:val="005F79FB"/>
    <w:rsid w:val="00604406"/>
    <w:rsid w:val="00605F4A"/>
    <w:rsid w:val="00607822"/>
    <w:rsid w:val="006103AA"/>
    <w:rsid w:val="00610B93"/>
    <w:rsid w:val="00613BBF"/>
    <w:rsid w:val="00622B80"/>
    <w:rsid w:val="006271D7"/>
    <w:rsid w:val="00640A05"/>
    <w:rsid w:val="0064139A"/>
    <w:rsid w:val="00665273"/>
    <w:rsid w:val="00685027"/>
    <w:rsid w:val="006931CF"/>
    <w:rsid w:val="006A67A3"/>
    <w:rsid w:val="006B6927"/>
    <w:rsid w:val="006D2985"/>
    <w:rsid w:val="006D4D1B"/>
    <w:rsid w:val="006E024F"/>
    <w:rsid w:val="006E09C6"/>
    <w:rsid w:val="006E0F6D"/>
    <w:rsid w:val="006E4E81"/>
    <w:rsid w:val="00707F7D"/>
    <w:rsid w:val="00717EC5"/>
    <w:rsid w:val="00741CA6"/>
    <w:rsid w:val="007444DB"/>
    <w:rsid w:val="00754C20"/>
    <w:rsid w:val="0075513C"/>
    <w:rsid w:val="00756984"/>
    <w:rsid w:val="00760CA4"/>
    <w:rsid w:val="007636F0"/>
    <w:rsid w:val="00765F4F"/>
    <w:rsid w:val="00766A00"/>
    <w:rsid w:val="007A2048"/>
    <w:rsid w:val="007A2CFC"/>
    <w:rsid w:val="007A4938"/>
    <w:rsid w:val="007A4DEE"/>
    <w:rsid w:val="007A57F2"/>
    <w:rsid w:val="007B1333"/>
    <w:rsid w:val="007B5886"/>
    <w:rsid w:val="007B7C1B"/>
    <w:rsid w:val="007F4AEB"/>
    <w:rsid w:val="007F75B2"/>
    <w:rsid w:val="00803993"/>
    <w:rsid w:val="008043C4"/>
    <w:rsid w:val="008129F0"/>
    <w:rsid w:val="00831B1B"/>
    <w:rsid w:val="00833B60"/>
    <w:rsid w:val="00843C03"/>
    <w:rsid w:val="00855FB3"/>
    <w:rsid w:val="00861D0E"/>
    <w:rsid w:val="008662BB"/>
    <w:rsid w:val="008664B3"/>
    <w:rsid w:val="00867569"/>
    <w:rsid w:val="00883965"/>
    <w:rsid w:val="0089240D"/>
    <w:rsid w:val="008A750A"/>
    <w:rsid w:val="008B3970"/>
    <w:rsid w:val="008C384C"/>
    <w:rsid w:val="008D0F11"/>
    <w:rsid w:val="008D5067"/>
    <w:rsid w:val="008D51DB"/>
    <w:rsid w:val="008E0851"/>
    <w:rsid w:val="008F73B4"/>
    <w:rsid w:val="00906B60"/>
    <w:rsid w:val="00912385"/>
    <w:rsid w:val="009273D2"/>
    <w:rsid w:val="00976AA4"/>
    <w:rsid w:val="00981C97"/>
    <w:rsid w:val="00986DD7"/>
    <w:rsid w:val="0099229A"/>
    <w:rsid w:val="009A0F04"/>
    <w:rsid w:val="009B1CF9"/>
    <w:rsid w:val="009B55B1"/>
    <w:rsid w:val="009C6880"/>
    <w:rsid w:val="009E1B1C"/>
    <w:rsid w:val="00A0762A"/>
    <w:rsid w:val="00A20AA9"/>
    <w:rsid w:val="00A20EDF"/>
    <w:rsid w:val="00A378B6"/>
    <w:rsid w:val="00A4343D"/>
    <w:rsid w:val="00A502F1"/>
    <w:rsid w:val="00A70A83"/>
    <w:rsid w:val="00A72FAB"/>
    <w:rsid w:val="00A7327E"/>
    <w:rsid w:val="00A81EB3"/>
    <w:rsid w:val="00A83A7D"/>
    <w:rsid w:val="00AB19EA"/>
    <w:rsid w:val="00AB3410"/>
    <w:rsid w:val="00AB53B0"/>
    <w:rsid w:val="00B00C1D"/>
    <w:rsid w:val="00B03EFD"/>
    <w:rsid w:val="00B10970"/>
    <w:rsid w:val="00B21D0B"/>
    <w:rsid w:val="00B42E0D"/>
    <w:rsid w:val="00B55375"/>
    <w:rsid w:val="00B632CC"/>
    <w:rsid w:val="00B65771"/>
    <w:rsid w:val="00B66C65"/>
    <w:rsid w:val="00B74150"/>
    <w:rsid w:val="00B745A2"/>
    <w:rsid w:val="00B77C38"/>
    <w:rsid w:val="00B852AF"/>
    <w:rsid w:val="00BA12F1"/>
    <w:rsid w:val="00BA439F"/>
    <w:rsid w:val="00BA6370"/>
    <w:rsid w:val="00BB279C"/>
    <w:rsid w:val="00BF39AF"/>
    <w:rsid w:val="00C12724"/>
    <w:rsid w:val="00C23AB2"/>
    <w:rsid w:val="00C269D4"/>
    <w:rsid w:val="00C4160D"/>
    <w:rsid w:val="00C46950"/>
    <w:rsid w:val="00C5265F"/>
    <w:rsid w:val="00C659C1"/>
    <w:rsid w:val="00C8406E"/>
    <w:rsid w:val="00C93EFF"/>
    <w:rsid w:val="00C9773B"/>
    <w:rsid w:val="00CB2709"/>
    <w:rsid w:val="00CB6F89"/>
    <w:rsid w:val="00CC0AE9"/>
    <w:rsid w:val="00CD1BA8"/>
    <w:rsid w:val="00CE228C"/>
    <w:rsid w:val="00CE71D9"/>
    <w:rsid w:val="00CE7727"/>
    <w:rsid w:val="00CF3432"/>
    <w:rsid w:val="00CF545B"/>
    <w:rsid w:val="00CF61AB"/>
    <w:rsid w:val="00D07358"/>
    <w:rsid w:val="00D179FC"/>
    <w:rsid w:val="00D209A7"/>
    <w:rsid w:val="00D27D69"/>
    <w:rsid w:val="00D33658"/>
    <w:rsid w:val="00D341C9"/>
    <w:rsid w:val="00D435D7"/>
    <w:rsid w:val="00D43750"/>
    <w:rsid w:val="00D448C2"/>
    <w:rsid w:val="00D6427A"/>
    <w:rsid w:val="00D666C3"/>
    <w:rsid w:val="00D66A68"/>
    <w:rsid w:val="00D859B2"/>
    <w:rsid w:val="00D9189F"/>
    <w:rsid w:val="00D96C52"/>
    <w:rsid w:val="00DD1D63"/>
    <w:rsid w:val="00DF47FE"/>
    <w:rsid w:val="00DF50C4"/>
    <w:rsid w:val="00E0156A"/>
    <w:rsid w:val="00E0372C"/>
    <w:rsid w:val="00E05778"/>
    <w:rsid w:val="00E10C52"/>
    <w:rsid w:val="00E14BBC"/>
    <w:rsid w:val="00E16D2A"/>
    <w:rsid w:val="00E26704"/>
    <w:rsid w:val="00E31980"/>
    <w:rsid w:val="00E56BC1"/>
    <w:rsid w:val="00E6423C"/>
    <w:rsid w:val="00E718DF"/>
    <w:rsid w:val="00E74DC5"/>
    <w:rsid w:val="00E800CC"/>
    <w:rsid w:val="00E83E04"/>
    <w:rsid w:val="00E87358"/>
    <w:rsid w:val="00E918A9"/>
    <w:rsid w:val="00E93830"/>
    <w:rsid w:val="00E93E0E"/>
    <w:rsid w:val="00EA4D23"/>
    <w:rsid w:val="00EB1ED3"/>
    <w:rsid w:val="00EC1E58"/>
    <w:rsid w:val="00EC2A26"/>
    <w:rsid w:val="00ED3DD6"/>
    <w:rsid w:val="00EF145C"/>
    <w:rsid w:val="00F004F1"/>
    <w:rsid w:val="00F160A7"/>
    <w:rsid w:val="00F34C77"/>
    <w:rsid w:val="00F43A3A"/>
    <w:rsid w:val="00F51083"/>
    <w:rsid w:val="00F53E3E"/>
    <w:rsid w:val="00F728AB"/>
    <w:rsid w:val="00F75F2A"/>
    <w:rsid w:val="00FA5C6D"/>
    <w:rsid w:val="00FB443A"/>
    <w:rsid w:val="00FB4A8B"/>
    <w:rsid w:val="00FB4F9D"/>
    <w:rsid w:val="00FB5F27"/>
    <w:rsid w:val="00FB687C"/>
    <w:rsid w:val="00FC39DE"/>
    <w:rsid w:val="00FC4541"/>
    <w:rsid w:val="00FC5132"/>
    <w:rsid w:val="00FE622E"/>
    <w:rsid w:val="00FF468D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character" w:styleId="Znakapoznpodarou">
    <w:name w:val="footnote reference"/>
    <w:basedOn w:val="Standardnpsmoodstavce"/>
    <w:semiHidden/>
    <w:rsid w:val="00F004F1"/>
    <w:rPr>
      <w:vertAlign w:val="superscript"/>
    </w:rPr>
  </w:style>
  <w:style w:type="paragraph" w:styleId="Zkladntextodsazen3">
    <w:name w:val="Body Text Indent 3"/>
    <w:basedOn w:val="Normln"/>
    <w:link w:val="Zkladntextodsazen3Char"/>
    <w:semiHidden/>
    <w:rsid w:val="00F004F1"/>
    <w:pPr>
      <w:spacing w:line="240" w:lineRule="auto"/>
      <w:ind w:firstLine="708"/>
    </w:pPr>
    <w:rPr>
      <w:rFonts w:eastAsia="Times New Roman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F004F1"/>
    <w:rPr>
      <w:rFonts w:ascii="Arial" w:eastAsia="Times New Roman" w:hAnsi="Arial"/>
      <w:szCs w:val="22"/>
    </w:rPr>
  </w:style>
  <w:style w:type="paragraph" w:styleId="Textpoznpodarou">
    <w:name w:val="footnote text"/>
    <w:basedOn w:val="Normln"/>
    <w:link w:val="TextpoznpodarouChar"/>
    <w:semiHidden/>
    <w:rsid w:val="00F004F1"/>
    <w:pPr>
      <w:spacing w:line="300" w:lineRule="exact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004F1"/>
    <w:rPr>
      <w:rFonts w:ascii="Arial" w:hAnsi="Arial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83965"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rsid w:val="00FF46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sluzby_casove_rady_mesicni_indexy_trzeb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OLISE~1\LOCALS~1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3E76-36AF-4633-8B19-AB62BF42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81</TotalTime>
  <Pages>2</Pages>
  <Words>594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4096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Service</dc:creator>
  <cp:lastModifiedBy>nekl5482</cp:lastModifiedBy>
  <cp:revision>5</cp:revision>
  <cp:lastPrinted>2015-08-05T07:01:00Z</cp:lastPrinted>
  <dcterms:created xsi:type="dcterms:W3CDTF">2015-08-04T14:13:00Z</dcterms:created>
  <dcterms:modified xsi:type="dcterms:W3CDTF">2015-08-06T06:59:00Z</dcterms:modified>
</cp:coreProperties>
</file>