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58077530" w:rsidR="00BF083E" w:rsidRPr="00B3645D" w:rsidRDefault="00382107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5</w:t>
      </w:r>
      <w:r w:rsidR="00BF083E" w:rsidRPr="00B3645D">
        <w:rPr>
          <w:rFonts w:cs="Arial"/>
          <w:b/>
          <w:i w:val="0"/>
        </w:rPr>
        <w:t xml:space="preserve">. </w:t>
      </w:r>
      <w:r w:rsidR="00A33B7F">
        <w:rPr>
          <w:rFonts w:cs="Arial"/>
          <w:b/>
          <w:i w:val="0"/>
        </w:rPr>
        <w:t>1</w:t>
      </w:r>
      <w:r>
        <w:rPr>
          <w:rFonts w:cs="Arial"/>
          <w:b/>
          <w:i w:val="0"/>
        </w:rPr>
        <w:t>1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5D2C2DC1" w:rsidR="00CF67A7" w:rsidRDefault="00CA1FDF" w:rsidP="00CF67A7">
      <w:pPr>
        <w:pStyle w:val="Nzev"/>
      </w:pPr>
      <w:r w:rsidRPr="00CA1FDF">
        <w:t xml:space="preserve">Podle předběžného odhadu se očekává </w:t>
      </w:r>
      <w:r w:rsidR="00382107">
        <w:t>říjn</w:t>
      </w:r>
      <w:r w:rsidR="00A33B7F">
        <w:t>ový</w:t>
      </w:r>
      <w:r w:rsidRPr="00CA1FDF">
        <w:t xml:space="preserve"> meziro</w:t>
      </w:r>
      <w:r w:rsidR="00993B86">
        <w:t>ční růst spotřebitelských cen o </w:t>
      </w:r>
      <w:r w:rsidR="00301B63">
        <w:t>2,</w:t>
      </w:r>
      <w:r w:rsidR="00B54CEA">
        <w:t>5</w:t>
      </w:r>
      <w:r w:rsidR="00993B86">
        <w:t> </w:t>
      </w:r>
      <w:r w:rsidRPr="00CA1FDF">
        <w:t>%</w:t>
      </w:r>
    </w:p>
    <w:p w14:paraId="4748436F" w14:textId="63BB314E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A33B7F">
        <w:rPr>
          <w:rFonts w:cs="Arial"/>
        </w:rPr>
        <w:t>ří</w:t>
      </w:r>
      <w:r w:rsidR="00382107">
        <w:rPr>
          <w:rFonts w:cs="Arial"/>
        </w:rPr>
        <w:t>jen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18E484A1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A33B7F">
        <w:rPr>
          <w:rFonts w:cs="Arial"/>
          <w:b/>
          <w:sz w:val="20"/>
          <w:szCs w:val="20"/>
        </w:rPr>
        <w:t>ří</w:t>
      </w:r>
      <w:r w:rsidR="00382107">
        <w:rPr>
          <w:rFonts w:cs="Arial"/>
          <w:b/>
          <w:sz w:val="20"/>
          <w:szCs w:val="20"/>
        </w:rPr>
        <w:t>jnu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B54CEA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B54CEA">
        <w:rPr>
          <w:rFonts w:cs="Arial"/>
          <w:b/>
          <w:sz w:val="20"/>
          <w:szCs w:val="20"/>
        </w:rPr>
        <w:t>5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>meziročně o</w:t>
      </w:r>
      <w:r w:rsidR="00084910">
        <w:rPr>
          <w:rFonts w:cs="Arial"/>
          <w:b/>
          <w:sz w:val="20"/>
          <w:szCs w:val="20"/>
        </w:rPr>
        <w:t> 2,</w:t>
      </w:r>
      <w:r w:rsidR="00B54CEA">
        <w:rPr>
          <w:rFonts w:cs="Arial"/>
          <w:b/>
          <w:sz w:val="20"/>
          <w:szCs w:val="20"/>
        </w:rPr>
        <w:t>5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FB018A">
        <w:rPr>
          <w:rFonts w:cs="Arial"/>
          <w:b/>
          <w:sz w:val="20"/>
          <w:szCs w:val="20"/>
        </w:rPr>
        <w:t>1</w:t>
      </w:r>
      <w:r w:rsidR="00382107">
        <w:rPr>
          <w:rFonts w:cs="Arial"/>
          <w:b/>
          <w:sz w:val="20"/>
          <w:szCs w:val="20"/>
        </w:rPr>
        <w:t>1</w:t>
      </w:r>
      <w:r w:rsidR="00993B86">
        <w:rPr>
          <w:rFonts w:cs="Arial"/>
          <w:b/>
          <w:sz w:val="20"/>
          <w:szCs w:val="20"/>
        </w:rPr>
        <w:t>. </w:t>
      </w:r>
      <w:r w:rsidR="00A33B7F">
        <w:rPr>
          <w:rFonts w:cs="Arial"/>
          <w:b/>
          <w:sz w:val="20"/>
          <w:szCs w:val="20"/>
        </w:rPr>
        <w:t>1</w:t>
      </w:r>
      <w:r w:rsidR="00382107">
        <w:rPr>
          <w:rFonts w:cs="Arial"/>
          <w:b/>
          <w:sz w:val="20"/>
          <w:szCs w:val="20"/>
        </w:rPr>
        <w:t>1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73E6EFD0" w:rsidR="000D13F3" w:rsidRDefault="0038210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10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18E519FA" w:rsidR="00E12A39" w:rsidRDefault="00B54CEA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54CEA">
        <w:rPr>
          <w:noProof/>
        </w:rPr>
        <w:drawing>
          <wp:inline distT="0" distB="0" distL="0" distR="0" wp14:anchorId="18E296FD" wp14:editId="2232072A">
            <wp:extent cx="5400040" cy="2581275"/>
            <wp:effectExtent l="0" t="0" r="0" b="9525"/>
            <wp:docPr id="98354763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odpovídá pojetí CPI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odpovídá pojetí CPI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3B6E9C85" w14:textId="77777777" w:rsidR="00382107" w:rsidRPr="00F73072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7DB6F404" w14:textId="77777777" w:rsidR="00645E6F" w:rsidRDefault="00645E6F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44E6FB2D" w14:textId="1AF5A9FC" w:rsidR="00645E6F" w:rsidRDefault="00645E6F" w:rsidP="00645E6F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1D776B64" w14:textId="77777777" w:rsidR="00382107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1059593D" w14:textId="77777777" w:rsidR="00645E6F" w:rsidRDefault="00645E6F" w:rsidP="00382107">
      <w:pPr>
        <w:spacing w:line="240" w:lineRule="auto"/>
        <w:jc w:val="left"/>
        <w:rPr>
          <w:rStyle w:val="tlid-translation"/>
          <w:szCs w:val="28"/>
        </w:rPr>
      </w:pPr>
    </w:p>
    <w:p w14:paraId="796A25F4" w14:textId="77777777" w:rsidR="00645E6F" w:rsidRPr="00645E6F" w:rsidRDefault="00645E6F" w:rsidP="00645E6F">
      <w:pPr>
        <w:spacing w:line="240" w:lineRule="auto"/>
        <w:jc w:val="left"/>
        <w:rPr>
          <w:rFonts w:cs="Arial"/>
          <w:b/>
          <w:szCs w:val="20"/>
          <w:u w:val="single"/>
        </w:rPr>
      </w:pPr>
      <w:r w:rsidRPr="00645E6F">
        <w:rPr>
          <w:rFonts w:cs="Arial"/>
          <w:b/>
          <w:szCs w:val="20"/>
          <w:u w:val="single"/>
        </w:rPr>
        <w:t>Změny v cenové statistice od ledna 2026</w:t>
      </w:r>
    </w:p>
    <w:p w14:paraId="1C292788" w14:textId="77777777" w:rsidR="00645E6F" w:rsidRDefault="00645E6F" w:rsidP="003F1B35">
      <w:pPr>
        <w:pStyle w:val="Poznamkytexty"/>
        <w:rPr>
          <w:rFonts w:cs="Arial"/>
          <w:i w:val="0"/>
        </w:rPr>
      </w:pPr>
    </w:p>
    <w:p w14:paraId="088BFA99" w14:textId="77777777" w:rsidR="00645E6F" w:rsidRPr="00AE6D5B" w:rsidRDefault="00645E6F" w:rsidP="00645E6F">
      <w:pPr>
        <w:pStyle w:val="Perex"/>
      </w:pPr>
      <w:r>
        <w:t>Od referenčního období leden 2026 jsou připraveny následující změny:</w:t>
      </w:r>
    </w:p>
    <w:p w14:paraId="60B44417" w14:textId="77777777" w:rsidR="00645E6F" w:rsidRDefault="00645E6F" w:rsidP="00645E6F">
      <w:pPr>
        <w:pStyle w:val="Odstavecseseznamem"/>
        <w:numPr>
          <w:ilvl w:val="0"/>
          <w:numId w:val="1"/>
        </w:numPr>
        <w:jc w:val="both"/>
      </w:pPr>
      <w:bookmarkStart w:id="0" w:name="_Hlk213153265"/>
      <w:r>
        <w:t>N</w:t>
      </w:r>
      <w:r w:rsidRPr="001F771D">
        <w:t>a základě požadavku uživatelů</w:t>
      </w:r>
      <w:r>
        <w:t xml:space="preserve"> bude</w:t>
      </w:r>
      <w:r w:rsidRPr="001F771D">
        <w:t xml:space="preserve"> rozšířen obsah rychlé informace Předběžný odhad indexu spotřebitelských </w:t>
      </w:r>
      <w:bookmarkEnd w:id="0"/>
      <w:r w:rsidRPr="001F771D">
        <w:t>cen o</w:t>
      </w:r>
      <w:r>
        <w:t> </w:t>
      </w:r>
      <w:r w:rsidRPr="001F771D">
        <w:t>položk</w:t>
      </w:r>
      <w:r>
        <w:t>y</w:t>
      </w:r>
      <w:r w:rsidRPr="001F771D">
        <w:t xml:space="preserve"> Potraviny a</w:t>
      </w:r>
      <w:r>
        <w:t> </w:t>
      </w:r>
      <w:r w:rsidRPr="001F771D">
        <w:t>nealkoholické nápoje a</w:t>
      </w:r>
      <w:r>
        <w:t> </w:t>
      </w:r>
      <w:r w:rsidRPr="001F771D">
        <w:t>Alkoholické nápoje a</w:t>
      </w:r>
      <w:r>
        <w:t> </w:t>
      </w:r>
      <w:r w:rsidRPr="001F771D">
        <w:t>tabák. Uživatelé tak budou mít k</w:t>
      </w:r>
      <w:r>
        <w:t> </w:t>
      </w:r>
      <w:r w:rsidRPr="001F771D">
        <w:t xml:space="preserve">dispozici včasnou informaci </w:t>
      </w:r>
      <w:r>
        <w:t xml:space="preserve">jak </w:t>
      </w:r>
      <w:r w:rsidRPr="001F771D">
        <w:t>o</w:t>
      </w:r>
      <w:r>
        <w:t> </w:t>
      </w:r>
      <w:r w:rsidRPr="001F771D">
        <w:t>cenovém vývoji potravin a</w:t>
      </w:r>
      <w:r>
        <w:t> </w:t>
      </w:r>
      <w:r w:rsidRPr="001F771D">
        <w:t>nealkoholických nápojů (COICOP 01)</w:t>
      </w:r>
      <w:r>
        <w:t>, tak i</w:t>
      </w:r>
      <w:r>
        <w:t> </w:t>
      </w:r>
      <w:r w:rsidRPr="001F771D">
        <w:t>alkoholických nápojů a</w:t>
      </w:r>
      <w:r>
        <w:t> </w:t>
      </w:r>
      <w:r w:rsidRPr="001F771D">
        <w:t>tabáku (COICOP 02).</w:t>
      </w:r>
    </w:p>
    <w:p w14:paraId="0AEAE34F" w14:textId="77777777" w:rsidR="00230633" w:rsidRDefault="00230633" w:rsidP="00230633">
      <w:r w:rsidRPr="00645E6F">
        <w:lastRenderedPageBreak/>
        <w:t>Struktura zveřejňované tabulky předběžného odhadu indexu spotřebitelských cen bude následující:</w:t>
      </w:r>
    </w:p>
    <w:p w14:paraId="701F05D1" w14:textId="77777777" w:rsidR="00230633" w:rsidRDefault="00230633" w:rsidP="00230633">
      <w:pPr>
        <w:pStyle w:val="Poznamkytexty"/>
        <w:rPr>
          <w:rFonts w:cs="Arial"/>
          <w:i w:val="0"/>
        </w:rPr>
      </w:pPr>
    </w:p>
    <w:p w14:paraId="712F2500" w14:textId="77777777" w:rsidR="00230633" w:rsidRDefault="00230633" w:rsidP="00230633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38AB576E" w14:textId="77777777" w:rsidR="00230633" w:rsidRDefault="00230633" w:rsidP="0023063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01</w:t>
      </w:r>
      <w:r w:rsidRPr="000D13F3">
        <w:rPr>
          <w:rFonts w:cs="Arial"/>
          <w:szCs w:val="20"/>
        </w:rPr>
        <w:t>/202</w:t>
      </w:r>
      <w:r>
        <w:rPr>
          <w:rFonts w:cs="Arial"/>
          <w:szCs w:val="20"/>
        </w:rPr>
        <w:t>6</w:t>
      </w:r>
    </w:p>
    <w:p w14:paraId="2045D621" w14:textId="77777777" w:rsidR="00230633" w:rsidRPr="000D13F3" w:rsidRDefault="00230633" w:rsidP="0023063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32346830" w14:textId="77777777" w:rsidR="00230633" w:rsidRDefault="00230633" w:rsidP="00230633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645E6F">
        <w:drawing>
          <wp:inline distT="0" distB="0" distL="0" distR="0" wp14:anchorId="6EAFB898" wp14:editId="66499D52">
            <wp:extent cx="5400040" cy="2745105"/>
            <wp:effectExtent l="0" t="0" r="0" b="0"/>
            <wp:docPr id="82993135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DB5C2" w14:textId="77777777" w:rsidR="00230633" w:rsidRPr="000D5A6A" w:rsidRDefault="00230633" w:rsidP="0023063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1A828F6C" w14:textId="77777777" w:rsidR="00230633" w:rsidRPr="000D13F3" w:rsidRDefault="00230633" w:rsidP="0023063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1DC4E1B3" w14:textId="77777777" w:rsidR="00230633" w:rsidRPr="00645E6F" w:rsidRDefault="00230633" w:rsidP="00230633">
      <w:pPr>
        <w:pStyle w:val="Zkladntextodsazen3"/>
        <w:spacing w:after="0" w:line="276" w:lineRule="auto"/>
        <w:ind w:left="0"/>
        <w:rPr>
          <w:rFonts w:cs="Arial"/>
          <w:color w:val="EE0000"/>
          <w:szCs w:val="20"/>
        </w:rPr>
      </w:pPr>
      <w:r w:rsidRPr="00645E6F">
        <w:rPr>
          <w:rFonts w:cs="Arial"/>
          <w:color w:val="EE0000"/>
          <w:szCs w:val="20"/>
          <w:vertAlign w:val="superscript"/>
        </w:rPr>
        <w:t>2)</w:t>
      </w:r>
      <w:r w:rsidRPr="00645E6F">
        <w:rPr>
          <w:rFonts w:cs="Arial"/>
          <w:color w:val="EE0000"/>
          <w:szCs w:val="20"/>
        </w:rPr>
        <w:t xml:space="preserve"> Zahrnuje i vodné, odpovídá pojetí </w:t>
      </w:r>
      <w:proofErr w:type="spellStart"/>
      <w:r w:rsidRPr="00645E6F">
        <w:rPr>
          <w:rFonts w:cs="Arial"/>
          <w:color w:val="EE0000"/>
          <w:szCs w:val="20"/>
        </w:rPr>
        <w:t>Eurostatu</w:t>
      </w:r>
      <w:proofErr w:type="spellEnd"/>
      <w:r w:rsidRPr="00645E6F">
        <w:rPr>
          <w:rFonts w:cs="Arial"/>
          <w:color w:val="EE0000"/>
          <w:szCs w:val="20"/>
        </w:rPr>
        <w:t>.</w:t>
      </w:r>
    </w:p>
    <w:p w14:paraId="25136419" w14:textId="77777777" w:rsidR="00230633" w:rsidRDefault="00230633" w:rsidP="0023063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Pr="000D13F3">
        <w:rPr>
          <w:rFonts w:cs="Arial"/>
          <w:szCs w:val="20"/>
        </w:rPr>
        <w:t>předběžný</w:t>
      </w:r>
    </w:p>
    <w:p w14:paraId="73F3E547" w14:textId="77777777" w:rsidR="00230633" w:rsidRDefault="00230633" w:rsidP="00230633">
      <w:pPr>
        <w:pStyle w:val="Poznamkytexty"/>
        <w:rPr>
          <w:rFonts w:cs="Arial"/>
          <w:i w:val="0"/>
        </w:rPr>
      </w:pPr>
    </w:p>
    <w:p w14:paraId="65C77A55" w14:textId="77777777" w:rsidR="00230633" w:rsidRDefault="00230633" w:rsidP="00230633"/>
    <w:p w14:paraId="28633635" w14:textId="581C9C2F" w:rsidR="00645E6F" w:rsidRPr="00645E6F" w:rsidRDefault="00645E6F" w:rsidP="00645E6F">
      <w:pPr>
        <w:pStyle w:val="Odstavecseseznamem"/>
        <w:numPr>
          <w:ilvl w:val="0"/>
          <w:numId w:val="1"/>
        </w:numPr>
        <w:jc w:val="both"/>
      </w:pPr>
      <w:r w:rsidRPr="00475A83">
        <w:rPr>
          <w:rFonts w:cs="Arial"/>
          <w:szCs w:val="20"/>
        </w:rPr>
        <w:t>Z důvodu konzistence s HICP za</w:t>
      </w:r>
      <w:r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skupiny </w:t>
      </w:r>
      <w:r w:rsidRPr="00475A83">
        <w:rPr>
          <w:rFonts w:cs="Arial"/>
          <w:szCs w:val="20"/>
        </w:rPr>
        <w:t xml:space="preserve">zboží </w:t>
      </w:r>
      <w:r>
        <w:rPr>
          <w:rFonts w:cs="Arial"/>
          <w:szCs w:val="20"/>
        </w:rPr>
        <w:t xml:space="preserve">úhrnem </w:t>
      </w:r>
      <w:r w:rsidRPr="00475A83">
        <w:rPr>
          <w:rFonts w:cs="Arial"/>
          <w:szCs w:val="20"/>
        </w:rPr>
        <w:t>a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služby bude vodné (reprezentant</w:t>
      </w:r>
      <w:r>
        <w:rPr>
          <w:rFonts w:cs="Arial"/>
          <w:szCs w:val="20"/>
        </w:rPr>
        <w:t xml:space="preserve"> – </w:t>
      </w:r>
      <w:r w:rsidRPr="00475A83">
        <w:rPr>
          <w:rFonts w:cs="Arial"/>
          <w:szCs w:val="20"/>
        </w:rPr>
        <w:t>04411001) přeřazen</w:t>
      </w:r>
      <w:r>
        <w:rPr>
          <w:rFonts w:cs="Arial"/>
          <w:szCs w:val="20"/>
        </w:rPr>
        <w:t>o</w:t>
      </w:r>
      <w:r w:rsidRPr="00475A83">
        <w:rPr>
          <w:rFonts w:cs="Arial"/>
          <w:szCs w:val="20"/>
        </w:rPr>
        <w:t xml:space="preserve"> z kategorie služeb do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kategorie zboží.</w:t>
      </w:r>
    </w:p>
    <w:p w14:paraId="77805EA7" w14:textId="77777777" w:rsidR="00645E6F" w:rsidRPr="00645E6F" w:rsidRDefault="00645E6F" w:rsidP="00645E6F"/>
    <w:p w14:paraId="60B0DB8B" w14:textId="77777777" w:rsidR="00645E6F" w:rsidRPr="00645E6F" w:rsidRDefault="00645E6F" w:rsidP="00645E6F">
      <w:pPr>
        <w:pStyle w:val="Odstavecseseznamem"/>
        <w:numPr>
          <w:ilvl w:val="0"/>
          <w:numId w:val="1"/>
        </w:numPr>
        <w:jc w:val="both"/>
      </w:pPr>
      <w:r w:rsidRPr="00475A83">
        <w:rPr>
          <w:rFonts w:cs="Arial"/>
          <w:szCs w:val="20"/>
        </w:rPr>
        <w:t xml:space="preserve">Bude </w:t>
      </w:r>
      <w:r>
        <w:rPr>
          <w:rFonts w:cs="Arial"/>
          <w:szCs w:val="20"/>
        </w:rPr>
        <w:t>ukončena</w:t>
      </w:r>
      <w:r w:rsidRPr="009C6A1E">
        <w:rPr>
          <w:rFonts w:cs="Arial"/>
          <w:szCs w:val="20"/>
        </w:rPr>
        <w:t xml:space="preserve"> časová řada </w:t>
      </w:r>
      <w:r>
        <w:rPr>
          <w:rFonts w:cs="Arial"/>
          <w:szCs w:val="20"/>
        </w:rPr>
        <w:t xml:space="preserve">Průměrné spotřebitelské ceny potravin </w:t>
      </w:r>
      <w:r w:rsidRPr="009C6A1E">
        <w:rPr>
          <w:rFonts w:cs="Arial"/>
          <w:szCs w:val="20"/>
        </w:rPr>
        <w:t xml:space="preserve">(předběžné měsíční jednorázové šetření </w:t>
      </w:r>
      <w:r>
        <w:rPr>
          <w:rFonts w:cs="Arial"/>
          <w:szCs w:val="20"/>
        </w:rPr>
        <w:t>v </w:t>
      </w:r>
      <w:r w:rsidRPr="009C6A1E">
        <w:rPr>
          <w:rFonts w:cs="Arial"/>
          <w:szCs w:val="20"/>
        </w:rPr>
        <w:t>terénu). Vypovídací schopnost terénního šetření okamžikových cen v poslední době klesla a</w:t>
      </w:r>
      <w:r>
        <w:rPr>
          <w:rFonts w:cs="Arial"/>
          <w:szCs w:val="20"/>
        </w:rPr>
        <w:t> </w:t>
      </w:r>
      <w:r w:rsidRPr="009C6A1E">
        <w:rPr>
          <w:rFonts w:cs="Arial"/>
          <w:szCs w:val="20"/>
        </w:rPr>
        <w:t>data nejsou konzistentní s informacemi o</w:t>
      </w:r>
      <w:r>
        <w:rPr>
          <w:rFonts w:cs="Arial"/>
          <w:szCs w:val="20"/>
        </w:rPr>
        <w:t> </w:t>
      </w:r>
      <w:r w:rsidRPr="009C6A1E">
        <w:rPr>
          <w:rFonts w:cs="Arial"/>
          <w:szCs w:val="20"/>
        </w:rPr>
        <w:t xml:space="preserve">realizovaných cenách </w:t>
      </w:r>
      <w:proofErr w:type="gramStart"/>
      <w:r w:rsidRPr="009C6A1E">
        <w:rPr>
          <w:rFonts w:cs="Arial"/>
          <w:szCs w:val="20"/>
        </w:rPr>
        <w:t>ze</w:t>
      </w:r>
      <w:proofErr w:type="gramEnd"/>
      <w:r>
        <w:rPr>
          <w:rFonts w:cs="Arial"/>
          <w:szCs w:val="20"/>
        </w:rPr>
        <w:t> </w:t>
      </w:r>
      <w:r w:rsidRPr="009C6A1E">
        <w:rPr>
          <w:rFonts w:cs="Arial"/>
          <w:szCs w:val="20"/>
        </w:rPr>
        <w:t>scanner dat. Průměrné spotřebitelské ceny vybraných druhů zboží na</w:t>
      </w:r>
      <w:r>
        <w:rPr>
          <w:rFonts w:cs="Arial"/>
          <w:szCs w:val="20"/>
        </w:rPr>
        <w:t> </w:t>
      </w:r>
      <w:r w:rsidRPr="009C6A1E">
        <w:rPr>
          <w:rFonts w:cs="Arial"/>
          <w:szCs w:val="20"/>
        </w:rPr>
        <w:t>základě scanner dat budou nadále zveřejňovány v termínech publikování indexu spotřebitelských cen prostřednictvím DataStatu</w:t>
      </w:r>
    </w:p>
    <w:p w14:paraId="42815D8F" w14:textId="1AFEE77D" w:rsidR="00645E6F" w:rsidRPr="00645E6F" w:rsidRDefault="00645E6F" w:rsidP="00645E6F">
      <w:pPr>
        <w:ind w:left="360"/>
      </w:pPr>
      <w:r w:rsidRPr="00645E6F">
        <w:rPr>
          <w:rFonts w:cs="Arial"/>
          <w:szCs w:val="20"/>
        </w:rPr>
        <w:t>(</w:t>
      </w:r>
      <w:hyperlink r:id="rId13" w:history="1">
        <w:r w:rsidRPr="00645E6F">
          <w:rPr>
            <w:rStyle w:val="Hypertextovodkaz"/>
            <w:rFonts w:cs="Arial"/>
            <w:szCs w:val="20"/>
          </w:rPr>
          <w:t>https://data.csu.gov.cz/datastat/data/VYBER/CEN0101DT01?vSet=1&amp;vSel=1</w:t>
        </w:r>
      </w:hyperlink>
      <w:r w:rsidRPr="00645E6F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br/>
      </w:r>
      <w:r w:rsidRPr="00645E6F">
        <w:rPr>
          <w:rFonts w:cs="Arial"/>
          <w:szCs w:val="20"/>
        </w:rPr>
        <w:t>a</w:t>
      </w:r>
      <w:r>
        <w:rPr>
          <w:rFonts w:cs="Arial"/>
          <w:szCs w:val="20"/>
        </w:rPr>
        <w:t> </w:t>
      </w:r>
      <w:r w:rsidRPr="00645E6F">
        <w:rPr>
          <w:rFonts w:cs="Arial"/>
          <w:szCs w:val="20"/>
        </w:rPr>
        <w:t>do</w:t>
      </w:r>
      <w:r>
        <w:rPr>
          <w:rFonts w:cs="Arial"/>
          <w:szCs w:val="20"/>
        </w:rPr>
        <w:t> </w:t>
      </w:r>
      <w:r w:rsidRPr="00645E6F">
        <w:rPr>
          <w:rFonts w:cs="Arial"/>
          <w:szCs w:val="20"/>
        </w:rPr>
        <w:t>budoucna se plánuje rozšíření tohoto výstupu.</w:t>
      </w:r>
    </w:p>
    <w:p w14:paraId="7F03520A" w14:textId="77777777" w:rsidR="00645E6F" w:rsidRDefault="00645E6F" w:rsidP="00645E6F">
      <w:pPr>
        <w:pStyle w:val="Odstavecseseznamem"/>
        <w:ind w:left="0"/>
      </w:pPr>
    </w:p>
    <w:p w14:paraId="348575C2" w14:textId="40861EAD" w:rsidR="00645E6F" w:rsidRPr="00645E6F" w:rsidRDefault="00645E6F" w:rsidP="00645E6F">
      <w:pPr>
        <w:pStyle w:val="Odstavecseseznamem"/>
        <w:numPr>
          <w:ilvl w:val="0"/>
          <w:numId w:val="1"/>
        </w:numPr>
        <w:jc w:val="both"/>
        <w:rPr>
          <w:rStyle w:val="Hypertextovodkaz"/>
          <w:color w:val="auto"/>
          <w:u w:val="none"/>
        </w:rPr>
      </w:pPr>
      <w:r w:rsidRPr="00475A83">
        <w:rPr>
          <w:rFonts w:cs="Arial"/>
          <w:szCs w:val="20"/>
        </w:rPr>
        <w:t>V souladu s příslušnou legislativou EU bude zveřejňován index spotřebitelských cen v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aktualizované</w:t>
      </w:r>
      <w:r w:rsidRPr="00664FCC">
        <w:t xml:space="preserve"> </w:t>
      </w:r>
      <w:r w:rsidRPr="00475A83">
        <w:rPr>
          <w:rFonts w:cs="Arial"/>
          <w:szCs w:val="20"/>
        </w:rPr>
        <w:t xml:space="preserve">klasifikaci individuální spotřeby dle účelu (CZ-COICOP) </w:t>
      </w:r>
      <w:r w:rsidRPr="00475A83">
        <w:rPr>
          <w:rFonts w:eastAsia="Times New Roman" w:cs="Arial"/>
          <w:iCs/>
          <w:szCs w:val="20"/>
        </w:rPr>
        <w:t xml:space="preserve">viz </w:t>
      </w:r>
      <w:hyperlink r:id="rId14" w:history="1">
        <w:r w:rsidRPr="00475A83">
          <w:rPr>
            <w:rStyle w:val="Hypertextovodkaz"/>
            <w:rFonts w:eastAsia="Times New Roman" w:cs="Arial"/>
            <w:iCs/>
            <w:szCs w:val="20"/>
          </w:rPr>
          <w:t>Sdělení ČSÚ</w:t>
        </w:r>
      </w:hyperlink>
      <w:r w:rsidRPr="00475A83">
        <w:rPr>
          <w:rStyle w:val="Hypertextovodkaz"/>
          <w:rFonts w:eastAsia="Times New Roman" w:cs="Arial"/>
          <w:iCs/>
          <w:szCs w:val="20"/>
        </w:rPr>
        <w:t>.</w:t>
      </w:r>
    </w:p>
    <w:p w14:paraId="484896CB" w14:textId="77777777" w:rsidR="00645E6F" w:rsidRPr="00645E6F" w:rsidRDefault="00645E6F" w:rsidP="00645E6F">
      <w:pPr>
        <w:rPr>
          <w:rStyle w:val="Hypertextovodkaz"/>
          <w:color w:val="auto"/>
          <w:u w:val="none"/>
        </w:rPr>
      </w:pPr>
    </w:p>
    <w:p w14:paraId="4AD350B1" w14:textId="7E3D4FAF" w:rsidR="00645E6F" w:rsidRPr="00230633" w:rsidRDefault="00645E6F" w:rsidP="00645E6F">
      <w:pPr>
        <w:pStyle w:val="Odstavecseseznamem"/>
        <w:numPr>
          <w:ilvl w:val="0"/>
          <w:numId w:val="1"/>
        </w:numPr>
        <w:jc w:val="both"/>
      </w:pPr>
      <w:r w:rsidRPr="00475A83">
        <w:rPr>
          <w:rFonts w:cs="Arial"/>
          <w:szCs w:val="20"/>
        </w:rPr>
        <w:t>Dle Nařízení Evropského parlamentu a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Rady (EU) 2016/792 bude současně zavedena časová řada bazických indexů se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základem průměr roku 2025 = 100. Z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této časové řady budou počítány indexy k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 xml:space="preserve">dalším základům (předchozí měsíc = 100, stejné období </w:t>
      </w:r>
      <w:r w:rsidRPr="00475A83">
        <w:rPr>
          <w:rFonts w:cs="Arial"/>
          <w:szCs w:val="20"/>
        </w:rPr>
        <w:lastRenderedPageBreak/>
        <w:t>předchozího roku = 100 a</w:t>
      </w:r>
      <w:r w:rsidR="00230633"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index klouzavých průměrů za</w:t>
      </w:r>
      <w:r w:rsidR="00230633"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posledních 12</w:t>
      </w:r>
      <w:r w:rsidR="00230633"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měsíců k</w:t>
      </w:r>
      <w:r w:rsidR="00230633"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průměru 12</w:t>
      </w:r>
      <w:r w:rsidR="00230633"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předcházejících měsíců).</w:t>
      </w:r>
    </w:p>
    <w:p w14:paraId="0FD896D3" w14:textId="77777777" w:rsidR="00230633" w:rsidRDefault="00230633" w:rsidP="00230633">
      <w:pPr>
        <w:pStyle w:val="Odstavecseseznamem"/>
        <w:ind w:left="0"/>
      </w:pPr>
    </w:p>
    <w:p w14:paraId="1CDAC587" w14:textId="359E4FBF" w:rsidR="00230633" w:rsidRPr="00645E6F" w:rsidRDefault="00230633" w:rsidP="00645E6F">
      <w:pPr>
        <w:pStyle w:val="Odstavecseseznamem"/>
        <w:numPr>
          <w:ilvl w:val="0"/>
          <w:numId w:val="1"/>
        </w:numPr>
        <w:jc w:val="both"/>
      </w:pPr>
      <w:r w:rsidRPr="00475A83">
        <w:rPr>
          <w:rFonts w:cs="Arial"/>
          <w:szCs w:val="20"/>
        </w:rPr>
        <w:t>Rovněž budou indexy spotřebitelských cen počítány na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aktualizovaných vahách, které budou vycházet z peněžních výdajů domácností v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roce 2024 a</w:t>
      </w:r>
      <w:r>
        <w:rPr>
          <w:rFonts w:cs="Arial"/>
          <w:szCs w:val="20"/>
        </w:rPr>
        <w:t> </w:t>
      </w:r>
      <w:r w:rsidRPr="00475A83">
        <w:rPr>
          <w:rFonts w:cs="Arial"/>
          <w:szCs w:val="20"/>
        </w:rPr>
        <w:t>budou modifikovány odhadem výdajů roku 2025</w:t>
      </w:r>
      <w:r>
        <w:rPr>
          <w:rFonts w:cs="Arial"/>
          <w:szCs w:val="20"/>
        </w:rPr>
        <w:t>.</w:t>
      </w:r>
    </w:p>
    <w:p w14:paraId="2ED81A8E" w14:textId="77777777" w:rsidR="00645E6F" w:rsidRDefault="00645E6F" w:rsidP="00230633"/>
    <w:p w14:paraId="6C5E4092" w14:textId="77777777" w:rsidR="00230633" w:rsidRDefault="00230633" w:rsidP="00230633"/>
    <w:p w14:paraId="0E9EE254" w14:textId="77777777" w:rsidR="00230633" w:rsidRDefault="00230633" w:rsidP="00230633"/>
    <w:p w14:paraId="180BAD62" w14:textId="77777777" w:rsidR="00230633" w:rsidRDefault="00230633" w:rsidP="00230633"/>
    <w:p w14:paraId="175F2DE5" w14:textId="77777777" w:rsidR="00230633" w:rsidRDefault="00230633" w:rsidP="00230633"/>
    <w:p w14:paraId="28049479" w14:textId="77777777" w:rsidR="00230633" w:rsidRPr="00645E6F" w:rsidRDefault="00230633" w:rsidP="00230633"/>
    <w:p w14:paraId="7F6F8A0D" w14:textId="77777777" w:rsidR="00645E6F" w:rsidRDefault="00645E6F" w:rsidP="00230633">
      <w:pPr>
        <w:pStyle w:val="Poznamkytexty"/>
        <w:pBdr>
          <w:top w:val="single" w:sz="4" w:space="1" w:color="auto"/>
        </w:pBdr>
        <w:rPr>
          <w:rFonts w:cs="Arial"/>
          <w:i w:val="0"/>
        </w:rPr>
      </w:pPr>
    </w:p>
    <w:p w14:paraId="01FD3C82" w14:textId="77777777" w:rsidR="00645E6F" w:rsidRDefault="00645E6F" w:rsidP="003F1B35">
      <w:pPr>
        <w:pStyle w:val="Poznamkytexty"/>
        <w:rPr>
          <w:rFonts w:cs="Arial"/>
          <w:i w:val="0"/>
        </w:rPr>
      </w:pPr>
    </w:p>
    <w:p w14:paraId="61ADD154" w14:textId="751000D7" w:rsidR="00BF083E" w:rsidRDefault="00BF083E" w:rsidP="003F1B35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t>Poznámky:</w:t>
      </w:r>
    </w:p>
    <w:p w14:paraId="280F3BA7" w14:textId="77777777" w:rsidR="00DE0A29" w:rsidRPr="00B3645D" w:rsidRDefault="00DE0A29" w:rsidP="00DE0A29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5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6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7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6DBC95A3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</w:t>
      </w:r>
      <w:r w:rsidR="00382107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A33B7F">
        <w:rPr>
          <w:rFonts w:cs="Arial"/>
          <w:i/>
          <w:iCs/>
          <w:sz w:val="18"/>
          <w:szCs w:val="18"/>
        </w:rPr>
        <w:t>1</w:t>
      </w:r>
      <w:r w:rsidR="00382107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3DB7" w14:textId="77777777" w:rsidR="00CB0EA3" w:rsidRDefault="00CB0EA3" w:rsidP="00BA6370">
      <w:r>
        <w:separator/>
      </w:r>
    </w:p>
  </w:endnote>
  <w:endnote w:type="continuationSeparator" w:id="0">
    <w:p w14:paraId="30674A32" w14:textId="77777777" w:rsidR="00CB0EA3" w:rsidRDefault="00CB0EA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6D56" w14:textId="77777777" w:rsidR="00CB0EA3" w:rsidRDefault="00CB0EA3" w:rsidP="00BA6370">
      <w:r>
        <w:separator/>
      </w:r>
    </w:p>
  </w:footnote>
  <w:footnote w:type="continuationSeparator" w:id="0">
    <w:p w14:paraId="247FAC74" w14:textId="77777777" w:rsidR="00CB0EA3" w:rsidRDefault="00CB0EA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2A"/>
    <w:multiLevelType w:val="hybridMultilevel"/>
    <w:tmpl w:val="C088B812"/>
    <w:lvl w:ilvl="0" w:tplc="3D0EB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A7522"/>
    <w:multiLevelType w:val="hybridMultilevel"/>
    <w:tmpl w:val="9CD2931A"/>
    <w:lvl w:ilvl="0" w:tplc="1B3642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651930">
    <w:abstractNumId w:val="0"/>
  </w:num>
  <w:num w:numId="2" w16cid:durableId="21346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D778E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0633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107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059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1D43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5E6F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4CE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0EA3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6886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29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3D3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customStyle="1" w:styleId="tlid-translation">
    <w:name w:val="tlid-translation"/>
    <w:basedOn w:val="Standardnpsmoodstavce"/>
    <w:rsid w:val="00382107"/>
  </w:style>
  <w:style w:type="character" w:styleId="Nevyeenzmnka">
    <w:name w:val="Unresolved Mention"/>
    <w:basedOn w:val="Standardnpsmoodstavce"/>
    <w:uiPriority w:val="99"/>
    <w:semiHidden/>
    <w:unhideWhenUsed/>
    <w:rsid w:val="00B54C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645E6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csu.gov.cz/datastat/data/VYBER/CEN0101DT01?vSet=1&amp;vSel=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csu.gov.cz/inflace-spotrebitelske-cen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la.sediva@cs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vladimir.caba@csu.gov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docs/107516/41be45ba-5752-dcd2-e3d9-8d8091872300/sdeleni_c_406_2023_sb_cz-coicop.pdf?version=1.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cb6439c3bfd6e0b7d49aad5b89e1956a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ac97677355adcce5d73611c021248e55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875CC-BF55-4808-901B-08DB523F4DA5}"/>
</file>

<file path=customXml/itemProps4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20</TotalTime>
  <Pages>3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3</cp:revision>
  <cp:lastPrinted>2025-09-02T08:15:00Z</cp:lastPrinted>
  <dcterms:created xsi:type="dcterms:W3CDTF">2025-11-04T11:41:00Z</dcterms:created>
  <dcterms:modified xsi:type="dcterms:W3CDTF">2025-11-04T12:04:00Z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