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295BAF10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11FBD">
        <w:rPr>
          <w:rFonts w:cs="Arial"/>
          <w:b/>
          <w:sz w:val="18"/>
        </w:rPr>
        <w:t>4</w:t>
      </w:r>
      <w:r w:rsidRPr="0096305F">
        <w:rPr>
          <w:rFonts w:cs="Arial"/>
          <w:b/>
          <w:sz w:val="18"/>
        </w:rPr>
        <w:t xml:space="preserve">. </w:t>
      </w:r>
      <w:r w:rsidR="00AE5967">
        <w:rPr>
          <w:rFonts w:cs="Arial"/>
          <w:b/>
          <w:sz w:val="18"/>
        </w:rPr>
        <w:t>10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BDB6DCF" w14:textId="3696F25F" w:rsidR="007A1673" w:rsidRDefault="00B74AD4" w:rsidP="00FE727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Růst důvěry v ekonomiku pokrač</w:t>
      </w:r>
      <w:r w:rsidR="00360AA7">
        <w:rPr>
          <w:rFonts w:eastAsia="Times New Roman"/>
          <w:b/>
          <w:bCs/>
          <w:color w:val="BD1B21"/>
          <w:sz w:val="32"/>
          <w:szCs w:val="32"/>
        </w:rPr>
        <w:t>oval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i v říjnu</w:t>
      </w:r>
    </w:p>
    <w:p w14:paraId="1D71B660" w14:textId="4248B0DF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AE5967">
        <w:rPr>
          <w:rFonts w:eastAsia="Times New Roman"/>
          <w:b/>
          <w:bCs/>
          <w:sz w:val="28"/>
          <w:szCs w:val="28"/>
        </w:rPr>
        <w:t>říjen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5854345E" w:rsidR="00A77115" w:rsidRPr="005A40B8" w:rsidRDefault="005C7887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5A40B8">
        <w:rPr>
          <w:rFonts w:cs="Arial"/>
          <w:b/>
          <w:szCs w:val="18"/>
        </w:rPr>
        <w:t xml:space="preserve">Souhrnný indikátor důvěry (indikátor ekonomického sentimentu), vyjádřený </w:t>
      </w:r>
      <w:r w:rsidR="00AA2FA4">
        <w:rPr>
          <w:rFonts w:cs="Arial"/>
          <w:b/>
          <w:szCs w:val="18"/>
        </w:rPr>
        <w:t>bazickým indexem, meziměsíčně mírně vzrostl</w:t>
      </w:r>
      <w:r w:rsidR="005A40B8">
        <w:rPr>
          <w:rFonts w:cs="Arial"/>
          <w:b/>
          <w:szCs w:val="18"/>
        </w:rPr>
        <w:t xml:space="preserve"> o </w:t>
      </w:r>
      <w:r w:rsidR="00A7797A">
        <w:rPr>
          <w:rFonts w:cs="Arial"/>
          <w:b/>
          <w:szCs w:val="18"/>
        </w:rPr>
        <w:t>2,1</w:t>
      </w:r>
      <w:r w:rsidRPr="005A40B8">
        <w:rPr>
          <w:rFonts w:cs="Arial"/>
          <w:b/>
          <w:szCs w:val="18"/>
        </w:rPr>
        <w:t xml:space="preserve"> bodu na hodnotu </w:t>
      </w:r>
      <w:r w:rsidR="00A7797A">
        <w:rPr>
          <w:rFonts w:cs="Arial"/>
          <w:b/>
          <w:szCs w:val="18"/>
        </w:rPr>
        <w:t>104,0</w:t>
      </w:r>
      <w:r w:rsidRPr="005A40B8">
        <w:rPr>
          <w:rFonts w:cs="Arial"/>
          <w:b/>
          <w:szCs w:val="18"/>
        </w:rPr>
        <w:t xml:space="preserve">, při </w:t>
      </w:r>
      <w:r w:rsidR="00AA2FA4">
        <w:rPr>
          <w:rFonts w:cs="Arial"/>
          <w:b/>
          <w:szCs w:val="18"/>
        </w:rPr>
        <w:t>stejném</w:t>
      </w:r>
      <w:r w:rsidRPr="005A40B8">
        <w:rPr>
          <w:rFonts w:cs="Arial"/>
          <w:b/>
          <w:szCs w:val="18"/>
        </w:rPr>
        <w:t xml:space="preserve"> vývoji obou jeho složek. Indikátor důvěry podnikatelů </w:t>
      </w:r>
      <w:r w:rsidR="00F30326">
        <w:rPr>
          <w:rFonts w:cs="Arial"/>
          <w:b/>
          <w:szCs w:val="18"/>
        </w:rPr>
        <w:t>se zvýšil</w:t>
      </w:r>
      <w:r w:rsidR="00505919" w:rsidRPr="005A40B8">
        <w:rPr>
          <w:rFonts w:cs="Arial"/>
          <w:b/>
          <w:szCs w:val="18"/>
        </w:rPr>
        <w:t xml:space="preserve"> o </w:t>
      </w:r>
      <w:r w:rsidR="00FC641B">
        <w:rPr>
          <w:rFonts w:cs="Arial"/>
          <w:b/>
          <w:szCs w:val="18"/>
        </w:rPr>
        <w:t>1,8</w:t>
      </w:r>
      <w:r w:rsidRPr="005A40B8">
        <w:rPr>
          <w:rFonts w:cs="Arial"/>
          <w:b/>
          <w:szCs w:val="18"/>
        </w:rPr>
        <w:t xml:space="preserve"> bodu na hodnotu </w:t>
      </w:r>
      <w:r w:rsidR="00FC641B">
        <w:rPr>
          <w:rFonts w:cs="Arial"/>
          <w:b/>
          <w:szCs w:val="18"/>
        </w:rPr>
        <w:t>103,4</w:t>
      </w:r>
      <w:r w:rsidR="00AA2FA4">
        <w:rPr>
          <w:rFonts w:cs="Arial"/>
          <w:b/>
          <w:szCs w:val="18"/>
        </w:rPr>
        <w:t xml:space="preserve"> a</w:t>
      </w:r>
      <w:r w:rsidR="002E2353">
        <w:rPr>
          <w:rFonts w:cs="Arial"/>
          <w:b/>
          <w:szCs w:val="18"/>
        </w:rPr>
        <w:t> </w:t>
      </w:r>
      <w:r w:rsidRPr="005A40B8">
        <w:rPr>
          <w:rFonts w:cs="Arial"/>
          <w:b/>
          <w:szCs w:val="18"/>
        </w:rPr>
        <w:t>indik</w:t>
      </w:r>
      <w:r w:rsidR="00473227" w:rsidRPr="005A40B8">
        <w:rPr>
          <w:rFonts w:cs="Arial"/>
          <w:b/>
          <w:szCs w:val="18"/>
        </w:rPr>
        <w:t xml:space="preserve">átor důvěry spotřebitelů </w:t>
      </w:r>
      <w:r w:rsidR="008915A3" w:rsidRPr="005A40B8">
        <w:rPr>
          <w:rFonts w:cs="Arial"/>
          <w:b/>
          <w:szCs w:val="18"/>
        </w:rPr>
        <w:t xml:space="preserve">se </w:t>
      </w:r>
      <w:r w:rsidR="00AA2FA4">
        <w:rPr>
          <w:rFonts w:cs="Arial"/>
          <w:b/>
          <w:szCs w:val="18"/>
        </w:rPr>
        <w:t xml:space="preserve">zvýšil o </w:t>
      </w:r>
      <w:r w:rsidR="00A7797A">
        <w:rPr>
          <w:rFonts w:cs="Arial"/>
          <w:b/>
          <w:szCs w:val="18"/>
        </w:rPr>
        <w:t>3,9</w:t>
      </w:r>
      <w:r w:rsidR="008915A3" w:rsidRPr="005A40B8">
        <w:rPr>
          <w:rFonts w:cs="Arial"/>
          <w:b/>
          <w:szCs w:val="18"/>
        </w:rPr>
        <w:t xml:space="preserve"> bodu na hodnotu</w:t>
      </w:r>
      <w:r w:rsidRPr="005A40B8">
        <w:rPr>
          <w:rFonts w:cs="Arial"/>
          <w:b/>
          <w:szCs w:val="18"/>
        </w:rPr>
        <w:t xml:space="preserve"> </w:t>
      </w:r>
      <w:r w:rsidR="00A7797A">
        <w:rPr>
          <w:rFonts w:cs="Arial"/>
          <w:b/>
          <w:szCs w:val="18"/>
        </w:rPr>
        <w:t>107,4</w:t>
      </w:r>
      <w:r w:rsidRPr="005A40B8">
        <w:rPr>
          <w:rFonts w:cs="Arial"/>
          <w:b/>
          <w:szCs w:val="18"/>
        </w:rPr>
        <w:t>.</w:t>
      </w:r>
    </w:p>
    <w:p w14:paraId="196BA182" w14:textId="766A08CA" w:rsidR="00CF484D" w:rsidRDefault="00230CBA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17E7A3C3" wp14:editId="30ECC0DB">
            <wp:extent cx="5507990" cy="3845929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413" cy="385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41E9A931" w:rsidR="00922617" w:rsidRPr="00201ABC" w:rsidRDefault="00FC641B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 xml:space="preserve">Důvěra v ekonomiku se v říjnu </w:t>
      </w:r>
      <w:r w:rsidR="00447717">
        <w:rPr>
          <w:rFonts w:cs="Arial"/>
          <w:szCs w:val="18"/>
        </w:rPr>
        <w:t xml:space="preserve">zvýšila </w:t>
      </w:r>
      <w:r w:rsidR="00F30326">
        <w:rPr>
          <w:rFonts w:cs="Arial"/>
          <w:szCs w:val="18"/>
        </w:rPr>
        <w:t>v průmyslu</w:t>
      </w:r>
      <w:r w:rsidR="00505919">
        <w:rPr>
          <w:rFonts w:cs="Arial"/>
          <w:szCs w:val="18"/>
        </w:rPr>
        <w:t xml:space="preserve"> </w:t>
      </w:r>
      <w:r w:rsidR="00053016">
        <w:rPr>
          <w:rFonts w:cs="Arial"/>
          <w:szCs w:val="18"/>
        </w:rPr>
        <w:t>(</w:t>
      </w:r>
      <w:r w:rsidR="00F30326">
        <w:rPr>
          <w:rFonts w:cs="Arial"/>
          <w:szCs w:val="18"/>
        </w:rPr>
        <w:t>+</w:t>
      </w:r>
      <w:r>
        <w:rPr>
          <w:rFonts w:cs="Arial"/>
          <w:szCs w:val="18"/>
        </w:rPr>
        <w:t>4,3</w:t>
      </w:r>
      <w:r w:rsidR="00505919">
        <w:rPr>
          <w:rFonts w:cs="Arial"/>
          <w:szCs w:val="18"/>
        </w:rPr>
        <w:t xml:space="preserve"> bodu</w:t>
      </w:r>
      <w:r>
        <w:rPr>
          <w:rFonts w:cs="Arial"/>
          <w:szCs w:val="18"/>
        </w:rPr>
        <w:t xml:space="preserve">) a mírně i ve vybraných odvětvích služeb </w:t>
      </w:r>
      <w:r w:rsidR="00505919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0,6</w:t>
      </w:r>
      <w:r w:rsidR="00505919">
        <w:rPr>
          <w:rFonts w:cs="Arial"/>
          <w:szCs w:val="18"/>
        </w:rPr>
        <w:t xml:space="preserve"> bodu</w:t>
      </w:r>
      <w:r w:rsidR="00E76CDB">
        <w:rPr>
          <w:rFonts w:cs="Arial"/>
          <w:szCs w:val="18"/>
        </w:rPr>
        <w:t>)</w:t>
      </w:r>
      <w:r w:rsidR="003D35C2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V odvětvích obchodu a stavebnictví se snížila (-4,0 bodu a -3,6 bodu)</w:t>
      </w:r>
      <w:r w:rsidR="009C1F89">
        <w:rPr>
          <w:rFonts w:cs="Arial"/>
          <w:szCs w:val="18"/>
        </w:rPr>
        <w:t>.</w:t>
      </w:r>
      <w:r w:rsidR="00447717">
        <w:rPr>
          <w:rFonts w:cs="Arial"/>
          <w:szCs w:val="18"/>
        </w:rPr>
        <w:t xml:space="preserve"> </w:t>
      </w:r>
    </w:p>
    <w:p w14:paraId="577520E5" w14:textId="17D33359" w:rsidR="003C4F22" w:rsidRPr="00675F24" w:rsidRDefault="001A7F47" w:rsidP="002674B4">
      <w:pPr>
        <w:spacing w:line="240" w:lineRule="auto"/>
        <w:jc w:val="left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2674B4" w:rsidRPr="002674B4">
        <w:rPr>
          <w:rFonts w:cs="Arial"/>
          <w:i/>
        </w:rPr>
        <w:t>Důvěra podnikatelů v ekonomiku znovu vzrostla a drží se již třetí měsíc v řadě nad svým dlouhodobým průměrem. Přestože se sentiment mezi podnikateli postupně zlepšuje, mnohé stále výrazně limituje nedostatečná poptávka a zejména ve stavebnictví nedostatek kvalifikovaných zaměstnanců</w:t>
      </w:r>
      <w:r w:rsidR="00BD3460">
        <w:rPr>
          <w:rFonts w:cs="Arial"/>
          <w:i/>
        </w:rPr>
        <w:t>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7D12BB68" w14:textId="4EECC3D8" w:rsidR="00CF484D" w:rsidRDefault="005A40B8" w:rsidP="00CF484D">
      <w:pPr>
        <w:rPr>
          <w:rFonts w:eastAsia="Times New Roman"/>
          <w:bCs/>
          <w:color w:val="000000" w:themeColor="text1"/>
          <w:szCs w:val="20"/>
        </w:rPr>
      </w:pPr>
      <w:r>
        <w:lastRenderedPageBreak/>
        <w:t>Důvěra</w:t>
      </w:r>
      <w:r w:rsidR="005C3C75" w:rsidRPr="005A40B8">
        <w:rPr>
          <w:b/>
        </w:rPr>
        <w:t xml:space="preserve"> spotřebite</w:t>
      </w:r>
      <w:r w:rsidR="00EE3A77" w:rsidRPr="005A40B8">
        <w:rPr>
          <w:b/>
        </w:rPr>
        <w:t>l</w:t>
      </w:r>
      <w:r>
        <w:rPr>
          <w:b/>
        </w:rPr>
        <w:t>ů</w:t>
      </w:r>
      <w:r w:rsidR="008915A3" w:rsidRPr="005A40B8">
        <w:rPr>
          <w:b/>
        </w:rPr>
        <w:t xml:space="preserve"> </w:t>
      </w:r>
      <w:r w:rsidR="00A7797A">
        <w:t>se v říjnu</w:t>
      </w:r>
      <w:r>
        <w:t xml:space="preserve"> meziměsíčně </w:t>
      </w:r>
      <w:r w:rsidR="008D5210">
        <w:t>zvýšila</w:t>
      </w:r>
      <w:r w:rsidR="008915A3" w:rsidRPr="005A40B8">
        <w:t>.</w:t>
      </w:r>
      <w:r w:rsidR="00EE3A77" w:rsidRPr="005A40B8">
        <w:t xml:space="preserve"> Indikátor důvěry</w:t>
      </w:r>
      <w:r w:rsidR="00EA3F8B" w:rsidRPr="005A40B8">
        <w:t xml:space="preserve"> </w:t>
      </w:r>
      <w:r w:rsidR="008D5210">
        <w:t xml:space="preserve">vzrostl o </w:t>
      </w:r>
      <w:r w:rsidR="00A7797A">
        <w:t>3,9</w:t>
      </w:r>
      <w:r w:rsidR="008915A3" w:rsidRPr="005A40B8">
        <w:t xml:space="preserve"> bodu na hodnotu </w:t>
      </w:r>
      <w:r w:rsidR="00A7797A">
        <w:t>107,4</w:t>
      </w:r>
      <w:r w:rsidR="00CF42C9" w:rsidRPr="005A40B8">
        <w:t xml:space="preserve">. </w:t>
      </w:r>
      <w:r w:rsidR="00A7797A">
        <w:rPr>
          <w:color w:val="000000" w:themeColor="text1"/>
        </w:rPr>
        <w:t>Meziměsíčně se výrazně</w:t>
      </w:r>
      <w:r w:rsidR="00A7797A" w:rsidRPr="00E12F2B">
        <w:rPr>
          <w:color w:val="000000" w:themeColor="text1"/>
        </w:rPr>
        <w:t xml:space="preserve"> snížil p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odíl spotřebitelů očekávajících pro období příštích dvanácti měsíců zhoršení </w:t>
      </w:r>
      <w:r w:rsidR="00A7797A" w:rsidRPr="00E12F2B">
        <w:rPr>
          <w:rFonts w:eastAsia="Times New Roman"/>
          <w:bCs/>
          <w:i/>
          <w:color w:val="000000" w:themeColor="text1"/>
          <w:szCs w:val="20"/>
        </w:rPr>
        <w:t>celkové ekonomické situace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 v Česku. </w:t>
      </w:r>
      <w:r w:rsidR="00A7797A">
        <w:rPr>
          <w:rFonts w:eastAsia="Times New Roman"/>
          <w:bCs/>
          <w:color w:val="000000" w:themeColor="text1"/>
          <w:szCs w:val="20"/>
        </w:rPr>
        <w:t>Ve srovnání se zářím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 se </w:t>
      </w:r>
      <w:r w:rsidR="00A7797A">
        <w:rPr>
          <w:rFonts w:eastAsia="Times New Roman"/>
          <w:bCs/>
          <w:color w:val="000000" w:themeColor="text1"/>
          <w:szCs w:val="20"/>
        </w:rPr>
        <w:t>rovněž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 zvýšil podíl domácností očekávajících </w:t>
      </w:r>
      <w:r w:rsidR="00A7797A" w:rsidRPr="00E12F2B">
        <w:rPr>
          <w:i/>
          <w:color w:val="000000" w:themeColor="text1"/>
        </w:rPr>
        <w:t xml:space="preserve">zlepšení své finanční situace </w:t>
      </w:r>
      <w:r w:rsidR="00A7797A" w:rsidRPr="00E12F2B">
        <w:rPr>
          <w:color w:val="000000" w:themeColor="text1"/>
        </w:rPr>
        <w:t>v příštích dvanácti měsících</w:t>
      </w:r>
      <w:r w:rsidR="00A7797A">
        <w:rPr>
          <w:color w:val="000000" w:themeColor="text1"/>
        </w:rPr>
        <w:t>. Naproti tomu se mírně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A7797A">
        <w:rPr>
          <w:rFonts w:eastAsia="Times New Roman"/>
          <w:bCs/>
          <w:color w:val="000000" w:themeColor="text1"/>
          <w:szCs w:val="20"/>
        </w:rPr>
        <w:t xml:space="preserve">zvýšil 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podíl respondentů, kteří </w:t>
      </w:r>
      <w:r w:rsidR="00A7797A" w:rsidRPr="00E12F2B">
        <w:rPr>
          <w:i/>
          <w:color w:val="000000" w:themeColor="text1"/>
        </w:rPr>
        <w:t>hodnotí svou</w:t>
      </w:r>
      <w:r w:rsidR="00A7797A" w:rsidRPr="00E12F2B">
        <w:rPr>
          <w:color w:val="000000" w:themeColor="text1"/>
        </w:rPr>
        <w:t xml:space="preserve"> </w:t>
      </w:r>
      <w:r w:rsidR="00A7797A" w:rsidRPr="00E12F2B">
        <w:rPr>
          <w:i/>
          <w:color w:val="000000" w:themeColor="text1"/>
        </w:rPr>
        <w:t xml:space="preserve">současnou finanční situaci </w:t>
      </w:r>
      <w:r w:rsidR="00A7797A" w:rsidRPr="00E12F2B">
        <w:rPr>
          <w:color w:val="000000" w:themeColor="text1"/>
        </w:rPr>
        <w:t>hůře, než tomu bylo v předchozích dvanácti měsících. Počet respondentů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, kteří neplánují v příštích dvanácti měsících pořizovat </w:t>
      </w:r>
      <w:r w:rsidR="00A7797A" w:rsidRPr="00E12F2B">
        <w:rPr>
          <w:rFonts w:eastAsia="Times New Roman"/>
          <w:bCs/>
          <w:i/>
          <w:color w:val="000000" w:themeColor="text1"/>
          <w:szCs w:val="20"/>
        </w:rPr>
        <w:t>velké nákupy</w:t>
      </w:r>
      <w:r w:rsidR="00A7797A" w:rsidRPr="00E12F2B">
        <w:rPr>
          <w:rFonts w:eastAsia="Times New Roman"/>
          <w:bCs/>
          <w:color w:val="000000" w:themeColor="text1"/>
          <w:szCs w:val="20"/>
        </w:rPr>
        <w:t xml:space="preserve">, se </w:t>
      </w:r>
      <w:r w:rsidR="00A7797A">
        <w:rPr>
          <w:rFonts w:eastAsia="Times New Roman"/>
          <w:bCs/>
          <w:color w:val="000000" w:themeColor="text1"/>
          <w:szCs w:val="20"/>
        </w:rPr>
        <w:t>mírně zvýšil</w:t>
      </w:r>
      <w:r w:rsidR="00A7797A" w:rsidRPr="00E12F2B">
        <w:rPr>
          <w:rFonts w:eastAsia="Times New Roman"/>
          <w:bCs/>
          <w:color w:val="000000" w:themeColor="text1"/>
          <w:szCs w:val="20"/>
        </w:rPr>
        <w:t>.</w:t>
      </w:r>
    </w:p>
    <w:p w14:paraId="4AD57747" w14:textId="77777777" w:rsidR="00A7797A" w:rsidRPr="005A40B8" w:rsidRDefault="00A7797A" w:rsidP="00CF484D">
      <w:pPr>
        <w:rPr>
          <w:i/>
          <w:szCs w:val="20"/>
        </w:rPr>
      </w:pPr>
    </w:p>
    <w:p w14:paraId="52AC928B" w14:textId="0CFFCE29" w:rsidR="00CF484D" w:rsidRPr="005A40B8" w:rsidRDefault="00CF484D" w:rsidP="002674B4">
      <w:pPr>
        <w:spacing w:line="240" w:lineRule="auto"/>
        <w:jc w:val="left"/>
        <w:rPr>
          <w:rFonts w:ascii="Tahoma" w:eastAsia="Times New Roman" w:hAnsi="Tahoma" w:cs="Tahoma"/>
          <w:i/>
          <w:iCs/>
          <w:szCs w:val="20"/>
          <w:lang w:eastAsia="cs-CZ"/>
        </w:rPr>
      </w:pPr>
      <w:r w:rsidRPr="005A40B8">
        <w:rPr>
          <w:rFonts w:cs="Arial"/>
          <w:i/>
        </w:rPr>
        <w:t>„</w:t>
      </w:r>
      <w:r w:rsidR="002674B4" w:rsidRPr="002674B4">
        <w:rPr>
          <w:rFonts w:cs="Arial"/>
          <w:i/>
        </w:rPr>
        <w:t>Spotřebitelská důvěra se v říjnu podruhé v řadě meziměsíčně výrazněji zvýšila a dosáhla dokonce nejvyšší úrovně od února 2020. Domácnosti jsou optimistické ve výhledu vývoje jejich vlastní finanční situace. Zároveň se výrazně snížily obavy ze zhoršení celkové ekonomické situace v Česku v příštích dvanácti měsících</w:t>
      </w:r>
      <w:r w:rsidR="002C5D4C">
        <w:rPr>
          <w:rFonts w:cs="Arial"/>
          <w:i/>
        </w:rPr>
        <w:t xml:space="preserve">,“ </w:t>
      </w:r>
      <w:r w:rsidR="001A6972" w:rsidRPr="005A40B8">
        <w:rPr>
          <w:szCs w:val="20"/>
        </w:rPr>
        <w:t>sdělila</w:t>
      </w:r>
      <w:r w:rsidR="000D5A01" w:rsidRPr="005A40B8">
        <w:rPr>
          <w:szCs w:val="20"/>
        </w:rPr>
        <w:t xml:space="preserve"> </w:t>
      </w:r>
      <w:r w:rsidR="00FD65D7">
        <w:rPr>
          <w:szCs w:val="20"/>
        </w:rPr>
        <w:t>Anastasija Neradová</w:t>
      </w:r>
      <w:r w:rsidRPr="005A40B8">
        <w:rPr>
          <w:szCs w:val="20"/>
        </w:rPr>
        <w:t xml:space="preserve"> z oddělení konjunkturálních průzkumů</w:t>
      </w:r>
      <w:r w:rsidR="000D5A01" w:rsidRPr="005A40B8">
        <w:rPr>
          <w:szCs w:val="20"/>
        </w:rPr>
        <w:t xml:space="preserve"> ČSÚ</w:t>
      </w:r>
      <w:r w:rsidRPr="005A40B8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56BD22CC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6E0756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7CB077A2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AE5967">
        <w:rPr>
          <w:rFonts w:cs="ArialMT"/>
          <w:i/>
          <w:iCs/>
          <w:color w:val="000000"/>
          <w:sz w:val="18"/>
          <w:szCs w:val="18"/>
        </w:rPr>
        <w:t>7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AE5967">
        <w:rPr>
          <w:rFonts w:cs="ArialMT"/>
          <w:i/>
          <w:iCs/>
          <w:color w:val="000000"/>
          <w:sz w:val="18"/>
          <w:szCs w:val="18"/>
        </w:rPr>
        <w:t>10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4D0D6865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1E7A81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AE5967">
        <w:rPr>
          <w:rFonts w:cs="ArialMT"/>
          <w:i/>
          <w:iCs/>
          <w:color w:val="000000"/>
          <w:sz w:val="18"/>
          <w:szCs w:val="18"/>
        </w:rPr>
        <w:t>10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198C60E0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BD77DF">
        <w:rPr>
          <w:rFonts w:cs="ArialMT"/>
          <w:i/>
          <w:iCs/>
          <w:color w:val="000000"/>
          <w:sz w:val="18"/>
          <w:szCs w:val="18"/>
        </w:rPr>
        <w:t>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11FBD">
        <w:rPr>
          <w:rFonts w:cs="ArialMT"/>
          <w:i/>
          <w:iCs/>
          <w:color w:val="000000"/>
          <w:sz w:val="18"/>
          <w:szCs w:val="18"/>
        </w:rPr>
        <w:t>1</w:t>
      </w:r>
      <w:r w:rsidR="00AE5967">
        <w:rPr>
          <w:rFonts w:cs="ArialMT"/>
          <w:i/>
          <w:iCs/>
          <w:color w:val="000000"/>
          <w:sz w:val="18"/>
          <w:szCs w:val="18"/>
        </w:rPr>
        <w:t>1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CF484D" w:rsidP="00CF484D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3BE99468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121E34A8" w14:textId="77777777" w:rsidR="00AE5967" w:rsidRPr="009C1E43" w:rsidRDefault="00AE5967" w:rsidP="00AE5967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4 </w:t>
      </w:r>
      <w:r w:rsidRPr="009C1E43">
        <w:rPr>
          <w:szCs w:val="20"/>
        </w:rPr>
        <w:t>Využití výrobních kapacit ve zpracovatelském průmyslu</w:t>
      </w:r>
      <w:r>
        <w:rPr>
          <w:szCs w:val="20"/>
        </w:rPr>
        <w:t xml:space="preserve"> (2003 – 2025) </w:t>
      </w:r>
    </w:p>
    <w:p w14:paraId="2BD6D3B8" w14:textId="77777777" w:rsidR="00AE5967" w:rsidRPr="009C1E43" w:rsidRDefault="00AE5967" w:rsidP="00AE5967">
      <w:pPr>
        <w:tabs>
          <w:tab w:val="left" w:pos="6336"/>
        </w:tabs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5 </w:t>
      </w:r>
      <w:r w:rsidRPr="009C1E43">
        <w:rPr>
          <w:szCs w:val="20"/>
        </w:rPr>
        <w:t>Bariéry růstu produkce v</w:t>
      </w:r>
      <w:r>
        <w:rPr>
          <w:szCs w:val="20"/>
        </w:rPr>
        <w:t> </w:t>
      </w:r>
      <w:r w:rsidRPr="009C1E43">
        <w:rPr>
          <w:szCs w:val="20"/>
        </w:rPr>
        <w:t>průmyslu</w:t>
      </w:r>
      <w:r>
        <w:rPr>
          <w:szCs w:val="20"/>
        </w:rPr>
        <w:t xml:space="preserve"> (2005–2025)</w:t>
      </w:r>
      <w:r w:rsidRPr="009C1E43">
        <w:rPr>
          <w:szCs w:val="20"/>
        </w:rPr>
        <w:tab/>
      </w:r>
    </w:p>
    <w:p w14:paraId="6B8506A5" w14:textId="77777777" w:rsidR="00AE5967" w:rsidRDefault="00AE5967" w:rsidP="00AE5967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6 </w:t>
      </w:r>
      <w:r w:rsidRPr="009C1E43">
        <w:rPr>
          <w:szCs w:val="20"/>
        </w:rPr>
        <w:t xml:space="preserve">Bariéry růstu </w:t>
      </w:r>
      <w:r>
        <w:rPr>
          <w:szCs w:val="20"/>
        </w:rPr>
        <w:t xml:space="preserve">produkce </w:t>
      </w:r>
      <w:r w:rsidRPr="009C1E43">
        <w:rPr>
          <w:szCs w:val="20"/>
        </w:rPr>
        <w:t>ve stavebnictví</w:t>
      </w:r>
      <w:r>
        <w:rPr>
          <w:szCs w:val="20"/>
        </w:rPr>
        <w:t xml:space="preserve"> (2005–2025)</w:t>
      </w:r>
    </w:p>
    <w:p w14:paraId="695CC8BF" w14:textId="77777777" w:rsidR="00AE5967" w:rsidRPr="008F273F" w:rsidRDefault="00AE5967" w:rsidP="00AE5967">
      <w:pPr>
        <w:ind w:left="709" w:hanging="709"/>
        <w:jc w:val="left"/>
      </w:pPr>
      <w:r>
        <w:rPr>
          <w:szCs w:val="20"/>
        </w:rPr>
        <w:t>Graf 7 Bariéry růstu produkce ve vybraných odvětvích služeb (2005-2025)</w:t>
      </w:r>
    </w:p>
    <w:p w14:paraId="0AEF1C52" w14:textId="77777777" w:rsidR="00AE5967" w:rsidRDefault="00AE5967" w:rsidP="00CF484D">
      <w:pPr>
        <w:spacing w:line="240" w:lineRule="auto"/>
        <w:ind w:left="709" w:hanging="709"/>
        <w:jc w:val="left"/>
        <w:rPr>
          <w:szCs w:val="20"/>
        </w:rPr>
      </w:pPr>
    </w:p>
    <w:p w14:paraId="32FD7742" w14:textId="77777777" w:rsidR="001E7A81" w:rsidRDefault="001E7A81" w:rsidP="00CF484D">
      <w:pPr>
        <w:spacing w:line="240" w:lineRule="auto"/>
        <w:ind w:left="709" w:hanging="709"/>
        <w:jc w:val="left"/>
        <w:rPr>
          <w:szCs w:val="20"/>
        </w:rPr>
      </w:pPr>
    </w:p>
    <w:sectPr w:rsidR="001E7A8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79B2" w14:textId="77777777" w:rsidR="00A829DA" w:rsidRDefault="00A829DA" w:rsidP="00BA6370">
      <w:r>
        <w:separator/>
      </w:r>
    </w:p>
  </w:endnote>
  <w:endnote w:type="continuationSeparator" w:id="0">
    <w:p w14:paraId="12B669E7" w14:textId="77777777" w:rsidR="00A829DA" w:rsidRDefault="00A829D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CD3E" w14:textId="77777777" w:rsidR="00A829DA" w:rsidRDefault="00A829DA" w:rsidP="00BA6370">
      <w:r>
        <w:separator/>
      </w:r>
    </w:p>
  </w:footnote>
  <w:footnote w:type="continuationSeparator" w:id="0">
    <w:p w14:paraId="4746F3F4" w14:textId="77777777" w:rsidR="00A829DA" w:rsidRDefault="00A829D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016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1ED4"/>
    <w:rsid w:val="002C2CFB"/>
    <w:rsid w:val="002C3163"/>
    <w:rsid w:val="002C3CB7"/>
    <w:rsid w:val="002C41A7"/>
    <w:rsid w:val="002C5D4C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667"/>
    <w:rsid w:val="00462FEB"/>
    <w:rsid w:val="00463B5F"/>
    <w:rsid w:val="00465E71"/>
    <w:rsid w:val="004663AD"/>
    <w:rsid w:val="00466DDB"/>
    <w:rsid w:val="0047165C"/>
    <w:rsid w:val="00471DEF"/>
    <w:rsid w:val="00473227"/>
    <w:rsid w:val="004733CB"/>
    <w:rsid w:val="00474E1F"/>
    <w:rsid w:val="004753EE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F0E0F"/>
    <w:rsid w:val="004F30EE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5919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40B8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B9E"/>
    <w:rsid w:val="006674A2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0756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22E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4AD4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460"/>
    <w:rsid w:val="00BD39E4"/>
    <w:rsid w:val="00BD3AAB"/>
    <w:rsid w:val="00BD3DBF"/>
    <w:rsid w:val="00BD4AC5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44A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5D7C"/>
    <w:rsid w:val="00D068A6"/>
    <w:rsid w:val="00D07B80"/>
    <w:rsid w:val="00D10A36"/>
    <w:rsid w:val="00D11383"/>
    <w:rsid w:val="00D1229A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C43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440E"/>
    <w:rsid w:val="00F263C6"/>
    <w:rsid w:val="00F266E8"/>
    <w:rsid w:val="00F27024"/>
    <w:rsid w:val="00F30326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d094c4b9-7a58-5181-6709-b72cb1cee741/ckpr1024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5682-912B-4D09-B757-FC78D4495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B8D04-0714-429E-8C95-B6A21CA08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F77FC-B9CB-4701-8776-F6AAEB91F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D2050-0A81-4880-9540-63933AAB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4411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Slunečková Markéta</cp:lastModifiedBy>
  <cp:revision>22</cp:revision>
  <cp:lastPrinted>2024-03-22T06:57:00Z</cp:lastPrinted>
  <dcterms:created xsi:type="dcterms:W3CDTF">2025-09-19T13:06:00Z</dcterms:created>
  <dcterms:modified xsi:type="dcterms:W3CDTF">2025-10-23T08:28:00Z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