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1A7167F3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8963D8">
        <w:rPr>
          <w:rFonts w:cs="Arial"/>
          <w:b/>
          <w:sz w:val="18"/>
        </w:rPr>
        <w:t>6</w:t>
      </w:r>
      <w:r w:rsidR="00960555" w:rsidRPr="0096305F">
        <w:rPr>
          <w:rFonts w:cs="Arial"/>
          <w:b/>
          <w:sz w:val="18"/>
        </w:rPr>
        <w:t xml:space="preserve">. </w:t>
      </w:r>
      <w:r w:rsidR="008963D8">
        <w:rPr>
          <w:rFonts w:cs="Arial"/>
          <w:b/>
          <w:sz w:val="18"/>
        </w:rPr>
        <w:t>5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7459677D" w14:textId="60E0CC54" w:rsidR="00682B7F" w:rsidRDefault="00682B7F" w:rsidP="008256FC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2925726D" w14:textId="77777777" w:rsidR="009E5FB5" w:rsidRDefault="009E5FB5" w:rsidP="009E5FB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podnikatelů i spotřebitelů v ekonomiku se zvýšila</w:t>
      </w:r>
    </w:p>
    <w:p w14:paraId="5DBE0B72" w14:textId="229D7624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8963D8">
        <w:rPr>
          <w:rFonts w:eastAsia="Times New Roman"/>
          <w:b/>
          <w:bCs/>
          <w:sz w:val="28"/>
          <w:szCs w:val="28"/>
        </w:rPr>
        <w:t>květen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  <w:bookmarkStart w:id="0" w:name="_GoBack"/>
      <w:bookmarkEnd w:id="0"/>
    </w:p>
    <w:p w14:paraId="27425DBC" w14:textId="31032889" w:rsidR="00960555" w:rsidRPr="008358BD" w:rsidRDefault="009E5FB5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27CE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>
        <w:rPr>
          <w:rFonts w:cs="Arial"/>
          <w:b/>
          <w:szCs w:val="18"/>
        </w:rPr>
        <w:t>zvýšil o 4,3</w:t>
      </w:r>
      <w:r w:rsidRPr="008927CE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101,</w:t>
      </w:r>
      <w:r w:rsidR="00FA4EA3">
        <w:rPr>
          <w:rFonts w:cs="Arial"/>
          <w:b/>
          <w:szCs w:val="18"/>
        </w:rPr>
        <w:t>0</w:t>
      </w:r>
      <w:r w:rsidRPr="008927CE">
        <w:rPr>
          <w:rFonts w:cs="Arial"/>
          <w:b/>
          <w:szCs w:val="18"/>
        </w:rPr>
        <w:t xml:space="preserve">, při stejném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>
        <w:rPr>
          <w:rFonts w:cs="Arial"/>
          <w:b/>
          <w:szCs w:val="18"/>
        </w:rPr>
        <w:t>vzrostl o 4,5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>
        <w:rPr>
          <w:rFonts w:cs="Arial"/>
          <w:b/>
          <w:szCs w:val="18"/>
        </w:rPr>
        <w:t xml:space="preserve">101,0 </w:t>
      </w:r>
      <w:r w:rsidRPr="008927CE">
        <w:rPr>
          <w:rFonts w:cs="Arial"/>
          <w:b/>
          <w:szCs w:val="18"/>
        </w:rPr>
        <w:t>a indik</w:t>
      </w:r>
      <w:r>
        <w:rPr>
          <w:rFonts w:cs="Arial"/>
          <w:b/>
          <w:szCs w:val="18"/>
        </w:rPr>
        <w:t>átor důvěry spotřebitelů se ve srovnání s dubnem zvýšil</w:t>
      </w:r>
      <w:r w:rsidRPr="008927CE">
        <w:rPr>
          <w:rFonts w:cs="Arial"/>
          <w:b/>
          <w:szCs w:val="18"/>
        </w:rPr>
        <w:t xml:space="preserve"> o </w:t>
      </w:r>
      <w:r>
        <w:rPr>
          <w:rFonts w:cs="Arial"/>
          <w:b/>
          <w:szCs w:val="18"/>
        </w:rPr>
        <w:t>3,0</w:t>
      </w:r>
      <w:r w:rsidRPr="008927CE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100,7</w:t>
      </w:r>
      <w:r w:rsidR="00EB51B3" w:rsidRPr="00845F7B">
        <w:rPr>
          <w:rFonts w:cs="Arial"/>
          <w:b/>
          <w:szCs w:val="18"/>
        </w:rPr>
        <w:t>.</w:t>
      </w:r>
      <w:r w:rsidR="004E03DB" w:rsidRPr="00845F7B">
        <w:rPr>
          <w:rFonts w:cs="Arial"/>
          <w:b/>
          <w:szCs w:val="18"/>
        </w:rPr>
        <w:t xml:space="preserve"> </w:t>
      </w:r>
      <w:r w:rsidR="00EB51B3" w:rsidRPr="00845F7B">
        <w:rPr>
          <w:rFonts w:cs="Arial"/>
          <w:b/>
          <w:szCs w:val="18"/>
        </w:rPr>
        <w:t>Ve srovnání s</w:t>
      </w:r>
      <w:r w:rsidR="008358BD" w:rsidRPr="00845F7B">
        <w:rPr>
          <w:rFonts w:cs="Arial"/>
          <w:b/>
          <w:szCs w:val="18"/>
        </w:rPr>
        <w:t> </w:t>
      </w:r>
      <w:r>
        <w:rPr>
          <w:rFonts w:cs="Arial"/>
          <w:b/>
          <w:szCs w:val="18"/>
        </w:rPr>
        <w:t>květnem</w:t>
      </w:r>
      <w:r w:rsidR="008358BD" w:rsidRPr="00845F7B">
        <w:rPr>
          <w:rFonts w:cs="Arial"/>
          <w:b/>
          <w:szCs w:val="18"/>
        </w:rPr>
        <w:t xml:space="preserve"> loňského roku</w:t>
      </w:r>
      <w:r w:rsidR="00F441EA" w:rsidRPr="00845F7B">
        <w:rPr>
          <w:rFonts w:cs="Arial"/>
          <w:b/>
          <w:szCs w:val="18"/>
        </w:rPr>
        <w:t xml:space="preserve"> </w:t>
      </w:r>
      <w:r w:rsidR="000E0D8A" w:rsidRPr="00845F7B">
        <w:rPr>
          <w:rFonts w:cs="Arial"/>
          <w:b/>
          <w:szCs w:val="18"/>
        </w:rPr>
        <w:t xml:space="preserve">jsou </w:t>
      </w:r>
      <w:r w:rsidR="00960555" w:rsidRPr="00845F7B">
        <w:rPr>
          <w:rFonts w:cs="Arial"/>
          <w:b/>
          <w:szCs w:val="18"/>
        </w:rPr>
        <w:t>souhrnný indikátor</w:t>
      </w:r>
      <w:r w:rsidR="001B1290" w:rsidRPr="00845F7B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a podnikatelský</w:t>
      </w:r>
      <w:r w:rsidR="001B1290" w:rsidRPr="00845F7B">
        <w:rPr>
          <w:rFonts w:cs="Arial"/>
          <w:b/>
          <w:szCs w:val="18"/>
        </w:rPr>
        <w:t xml:space="preserve"> indikátor na </w:t>
      </w:r>
      <w:r>
        <w:rPr>
          <w:rFonts w:cs="Arial"/>
          <w:b/>
          <w:szCs w:val="18"/>
        </w:rPr>
        <w:t>vyšší</w:t>
      </w:r>
      <w:r w:rsidR="001B1290" w:rsidRPr="00845F7B">
        <w:rPr>
          <w:rFonts w:cs="Arial"/>
          <w:b/>
          <w:szCs w:val="18"/>
        </w:rPr>
        <w:t xml:space="preserve"> úrovni, </w:t>
      </w:r>
      <w:r>
        <w:rPr>
          <w:rFonts w:cs="Arial"/>
          <w:b/>
          <w:szCs w:val="18"/>
        </w:rPr>
        <w:t>spotřebitelsk</w:t>
      </w:r>
      <w:r w:rsidR="00845F7B">
        <w:rPr>
          <w:rFonts w:cs="Arial"/>
          <w:b/>
          <w:szCs w:val="18"/>
        </w:rPr>
        <w:t>ý</w:t>
      </w:r>
      <w:r w:rsidR="00193500" w:rsidRPr="00845F7B">
        <w:rPr>
          <w:rFonts w:cs="Arial"/>
          <w:b/>
          <w:szCs w:val="18"/>
        </w:rPr>
        <w:t xml:space="preserve"> indikátor</w:t>
      </w:r>
      <w:r w:rsidR="00D23CFE" w:rsidRPr="00845F7B">
        <w:rPr>
          <w:rFonts w:cs="Arial"/>
          <w:b/>
          <w:szCs w:val="18"/>
        </w:rPr>
        <w:t xml:space="preserve"> </w:t>
      </w:r>
      <w:r w:rsidR="001B1290" w:rsidRPr="00845F7B">
        <w:rPr>
          <w:rFonts w:cs="Arial"/>
          <w:b/>
          <w:szCs w:val="18"/>
        </w:rPr>
        <w:t xml:space="preserve">je </w:t>
      </w:r>
      <w:r w:rsidR="00A44DC6" w:rsidRPr="00845F7B">
        <w:rPr>
          <w:rFonts w:cs="Arial"/>
          <w:b/>
          <w:szCs w:val="18"/>
        </w:rPr>
        <w:t>meziročně</w:t>
      </w:r>
      <w:r w:rsidR="001B1290" w:rsidRPr="00845F7B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nižší</w:t>
      </w:r>
      <w:r w:rsidR="00BB4AC0" w:rsidRPr="00845F7B">
        <w:rPr>
          <w:rFonts w:cs="Arial"/>
          <w:b/>
          <w:szCs w:val="18"/>
        </w:rPr>
        <w:t xml:space="preserve">. </w:t>
      </w:r>
    </w:p>
    <w:p w14:paraId="0260E4CB" w14:textId="56B91DA8" w:rsidR="00D1203F" w:rsidRDefault="00903DCD" w:rsidP="00D1203F">
      <w:pPr>
        <w:rPr>
          <w:color w:val="000000" w:themeColor="text1"/>
        </w:rPr>
      </w:pPr>
      <w:r>
        <w:t xml:space="preserve">V </w:t>
      </w:r>
      <w:r w:rsidR="00733184">
        <w:t>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>
        <w:t xml:space="preserve">se důvěra mezi podnikateli </w:t>
      </w:r>
      <w:r w:rsidR="006C6CBD">
        <w:t xml:space="preserve">meziměsíčně </w:t>
      </w:r>
      <w:r>
        <w:t>zvýšila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>
        <w:t>vzrostl</w:t>
      </w:r>
      <w:r w:rsidR="00733184">
        <w:t xml:space="preserve"> o </w:t>
      </w:r>
      <w:r>
        <w:t>3,9</w:t>
      </w:r>
      <w:r w:rsidR="00733184">
        <w:t xml:space="preserve"> bodu </w:t>
      </w:r>
      <w:r w:rsidR="00960555">
        <w:t xml:space="preserve">na </w:t>
      </w:r>
      <w:r w:rsidR="00960555" w:rsidRPr="0096305F">
        <w:t>hodnotu</w:t>
      </w:r>
      <w:r w:rsidR="00F47CD9">
        <w:t xml:space="preserve"> </w:t>
      </w:r>
      <w:r>
        <w:t>94,2</w:t>
      </w:r>
      <w:r w:rsidR="00960555" w:rsidRPr="00002391">
        <w:t xml:space="preserve">. </w:t>
      </w:r>
      <w:r w:rsidR="00613AB0">
        <w:t xml:space="preserve">Podíl podnikatelů </w:t>
      </w:r>
      <w:r w:rsidR="00B22F4B">
        <w:t xml:space="preserve">negativně </w:t>
      </w:r>
      <w:r w:rsidR="00613AB0">
        <w:t xml:space="preserve">hodnotících svou </w:t>
      </w:r>
      <w:r w:rsidR="00613AB0" w:rsidRPr="00613AB0">
        <w:rPr>
          <w:i/>
        </w:rPr>
        <w:t>současnou poptávku</w:t>
      </w:r>
      <w:r w:rsidR="00613AB0">
        <w:t xml:space="preserve"> </w:t>
      </w:r>
      <w:r>
        <w:t>se mírně snížil</w:t>
      </w:r>
      <w:r w:rsidR="00613AB0">
        <w:t>.</w:t>
      </w:r>
      <w:r w:rsidR="00963EF3">
        <w:t xml:space="preserve"> </w:t>
      </w:r>
      <w:r w:rsidR="00B16435">
        <w:rPr>
          <w:i/>
        </w:rPr>
        <w:t>S</w:t>
      </w:r>
      <w:r w:rsidR="00B16435" w:rsidRPr="0096305F">
        <w:rPr>
          <w:i/>
        </w:rPr>
        <w:t xml:space="preserve">tav zásob hotových </w:t>
      </w:r>
      <w:r w:rsidR="00B16435" w:rsidRPr="002E5E2D">
        <w:t xml:space="preserve">výrobků </w:t>
      </w:r>
      <w:r>
        <w:t>se ve srovnání s dubnem mírně zvýšil</w:t>
      </w:r>
      <w:r w:rsidR="00B16435">
        <w:t xml:space="preserve">. </w:t>
      </w:r>
      <w:r>
        <w:t>P</w:t>
      </w:r>
      <w:r w:rsidR="00610331">
        <w:t xml:space="preserve">odíl podnikatelů, kteří </w:t>
      </w:r>
      <w:r w:rsidR="006C6CBD">
        <w:t xml:space="preserve">očekávají </w:t>
      </w:r>
      <w:r w:rsidR="00613AB0">
        <w:t xml:space="preserve">v příštích třech měsících </w:t>
      </w:r>
      <w:r>
        <w:t>zvýšení</w:t>
      </w:r>
      <w:r w:rsidR="00613AB0">
        <w:t xml:space="preserve"> </w:t>
      </w:r>
      <w:r w:rsidR="00613AB0" w:rsidRPr="00613AB0">
        <w:rPr>
          <w:i/>
        </w:rPr>
        <w:t>tempa růstu výrobní činnosti</w:t>
      </w:r>
      <w:r>
        <w:t>, oproti minulému měsíci vzrostl</w:t>
      </w:r>
      <w:r w:rsidR="006C6CBD">
        <w:rPr>
          <w:i/>
        </w:rPr>
        <w:t xml:space="preserve">. </w:t>
      </w:r>
      <w:r w:rsidR="006C6CBD">
        <w:t>Podíl</w:t>
      </w:r>
      <w:r w:rsidR="00E705FA">
        <w:t xml:space="preserve"> podnikatelů o</w:t>
      </w:r>
      <w:r w:rsidR="00C07EE7">
        <w:rPr>
          <w:i/>
        </w:rPr>
        <w:t>čekáv</w:t>
      </w:r>
      <w:r w:rsidR="00E705FA">
        <w:rPr>
          <w:i/>
        </w:rPr>
        <w:t>ajících</w:t>
      </w:r>
      <w:r w:rsidR="00677D51">
        <w:rPr>
          <w:i/>
        </w:rPr>
        <w:t xml:space="preserve"> </w:t>
      </w:r>
      <w:r w:rsidR="00E705FA">
        <w:rPr>
          <w:i/>
        </w:rPr>
        <w:t xml:space="preserve">růst cen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 w:rsidR="006C6CBD">
        <w:t xml:space="preserve"> </w:t>
      </w:r>
      <w:r>
        <w:t>se výrazně zvýšil</w:t>
      </w:r>
      <w:r w:rsidR="00C955F6" w:rsidRPr="00DE7316">
        <w:t>.</w:t>
      </w:r>
      <w:r w:rsidR="00E47E30" w:rsidRPr="006C6CBD">
        <w:rPr>
          <w:color w:val="548DD4" w:themeColor="text2" w:themeTint="99"/>
        </w:rPr>
        <w:t xml:space="preserve"> </w:t>
      </w:r>
      <w:r>
        <w:t>V meziročním srovnání</w:t>
      </w:r>
      <w:r w:rsidR="00134348" w:rsidRPr="0067323E">
        <w:t xml:space="preserve"> je důvěra podnikatelů v průmyslu </w:t>
      </w:r>
      <w:r>
        <w:t>vyšší</w:t>
      </w:r>
      <w:r w:rsidR="00733184" w:rsidRPr="006C6CBD">
        <w:rPr>
          <w:color w:val="548DD4" w:themeColor="text2" w:themeTint="99"/>
        </w:rPr>
        <w:t>.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7BCF69A4" w:rsidR="00960555" w:rsidRDefault="00903DCD" w:rsidP="00960555">
      <w:pPr>
        <w:rPr>
          <w:szCs w:val="20"/>
        </w:rPr>
      </w:pPr>
      <w:r>
        <w:rPr>
          <w:color w:val="000000"/>
          <w:szCs w:val="20"/>
        </w:rPr>
        <w:t>Důvěra podnikatelů</w:t>
      </w:r>
      <w:r w:rsidR="001A2D0A">
        <w:rPr>
          <w:color w:val="000000"/>
          <w:szCs w:val="20"/>
        </w:rPr>
        <w:t xml:space="preserve"> 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667341" w:rsidRPr="00667341">
        <w:rPr>
          <w:color w:val="000000"/>
          <w:szCs w:val="20"/>
        </w:rPr>
        <w:t>s</w:t>
      </w:r>
      <w:r w:rsidR="00935ABC">
        <w:rPr>
          <w:color w:val="000000"/>
          <w:szCs w:val="20"/>
        </w:rPr>
        <w:t>e</w:t>
      </w:r>
      <w:r w:rsidR="001A2D0A">
        <w:rPr>
          <w:color w:val="000000"/>
          <w:szCs w:val="20"/>
        </w:rPr>
        <w:t xml:space="preserve"> </w:t>
      </w:r>
      <w:r w:rsidR="00733184">
        <w:rPr>
          <w:color w:val="000000"/>
          <w:szCs w:val="20"/>
        </w:rPr>
        <w:t xml:space="preserve">meziměsíčně </w:t>
      </w:r>
      <w:r>
        <w:rPr>
          <w:color w:val="000000"/>
          <w:szCs w:val="20"/>
        </w:rPr>
        <w:t>snížila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>
        <w:rPr>
          <w:color w:val="000000"/>
          <w:szCs w:val="20"/>
        </w:rPr>
        <w:t>poklesl</w:t>
      </w:r>
      <w:r w:rsidR="003B1AB2">
        <w:rPr>
          <w:color w:val="000000"/>
          <w:szCs w:val="20"/>
        </w:rPr>
        <w:t xml:space="preserve"> o </w:t>
      </w:r>
      <w:r>
        <w:rPr>
          <w:color w:val="000000"/>
          <w:szCs w:val="20"/>
        </w:rPr>
        <w:t>1,7</w:t>
      </w:r>
      <w:r w:rsidR="00733184">
        <w:rPr>
          <w:color w:val="000000"/>
          <w:szCs w:val="20"/>
        </w:rPr>
        <w:t xml:space="preserve"> bodu na hodnotu </w:t>
      </w:r>
      <w:r>
        <w:rPr>
          <w:color w:val="000000"/>
          <w:szCs w:val="20"/>
        </w:rPr>
        <w:t>114,7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6C3F30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meziměsíčně zvýšil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>
        <w:rPr>
          <w:color w:val="000000"/>
          <w:szCs w:val="20"/>
        </w:rPr>
        <w:t xml:space="preserve"> </w:t>
      </w:r>
      <w:r w:rsidRPr="00903DCD">
        <w:rPr>
          <w:color w:val="000000"/>
          <w:szCs w:val="20"/>
        </w:rPr>
        <w:t>se oproti dubnu téměř nezměnil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>
        <w:rPr>
          <w:szCs w:val="20"/>
        </w:rPr>
        <w:t>meziměsíčně nezměnil. Ve srovnání s květnem loňského roku</w:t>
      </w:r>
      <w:r w:rsidR="003F0F6F">
        <w:rPr>
          <w:color w:val="000000" w:themeColor="text1"/>
          <w:szCs w:val="20"/>
        </w:rPr>
        <w:t xml:space="preserve"> </w:t>
      </w:r>
      <w:r w:rsidR="00613AB0">
        <w:rPr>
          <w:color w:val="000000" w:themeColor="text1"/>
          <w:szCs w:val="20"/>
        </w:rPr>
        <w:t>je důvěra ve stavebnictví 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691C120E" w:rsidR="00960555" w:rsidRPr="0096305F" w:rsidRDefault="00903DCD" w:rsidP="00960555">
      <w:pPr>
        <w:rPr>
          <w:color w:val="000000"/>
          <w:szCs w:val="20"/>
        </w:rPr>
      </w:pPr>
      <w:r>
        <w:rPr>
          <w:szCs w:val="20"/>
        </w:rPr>
        <w:t>Mezi podnikateli</w:t>
      </w:r>
      <w:r w:rsidR="0067323E">
        <w:rPr>
          <w:szCs w:val="20"/>
        </w:rPr>
        <w:t xml:space="preserve"> v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Pr="00903DCD">
        <w:rPr>
          <w:color w:val="000000"/>
          <w:szCs w:val="20"/>
        </w:rPr>
        <w:t>se důvěra</w:t>
      </w:r>
      <w:r>
        <w:rPr>
          <w:color w:val="000000"/>
          <w:szCs w:val="20"/>
        </w:rPr>
        <w:t xml:space="preserve"> v ekonomiku </w:t>
      </w:r>
      <w:r w:rsidR="0067323E" w:rsidRPr="00903DCD">
        <w:rPr>
          <w:color w:val="000000"/>
          <w:szCs w:val="20"/>
        </w:rPr>
        <w:t>meziměsíčně</w:t>
      </w:r>
      <w:r w:rsidR="0067323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snížila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poklesl o 1,8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98,4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oproti minulému měsíci mírně zvýšil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Naproti tomu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67323E">
        <w:rPr>
          <w:i/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snížil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mírně zvýšil</w:t>
      </w:r>
      <w:r w:rsidR="00A83272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meziměsíčně </w:t>
      </w:r>
      <w:r>
        <w:rPr>
          <w:color w:val="000000"/>
          <w:szCs w:val="20"/>
        </w:rPr>
        <w:t>vzrostl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>
        <w:rPr>
          <w:color w:val="000000" w:themeColor="text1"/>
          <w:szCs w:val="20"/>
        </w:rPr>
        <w:t>Meziročně</w:t>
      </w:r>
      <w:r w:rsidR="00D77E57">
        <w:rPr>
          <w:color w:val="000000" w:themeColor="text1"/>
          <w:szCs w:val="20"/>
        </w:rPr>
        <w:t xml:space="preserve"> </w:t>
      </w:r>
      <w:r w:rsidR="00E705FA">
        <w:rPr>
          <w:color w:val="000000" w:themeColor="text1"/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 obchodě 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74ED8AB5" w:rsidR="00960555" w:rsidRDefault="0067323E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V</w:t>
      </w:r>
      <w:r w:rsidR="004204D8" w:rsidRPr="00E81129">
        <w:rPr>
          <w:szCs w:val="20"/>
        </w:rPr>
        <w:t>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>
        <w:rPr>
          <w:color w:val="000000"/>
          <w:szCs w:val="20"/>
        </w:rPr>
        <w:t xml:space="preserve"> důvěra podnikatelů</w:t>
      </w:r>
      <w:r w:rsidR="00D21A6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meziměsíčně </w:t>
      </w:r>
      <w:r w:rsidR="001B05D3">
        <w:rPr>
          <w:color w:val="000000"/>
          <w:szCs w:val="20"/>
        </w:rPr>
        <w:t>výrazněji zvýšila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 w:rsidR="001B05D3">
        <w:rPr>
          <w:color w:val="000000"/>
          <w:szCs w:val="20"/>
        </w:rPr>
        <w:t>vzrostl o 6,6</w:t>
      </w:r>
      <w:r w:rsidR="005B0F54">
        <w:rPr>
          <w:color w:val="000000"/>
          <w:szCs w:val="20"/>
        </w:rPr>
        <w:t xml:space="preserve"> bodu na hodnotu</w:t>
      </w:r>
      <w:r w:rsidR="00B20350">
        <w:rPr>
          <w:color w:val="000000"/>
          <w:szCs w:val="20"/>
        </w:rPr>
        <w:t xml:space="preserve"> </w:t>
      </w:r>
      <w:r w:rsidR="001B05D3">
        <w:rPr>
          <w:color w:val="000000"/>
          <w:szCs w:val="20"/>
        </w:rPr>
        <w:t>106,9, což je nejvyšší hodnota od května 2022</w:t>
      </w:r>
      <w:r w:rsidR="00CB55EC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Hodnocení současné ekonomic</w:t>
      </w:r>
      <w:r w:rsidR="001B05D3">
        <w:rPr>
          <w:color w:val="000000"/>
          <w:szCs w:val="20"/>
        </w:rPr>
        <w:t>ké situace mezi podnikateli s</w:t>
      </w:r>
      <w:r>
        <w:rPr>
          <w:color w:val="000000"/>
          <w:szCs w:val="20"/>
        </w:rPr>
        <w:t xml:space="preserve">e </w:t>
      </w:r>
      <w:r w:rsidR="001B05D3">
        <w:rPr>
          <w:color w:val="000000"/>
          <w:szCs w:val="20"/>
        </w:rPr>
        <w:t>meziměsíčně téměř nezměnilo</w:t>
      </w:r>
      <w:r>
        <w:rPr>
          <w:color w:val="000000"/>
          <w:szCs w:val="20"/>
        </w:rPr>
        <w:t>.</w:t>
      </w:r>
      <w:r w:rsidR="007A3212">
        <w:rPr>
          <w:color w:val="000000"/>
          <w:szCs w:val="20"/>
        </w:rPr>
        <w:t xml:space="preserve"> </w:t>
      </w:r>
      <w:r w:rsidR="001B05D3">
        <w:rPr>
          <w:color w:val="000000"/>
          <w:szCs w:val="20"/>
        </w:rPr>
        <w:t>Výrazně se ale zvýšil p</w:t>
      </w:r>
      <w:r w:rsidR="006D7735">
        <w:rPr>
          <w:color w:val="000000"/>
          <w:szCs w:val="20"/>
        </w:rPr>
        <w:t>odíl</w:t>
      </w:r>
      <w:r w:rsidR="00F956B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DB6039">
        <w:rPr>
          <w:color w:val="000000"/>
          <w:szCs w:val="20"/>
        </w:rPr>
        <w:t xml:space="preserve">. </w:t>
      </w:r>
      <w:r w:rsidR="001B05D3">
        <w:rPr>
          <w:color w:val="000000"/>
          <w:szCs w:val="20"/>
        </w:rPr>
        <w:t xml:space="preserve">Významně se rovněž zvýšil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</w:t>
      </w:r>
      <w:r w:rsidR="00D037C6">
        <w:rPr>
          <w:color w:val="000000"/>
          <w:szCs w:val="20"/>
        </w:rPr>
        <w:lastRenderedPageBreak/>
        <w:t>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se </w:t>
      </w:r>
      <w:r w:rsidR="00DB6039">
        <w:rPr>
          <w:color w:val="000000"/>
          <w:szCs w:val="20"/>
        </w:rPr>
        <w:t>ve srovnání s</w:t>
      </w:r>
      <w:r w:rsidR="001B05D3">
        <w:rPr>
          <w:color w:val="000000"/>
          <w:szCs w:val="20"/>
        </w:rPr>
        <w:t> dubnem téměř</w:t>
      </w:r>
      <w:r w:rsidR="00DB6039">
        <w:rPr>
          <w:color w:val="000000"/>
          <w:szCs w:val="20"/>
        </w:rPr>
        <w:t xml:space="preserve"> nezměnil</w:t>
      </w:r>
      <w:r w:rsidR="00D037C6">
        <w:rPr>
          <w:color w:val="000000"/>
          <w:szCs w:val="20"/>
        </w:rPr>
        <w:t xml:space="preserve">. </w:t>
      </w:r>
      <w:r w:rsidR="00DB6039">
        <w:rPr>
          <w:color w:val="000000"/>
          <w:szCs w:val="20"/>
        </w:rPr>
        <w:t>Ve srovnání s</w:t>
      </w:r>
      <w:r w:rsidR="001B05D3">
        <w:rPr>
          <w:color w:val="000000"/>
          <w:szCs w:val="20"/>
        </w:rPr>
        <w:t> květnem 2024</w:t>
      </w:r>
      <w:r w:rsidR="00B20350" w:rsidRPr="00927657">
        <w:rPr>
          <w:color w:val="000000"/>
          <w:szCs w:val="20"/>
        </w:rPr>
        <w:t xml:space="preserve"> je 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B272DC" w:rsidRDefault="00716E3C" w:rsidP="00960555">
      <w:pPr>
        <w:rPr>
          <w:szCs w:val="20"/>
        </w:rPr>
      </w:pPr>
    </w:p>
    <w:p w14:paraId="0B787583" w14:textId="3BA0C17F" w:rsidR="00960555" w:rsidRPr="00B272DC" w:rsidRDefault="000063D4" w:rsidP="00960555">
      <w:pPr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Mezi</w:t>
      </w:r>
      <w:r w:rsidR="003648B3" w:rsidRPr="00B272DC">
        <w:rPr>
          <w:rFonts w:eastAsia="Times New Roman"/>
          <w:bCs/>
          <w:szCs w:val="20"/>
        </w:rPr>
        <w:t xml:space="preserve"> </w:t>
      </w:r>
      <w:r w:rsidR="003648B3" w:rsidRPr="00B272DC">
        <w:rPr>
          <w:rFonts w:eastAsia="Times New Roman"/>
          <w:b/>
          <w:bCs/>
          <w:szCs w:val="20"/>
        </w:rPr>
        <w:t>spotřebitel</w:t>
      </w:r>
      <w:r>
        <w:rPr>
          <w:rFonts w:eastAsia="Times New Roman"/>
          <w:b/>
          <w:bCs/>
          <w:szCs w:val="20"/>
        </w:rPr>
        <w:t xml:space="preserve">i </w:t>
      </w:r>
      <w:r>
        <w:rPr>
          <w:rFonts w:eastAsia="Times New Roman"/>
          <w:bCs/>
          <w:szCs w:val="20"/>
        </w:rPr>
        <w:t>se důvěra</w:t>
      </w:r>
      <w:r w:rsidR="00E81129" w:rsidRPr="00B272DC">
        <w:rPr>
          <w:rFonts w:eastAsia="Times New Roman"/>
          <w:b/>
          <w:bCs/>
          <w:szCs w:val="20"/>
        </w:rPr>
        <w:t xml:space="preserve"> </w:t>
      </w:r>
      <w:r w:rsidR="00C61006" w:rsidRPr="00B272DC">
        <w:rPr>
          <w:rFonts w:eastAsia="Times New Roman"/>
          <w:bCs/>
          <w:szCs w:val="20"/>
        </w:rPr>
        <w:t>v</w:t>
      </w:r>
      <w:r w:rsidR="00E81129" w:rsidRPr="00B272DC">
        <w:rPr>
          <w:rFonts w:eastAsia="Times New Roman"/>
          <w:bCs/>
          <w:szCs w:val="20"/>
        </w:rPr>
        <w:t> </w:t>
      </w:r>
      <w:r w:rsidR="00C61006" w:rsidRPr="00B272DC">
        <w:rPr>
          <w:rFonts w:eastAsia="Times New Roman"/>
          <w:bCs/>
          <w:szCs w:val="20"/>
        </w:rPr>
        <w:t>ekonomiku</w:t>
      </w:r>
      <w:r w:rsidR="00E81129" w:rsidRPr="00B272DC">
        <w:rPr>
          <w:rFonts w:eastAsia="Times New Roman"/>
          <w:b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zvýšila</w:t>
      </w:r>
      <w:r w:rsidR="00581E8D" w:rsidRPr="00B272DC">
        <w:rPr>
          <w:rFonts w:eastAsia="Times New Roman"/>
          <w:bCs/>
          <w:szCs w:val="20"/>
        </w:rPr>
        <w:t xml:space="preserve">. Indikátor důvěry </w:t>
      </w:r>
      <w:r>
        <w:rPr>
          <w:rFonts w:eastAsia="Times New Roman"/>
          <w:bCs/>
          <w:szCs w:val="20"/>
        </w:rPr>
        <w:t xml:space="preserve">v květnu </w:t>
      </w:r>
      <w:r w:rsidR="00853882" w:rsidRPr="00B272DC">
        <w:rPr>
          <w:rFonts w:eastAsia="Times New Roman"/>
          <w:bCs/>
          <w:szCs w:val="20"/>
        </w:rPr>
        <w:t xml:space="preserve">meziměsíčně </w:t>
      </w:r>
      <w:r>
        <w:rPr>
          <w:rFonts w:eastAsia="Times New Roman"/>
          <w:bCs/>
          <w:szCs w:val="20"/>
        </w:rPr>
        <w:t>vzrostl</w:t>
      </w:r>
      <w:r w:rsidR="005724CC">
        <w:rPr>
          <w:rFonts w:eastAsia="Times New Roman"/>
          <w:bCs/>
          <w:szCs w:val="20"/>
        </w:rPr>
        <w:t xml:space="preserve"> </w:t>
      </w:r>
      <w:r w:rsidR="00C00725" w:rsidRPr="00B272DC">
        <w:rPr>
          <w:rFonts w:eastAsia="Times New Roman"/>
          <w:bCs/>
          <w:szCs w:val="20"/>
        </w:rPr>
        <w:t>o</w:t>
      </w:r>
      <w:r w:rsidR="004B47AD">
        <w:rPr>
          <w:rFonts w:eastAsia="Times New Roman"/>
          <w:bCs/>
          <w:szCs w:val="20"/>
        </w:rPr>
        <w:t> </w:t>
      </w:r>
      <w:r>
        <w:rPr>
          <w:rFonts w:eastAsia="Times New Roman"/>
          <w:bCs/>
          <w:szCs w:val="20"/>
        </w:rPr>
        <w:t>3,0</w:t>
      </w:r>
      <w:r w:rsidR="00C61006" w:rsidRPr="00B272DC">
        <w:rPr>
          <w:rFonts w:eastAsia="Times New Roman"/>
          <w:bCs/>
          <w:szCs w:val="20"/>
        </w:rPr>
        <w:t xml:space="preserve"> </w:t>
      </w:r>
      <w:r w:rsidR="00960555" w:rsidRPr="00B272DC">
        <w:rPr>
          <w:rFonts w:eastAsia="Times New Roman"/>
          <w:bCs/>
          <w:szCs w:val="20"/>
        </w:rPr>
        <w:t>bodu</w:t>
      </w:r>
      <w:r w:rsidR="008D0A10" w:rsidRPr="00B272DC">
        <w:rPr>
          <w:rFonts w:eastAsia="Times New Roman"/>
          <w:bCs/>
          <w:szCs w:val="20"/>
        </w:rPr>
        <w:t xml:space="preserve"> </w:t>
      </w:r>
      <w:r w:rsidR="007D7054">
        <w:rPr>
          <w:rFonts w:eastAsia="Times New Roman"/>
          <w:bCs/>
          <w:szCs w:val="20"/>
        </w:rPr>
        <w:t xml:space="preserve">(nejvíce od dubna 2024) </w:t>
      </w:r>
      <w:r w:rsidR="00960555" w:rsidRPr="00B272DC">
        <w:rPr>
          <w:rFonts w:eastAsia="Times New Roman"/>
          <w:bCs/>
          <w:szCs w:val="20"/>
        </w:rPr>
        <w:t>na </w:t>
      </w:r>
      <w:r w:rsidR="00007885" w:rsidRPr="00B272DC">
        <w:rPr>
          <w:rFonts w:eastAsia="Times New Roman"/>
          <w:bCs/>
          <w:szCs w:val="20"/>
        </w:rPr>
        <w:t>h</w:t>
      </w:r>
      <w:r w:rsidR="0060215B" w:rsidRPr="00B272DC">
        <w:rPr>
          <w:rFonts w:eastAsia="Times New Roman"/>
          <w:bCs/>
          <w:szCs w:val="20"/>
        </w:rPr>
        <w:t xml:space="preserve">odnotu </w:t>
      </w:r>
      <w:r>
        <w:rPr>
          <w:rFonts w:eastAsia="Times New Roman"/>
          <w:bCs/>
          <w:szCs w:val="20"/>
        </w:rPr>
        <w:t>100,7</w:t>
      </w:r>
      <w:r w:rsidR="00007885" w:rsidRPr="00B272DC">
        <w:rPr>
          <w:rFonts w:eastAsia="Times New Roman"/>
          <w:bCs/>
          <w:szCs w:val="20"/>
        </w:rPr>
        <w:t>.</w:t>
      </w:r>
      <w:r w:rsidR="00C61006" w:rsidRPr="00B272DC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P</w:t>
      </w:r>
      <w:r w:rsidR="00B01B72" w:rsidRPr="00B272DC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B01B72" w:rsidRPr="00B272DC">
        <w:rPr>
          <w:rFonts w:eastAsia="Times New Roman"/>
          <w:bCs/>
          <w:i/>
          <w:szCs w:val="20"/>
        </w:rPr>
        <w:t>celkové ekonomické situace</w:t>
      </w:r>
      <w:r w:rsidR="00B01B72" w:rsidRPr="00B272DC">
        <w:rPr>
          <w:rFonts w:eastAsia="Times New Roman"/>
          <w:bCs/>
          <w:szCs w:val="20"/>
        </w:rPr>
        <w:t xml:space="preserve"> v Česku </w:t>
      </w:r>
      <w:r w:rsidR="00853882" w:rsidRPr="00B272DC">
        <w:rPr>
          <w:rFonts w:eastAsia="Times New Roman"/>
          <w:bCs/>
          <w:szCs w:val="20"/>
        </w:rPr>
        <w:t xml:space="preserve">se meziměsíčně </w:t>
      </w:r>
      <w:r>
        <w:rPr>
          <w:rFonts w:eastAsia="Times New Roman"/>
          <w:bCs/>
          <w:szCs w:val="20"/>
        </w:rPr>
        <w:t>snížil</w:t>
      </w:r>
      <w:r w:rsidR="00FE5577">
        <w:rPr>
          <w:rFonts w:eastAsia="Times New Roman"/>
          <w:bCs/>
          <w:szCs w:val="20"/>
        </w:rPr>
        <w:t>.</w:t>
      </w:r>
      <w:r w:rsidR="00C00725" w:rsidRPr="00B272DC">
        <w:rPr>
          <w:rFonts w:eastAsia="Times New Roman"/>
          <w:bCs/>
          <w:szCs w:val="20"/>
        </w:rPr>
        <w:t xml:space="preserve"> </w:t>
      </w:r>
      <w:r w:rsidR="00E81129" w:rsidRPr="00B272DC">
        <w:rPr>
          <w:rFonts w:eastAsia="Times New Roman"/>
          <w:bCs/>
          <w:szCs w:val="20"/>
        </w:rPr>
        <w:t>P</w:t>
      </w:r>
      <w:r w:rsidR="00C00725" w:rsidRPr="00B272DC">
        <w:rPr>
          <w:rFonts w:eastAsia="Times New Roman"/>
          <w:bCs/>
          <w:szCs w:val="20"/>
        </w:rPr>
        <w:t xml:space="preserve">odíl domácností očekávajících </w:t>
      </w:r>
      <w:r w:rsidR="00A870BA" w:rsidRPr="00B272DC">
        <w:rPr>
          <w:i/>
        </w:rPr>
        <w:t>z</w:t>
      </w:r>
      <w:r w:rsidR="0065380A" w:rsidRPr="00B272DC">
        <w:rPr>
          <w:i/>
        </w:rPr>
        <w:t>horšení</w:t>
      </w:r>
      <w:r w:rsidR="00A870BA" w:rsidRPr="00B272DC">
        <w:rPr>
          <w:i/>
        </w:rPr>
        <w:t xml:space="preserve"> </w:t>
      </w:r>
      <w:r w:rsidR="00B01B72" w:rsidRPr="00B272DC">
        <w:rPr>
          <w:i/>
        </w:rPr>
        <w:t>své finanční situace v příštích dvanácti měsících</w:t>
      </w:r>
      <w:r w:rsidR="00E81129" w:rsidRPr="00B272DC">
        <w:rPr>
          <w:rFonts w:eastAsia="Times New Roman"/>
          <w:bCs/>
          <w:i/>
          <w:szCs w:val="20"/>
        </w:rPr>
        <w:t xml:space="preserve"> </w:t>
      </w:r>
      <w:r w:rsidR="00E81129" w:rsidRPr="00B272DC">
        <w:rPr>
          <w:rFonts w:eastAsia="Times New Roman"/>
          <w:bCs/>
          <w:szCs w:val="20"/>
        </w:rPr>
        <w:t xml:space="preserve">se </w:t>
      </w:r>
      <w:r w:rsidR="00B272DC">
        <w:rPr>
          <w:rFonts w:eastAsia="Times New Roman"/>
          <w:bCs/>
          <w:szCs w:val="20"/>
        </w:rPr>
        <w:t xml:space="preserve">ve srovnání </w:t>
      </w:r>
      <w:r w:rsidR="00F61EFE">
        <w:rPr>
          <w:rFonts w:eastAsia="Times New Roman"/>
          <w:bCs/>
          <w:szCs w:val="20"/>
        </w:rPr>
        <w:t>s dubnem mírně snížil</w:t>
      </w:r>
      <w:r w:rsidR="00E81129" w:rsidRPr="00B272DC">
        <w:rPr>
          <w:rFonts w:eastAsia="Times New Roman"/>
          <w:bCs/>
          <w:szCs w:val="20"/>
        </w:rPr>
        <w:t xml:space="preserve">. </w:t>
      </w:r>
      <w:r w:rsidR="00F61EFE">
        <w:rPr>
          <w:rFonts w:eastAsia="Times New Roman"/>
          <w:bCs/>
          <w:szCs w:val="20"/>
        </w:rPr>
        <w:t>Stejně tak mírně poklesl p</w:t>
      </w:r>
      <w:r w:rsidR="00B01B72" w:rsidRPr="00B272DC">
        <w:rPr>
          <w:rFonts w:eastAsia="Times New Roman"/>
          <w:bCs/>
          <w:szCs w:val="20"/>
        </w:rPr>
        <w:t xml:space="preserve">očet domácností, které </w:t>
      </w:r>
      <w:r w:rsidR="00B01B72" w:rsidRPr="00B272DC">
        <w:rPr>
          <w:i/>
        </w:rPr>
        <w:t>hodnotí svou</w:t>
      </w:r>
      <w:r w:rsidR="00B01B72" w:rsidRPr="00B272DC">
        <w:t xml:space="preserve"> </w:t>
      </w:r>
      <w:r w:rsidR="00B01B72" w:rsidRPr="00B272DC">
        <w:rPr>
          <w:i/>
        </w:rPr>
        <w:t xml:space="preserve">současnou finanční situaci </w:t>
      </w:r>
      <w:r w:rsidR="00B01B72" w:rsidRPr="00B272DC">
        <w:t>hůře, než tomu bylo v předchozích dvanácti měsících</w:t>
      </w:r>
      <w:r w:rsidR="00E81129" w:rsidRPr="00B272DC">
        <w:t xml:space="preserve">. </w:t>
      </w:r>
      <w:r w:rsidR="007E1180" w:rsidRPr="00B272DC">
        <w:rPr>
          <w:rFonts w:eastAsia="Times New Roman"/>
          <w:bCs/>
          <w:szCs w:val="20"/>
        </w:rPr>
        <w:t>Počet</w:t>
      </w:r>
      <w:r w:rsidR="0090547D" w:rsidRPr="00B272DC">
        <w:rPr>
          <w:rFonts w:eastAsia="Times New Roman"/>
          <w:bCs/>
          <w:szCs w:val="20"/>
        </w:rPr>
        <w:t xml:space="preserve"> </w:t>
      </w:r>
      <w:r w:rsidR="00A870BA" w:rsidRPr="00B272DC">
        <w:rPr>
          <w:rFonts w:eastAsia="Times New Roman"/>
          <w:bCs/>
          <w:szCs w:val="20"/>
        </w:rPr>
        <w:t>respondentů</w:t>
      </w:r>
      <w:r w:rsidR="0090547D" w:rsidRPr="00B272DC">
        <w:rPr>
          <w:rFonts w:eastAsia="Times New Roman"/>
          <w:bCs/>
          <w:szCs w:val="20"/>
        </w:rPr>
        <w:t>, kteří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DC4C73" w:rsidRPr="00B272DC">
        <w:rPr>
          <w:rFonts w:eastAsia="Times New Roman"/>
          <w:bCs/>
          <w:szCs w:val="20"/>
        </w:rPr>
        <w:t>neplánují v příštích dvanácti měsících pořizovat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8F0570" w:rsidRPr="00B272DC">
        <w:rPr>
          <w:rFonts w:eastAsia="Times New Roman"/>
          <w:bCs/>
          <w:i/>
          <w:szCs w:val="20"/>
        </w:rPr>
        <w:t>velk</w:t>
      </w:r>
      <w:r w:rsidR="00DC4C73" w:rsidRPr="00B272DC">
        <w:rPr>
          <w:rFonts w:eastAsia="Times New Roman"/>
          <w:bCs/>
          <w:i/>
          <w:szCs w:val="20"/>
        </w:rPr>
        <w:t>é</w:t>
      </w:r>
      <w:r w:rsidR="008F0570" w:rsidRPr="00B272DC">
        <w:rPr>
          <w:rFonts w:eastAsia="Times New Roman"/>
          <w:bCs/>
          <w:i/>
          <w:szCs w:val="20"/>
        </w:rPr>
        <w:t xml:space="preserve"> nákup</w:t>
      </w:r>
      <w:r w:rsidR="00DC4C73" w:rsidRPr="00B272DC">
        <w:rPr>
          <w:rFonts w:eastAsia="Times New Roman"/>
          <w:bCs/>
          <w:i/>
          <w:szCs w:val="20"/>
        </w:rPr>
        <w:t>y</w:t>
      </w:r>
      <w:r w:rsidR="00E94C61" w:rsidRPr="00B272DC">
        <w:rPr>
          <w:rFonts w:eastAsia="Times New Roman"/>
          <w:bCs/>
          <w:i/>
          <w:szCs w:val="20"/>
        </w:rPr>
        <w:t>,</w:t>
      </w:r>
      <w:r w:rsidR="007E1180" w:rsidRPr="00B272DC">
        <w:rPr>
          <w:rFonts w:eastAsia="Times New Roman"/>
          <w:bCs/>
          <w:szCs w:val="20"/>
        </w:rPr>
        <w:t xml:space="preserve"> </w:t>
      </w:r>
      <w:r w:rsidR="00B272DC">
        <w:rPr>
          <w:rFonts w:eastAsia="Times New Roman"/>
          <w:bCs/>
          <w:szCs w:val="20"/>
        </w:rPr>
        <w:t>se</w:t>
      </w:r>
      <w:r w:rsidR="00853882" w:rsidRPr="00B272DC">
        <w:rPr>
          <w:rFonts w:eastAsia="Times New Roman"/>
          <w:bCs/>
          <w:szCs w:val="20"/>
        </w:rPr>
        <w:t xml:space="preserve"> </w:t>
      </w:r>
      <w:r w:rsidR="00F61EFE">
        <w:rPr>
          <w:rFonts w:eastAsia="Times New Roman"/>
          <w:bCs/>
          <w:szCs w:val="20"/>
        </w:rPr>
        <w:t>nezměnil</w:t>
      </w:r>
      <w:r w:rsidR="00033F26" w:rsidRPr="00B272DC">
        <w:rPr>
          <w:rFonts w:eastAsia="Times New Roman"/>
          <w:bCs/>
          <w:szCs w:val="20"/>
        </w:rPr>
        <w:t>.</w:t>
      </w:r>
      <w:r w:rsidR="00960555" w:rsidRPr="00B272DC">
        <w:rPr>
          <w:rFonts w:eastAsia="Times New Roman"/>
          <w:bCs/>
          <w:szCs w:val="20"/>
        </w:rPr>
        <w:t xml:space="preserve"> </w:t>
      </w:r>
      <w:r w:rsidR="00B272DC">
        <w:rPr>
          <w:rFonts w:eastAsia="Times New Roman"/>
          <w:bCs/>
          <w:szCs w:val="20"/>
        </w:rPr>
        <w:t>O</w:t>
      </w:r>
      <w:r w:rsidR="00AD3520" w:rsidRPr="00B272DC">
        <w:rPr>
          <w:rFonts w:eastAsia="Times New Roman"/>
          <w:bCs/>
          <w:szCs w:val="20"/>
        </w:rPr>
        <w:t>bavy domácností</w:t>
      </w:r>
      <w:r w:rsidR="00006CF0" w:rsidRPr="00B272DC">
        <w:rPr>
          <w:rFonts w:eastAsia="Times New Roman"/>
          <w:bCs/>
          <w:szCs w:val="20"/>
        </w:rPr>
        <w:t xml:space="preserve"> ze zvýšení nezaměstnanost</w:t>
      </w:r>
      <w:r w:rsidR="00A1338D" w:rsidRPr="00B272DC">
        <w:rPr>
          <w:rFonts w:eastAsia="Times New Roman"/>
          <w:bCs/>
          <w:szCs w:val="20"/>
        </w:rPr>
        <w:t>i</w:t>
      </w:r>
      <w:r w:rsidR="007E40C1" w:rsidRPr="00B272DC">
        <w:rPr>
          <w:rFonts w:eastAsia="Times New Roman"/>
          <w:bCs/>
          <w:szCs w:val="20"/>
        </w:rPr>
        <w:t xml:space="preserve"> </w:t>
      </w:r>
      <w:r w:rsidR="0093112A" w:rsidRPr="00B272DC">
        <w:rPr>
          <w:rFonts w:eastAsia="Times New Roman"/>
          <w:bCs/>
          <w:szCs w:val="20"/>
        </w:rPr>
        <w:t>v příštích dvanácti měsících</w:t>
      </w:r>
      <w:r w:rsidR="00E76F7D" w:rsidRPr="00B272DC">
        <w:rPr>
          <w:rFonts w:eastAsia="Times New Roman"/>
          <w:bCs/>
          <w:szCs w:val="20"/>
        </w:rPr>
        <w:t xml:space="preserve"> se </w:t>
      </w:r>
      <w:r w:rsidR="00F61EFE">
        <w:rPr>
          <w:rFonts w:eastAsia="Times New Roman"/>
          <w:bCs/>
          <w:szCs w:val="20"/>
        </w:rPr>
        <w:t>meziměsíčně téměř nezměnily</w:t>
      </w:r>
      <w:r w:rsidR="007D7054">
        <w:rPr>
          <w:rFonts w:eastAsia="Times New Roman"/>
          <w:bCs/>
          <w:szCs w:val="20"/>
        </w:rPr>
        <w:t xml:space="preserve"> a</w:t>
      </w:r>
      <w:r w:rsidR="00B272DC">
        <w:rPr>
          <w:rFonts w:eastAsia="Times New Roman"/>
          <w:bCs/>
          <w:szCs w:val="20"/>
        </w:rPr>
        <w:t xml:space="preserve"> </w:t>
      </w:r>
      <w:r w:rsidR="005724CC">
        <w:rPr>
          <w:rFonts w:eastAsia="Times New Roman"/>
          <w:bCs/>
          <w:szCs w:val="20"/>
        </w:rPr>
        <w:t xml:space="preserve">nadále </w:t>
      </w:r>
      <w:r w:rsidR="00B272DC">
        <w:rPr>
          <w:rFonts w:eastAsia="Times New Roman"/>
          <w:bCs/>
          <w:szCs w:val="20"/>
        </w:rPr>
        <w:t xml:space="preserve">zůstávají </w:t>
      </w:r>
      <w:r w:rsidR="00B82ABB">
        <w:rPr>
          <w:rFonts w:eastAsia="Times New Roman"/>
          <w:bCs/>
          <w:szCs w:val="20"/>
        </w:rPr>
        <w:t>nad svým dlouhodobým průměrem</w:t>
      </w:r>
      <w:r w:rsidR="00E76F7D" w:rsidRPr="00B272DC">
        <w:rPr>
          <w:rFonts w:eastAsia="Times New Roman"/>
          <w:bCs/>
          <w:szCs w:val="20"/>
        </w:rPr>
        <w:t>. Obavy</w:t>
      </w:r>
      <w:r w:rsidR="00B272DC">
        <w:rPr>
          <w:rFonts w:eastAsia="Times New Roman"/>
          <w:bCs/>
          <w:szCs w:val="20"/>
        </w:rPr>
        <w:t xml:space="preserve"> spotřebitelů</w:t>
      </w:r>
      <w:r w:rsidR="00E76F7D" w:rsidRPr="00B272DC">
        <w:rPr>
          <w:rFonts w:eastAsia="Times New Roman"/>
          <w:bCs/>
          <w:szCs w:val="20"/>
        </w:rPr>
        <w:t xml:space="preserve"> z </w:t>
      </w:r>
      <w:r w:rsidR="00E847C6" w:rsidRPr="00B272DC">
        <w:rPr>
          <w:rFonts w:eastAsia="Times New Roman"/>
          <w:bCs/>
          <w:szCs w:val="20"/>
        </w:rPr>
        <w:t xml:space="preserve">dalšího růstu cen </w:t>
      </w:r>
      <w:r w:rsidR="00F61EFE">
        <w:rPr>
          <w:rFonts w:eastAsia="Times New Roman"/>
          <w:bCs/>
          <w:szCs w:val="20"/>
        </w:rPr>
        <w:t>oproti dubnu poklesly</w:t>
      </w:r>
      <w:r w:rsidR="007007AF" w:rsidRPr="00B272DC">
        <w:rPr>
          <w:rFonts w:eastAsia="Times New Roman"/>
          <w:bCs/>
          <w:szCs w:val="20"/>
        </w:rPr>
        <w:t>.</w:t>
      </w:r>
      <w:r w:rsidR="0093112A" w:rsidRPr="00B272DC">
        <w:rPr>
          <w:rFonts w:eastAsia="Times New Roman"/>
          <w:bCs/>
          <w:szCs w:val="20"/>
        </w:rPr>
        <w:t xml:space="preserve"> </w:t>
      </w:r>
      <w:r w:rsidR="00033F26" w:rsidRPr="00B272DC">
        <w:rPr>
          <w:rFonts w:eastAsia="Times New Roman"/>
          <w:bCs/>
          <w:szCs w:val="20"/>
        </w:rPr>
        <w:t xml:space="preserve">V meziročním srovnání </w:t>
      </w:r>
      <w:r w:rsidR="00186521" w:rsidRPr="00B272DC">
        <w:rPr>
          <w:rFonts w:eastAsia="Times New Roman"/>
          <w:bCs/>
          <w:szCs w:val="20"/>
        </w:rPr>
        <w:t xml:space="preserve">je důvěra spotřebitelů </w:t>
      </w:r>
      <w:r w:rsidR="00853882" w:rsidRPr="00B272DC">
        <w:rPr>
          <w:rFonts w:eastAsia="Times New Roman"/>
          <w:bCs/>
          <w:szCs w:val="20"/>
        </w:rPr>
        <w:t>nižší</w:t>
      </w:r>
      <w:r w:rsidR="007F782F" w:rsidRPr="00B272DC">
        <w:rPr>
          <w:rFonts w:eastAsia="Times New Roman"/>
          <w:bCs/>
          <w:szCs w:val="20"/>
        </w:rPr>
        <w:t>.</w:t>
      </w:r>
    </w:p>
    <w:p w14:paraId="2F133779" w14:textId="77777777" w:rsidR="00F74AF5" w:rsidRPr="00F74AF5" w:rsidRDefault="00F74AF5" w:rsidP="00960555">
      <w:pPr>
        <w:rPr>
          <w:color w:val="548DD4" w:themeColor="text2" w:themeTint="99"/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380965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3419" w14:textId="77777777" w:rsidR="00380965" w:rsidRDefault="00380965" w:rsidP="00BA6370">
      <w:r>
        <w:separator/>
      </w:r>
    </w:p>
  </w:endnote>
  <w:endnote w:type="continuationSeparator" w:id="0">
    <w:p w14:paraId="6452AE87" w14:textId="77777777" w:rsidR="00380965" w:rsidRDefault="0038096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CA0E3" w14:textId="77777777" w:rsidR="00380965" w:rsidRDefault="00380965" w:rsidP="00BA6370">
      <w:r>
        <w:separator/>
      </w:r>
    </w:p>
  </w:footnote>
  <w:footnote w:type="continuationSeparator" w:id="0">
    <w:p w14:paraId="0F94FBCC" w14:textId="77777777" w:rsidR="00380965" w:rsidRDefault="0038096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716B"/>
    <w:rsid w:val="001A7DDB"/>
    <w:rsid w:val="001B001E"/>
    <w:rsid w:val="001B051D"/>
    <w:rsid w:val="001B05D3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F5F"/>
    <w:rsid w:val="00264DA5"/>
    <w:rsid w:val="00265297"/>
    <w:rsid w:val="00267AFA"/>
    <w:rsid w:val="00270748"/>
    <w:rsid w:val="002726BA"/>
    <w:rsid w:val="00273843"/>
    <w:rsid w:val="00273CEB"/>
    <w:rsid w:val="002745F6"/>
    <w:rsid w:val="00275701"/>
    <w:rsid w:val="002764F0"/>
    <w:rsid w:val="00276EFC"/>
    <w:rsid w:val="002802BF"/>
    <w:rsid w:val="00280D2B"/>
    <w:rsid w:val="00281361"/>
    <w:rsid w:val="002833B5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500A"/>
    <w:rsid w:val="003251F0"/>
    <w:rsid w:val="003252C8"/>
    <w:rsid w:val="003254B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8F6"/>
    <w:rsid w:val="004C7A53"/>
    <w:rsid w:val="004C7AB5"/>
    <w:rsid w:val="004C7FCF"/>
    <w:rsid w:val="004D05B3"/>
    <w:rsid w:val="004D08CB"/>
    <w:rsid w:val="004D098B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97E"/>
    <w:rsid w:val="005866EF"/>
    <w:rsid w:val="00586F07"/>
    <w:rsid w:val="00587C08"/>
    <w:rsid w:val="005914CF"/>
    <w:rsid w:val="005936BC"/>
    <w:rsid w:val="00594983"/>
    <w:rsid w:val="00596BCC"/>
    <w:rsid w:val="005972DD"/>
    <w:rsid w:val="005A085E"/>
    <w:rsid w:val="005A100D"/>
    <w:rsid w:val="005A2F14"/>
    <w:rsid w:val="005A571D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67E5"/>
    <w:rsid w:val="005E7E70"/>
    <w:rsid w:val="005F003E"/>
    <w:rsid w:val="005F1EF8"/>
    <w:rsid w:val="005F3C7F"/>
    <w:rsid w:val="005F5746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E3E"/>
    <w:rsid w:val="00685844"/>
    <w:rsid w:val="0068670B"/>
    <w:rsid w:val="006868C6"/>
    <w:rsid w:val="00687901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179D"/>
    <w:rsid w:val="007417E8"/>
    <w:rsid w:val="00741BA4"/>
    <w:rsid w:val="007427FF"/>
    <w:rsid w:val="00742F08"/>
    <w:rsid w:val="0074303E"/>
    <w:rsid w:val="00743D9F"/>
    <w:rsid w:val="00745D51"/>
    <w:rsid w:val="0074604D"/>
    <w:rsid w:val="00746645"/>
    <w:rsid w:val="007472BB"/>
    <w:rsid w:val="00747E23"/>
    <w:rsid w:val="007513AF"/>
    <w:rsid w:val="00751C1E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7C44"/>
    <w:rsid w:val="0076021B"/>
    <w:rsid w:val="0076059A"/>
    <w:rsid w:val="00761E67"/>
    <w:rsid w:val="0076285A"/>
    <w:rsid w:val="00762C64"/>
    <w:rsid w:val="0076321A"/>
    <w:rsid w:val="00763A69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245E"/>
    <w:rsid w:val="00782E59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30C5"/>
    <w:rsid w:val="007D3408"/>
    <w:rsid w:val="007D3C05"/>
    <w:rsid w:val="007D3E59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49A8"/>
    <w:rsid w:val="00895BCA"/>
    <w:rsid w:val="008963D8"/>
    <w:rsid w:val="008A1A39"/>
    <w:rsid w:val="008A395F"/>
    <w:rsid w:val="008A5767"/>
    <w:rsid w:val="008A5813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70FF"/>
    <w:rsid w:val="008B741B"/>
    <w:rsid w:val="008C02A7"/>
    <w:rsid w:val="008C1E1C"/>
    <w:rsid w:val="008C21E9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70ED4"/>
    <w:rsid w:val="00973006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C008B"/>
    <w:rsid w:val="009C068A"/>
    <w:rsid w:val="009C0C41"/>
    <w:rsid w:val="009C0C92"/>
    <w:rsid w:val="009C0D9B"/>
    <w:rsid w:val="009C2759"/>
    <w:rsid w:val="009C2A3A"/>
    <w:rsid w:val="009C30AD"/>
    <w:rsid w:val="009C5DEE"/>
    <w:rsid w:val="009C68E5"/>
    <w:rsid w:val="009D049F"/>
    <w:rsid w:val="009D1EE9"/>
    <w:rsid w:val="009D249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50D7"/>
    <w:rsid w:val="00A75819"/>
    <w:rsid w:val="00A75A9C"/>
    <w:rsid w:val="00A75E9C"/>
    <w:rsid w:val="00A77417"/>
    <w:rsid w:val="00A80880"/>
    <w:rsid w:val="00A81EB3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EE7"/>
    <w:rsid w:val="00B632CC"/>
    <w:rsid w:val="00B65CBD"/>
    <w:rsid w:val="00B66D06"/>
    <w:rsid w:val="00B678B9"/>
    <w:rsid w:val="00B67AB5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5DD3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7F4"/>
    <w:rsid w:val="00C53D68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611F"/>
    <w:rsid w:val="00C76341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655"/>
    <w:rsid w:val="00D5262A"/>
    <w:rsid w:val="00D52B0F"/>
    <w:rsid w:val="00D52D80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52ED"/>
    <w:rsid w:val="00D86DCE"/>
    <w:rsid w:val="00D871E4"/>
    <w:rsid w:val="00D87D7B"/>
    <w:rsid w:val="00D9034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7EC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12A2"/>
    <w:rsid w:val="00E114A2"/>
    <w:rsid w:val="00E11FA3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5CAC"/>
    <w:rsid w:val="00F17556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B81"/>
    <w:rsid w:val="00F75F2A"/>
    <w:rsid w:val="00F80FFC"/>
    <w:rsid w:val="00F81449"/>
    <w:rsid w:val="00F81F9B"/>
    <w:rsid w:val="00F856E3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C69FF-D04E-49C2-B55D-F17016BA7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6B02C-E444-41FA-B8CF-BB47C065B2B9}"/>
</file>

<file path=customXml/itemProps3.xml><?xml version="1.0" encoding="utf-8"?>
<ds:datastoreItem xmlns:ds="http://schemas.openxmlformats.org/officeDocument/2006/customXml" ds:itemID="{38A9710E-AF7B-44A6-AB5A-98EA4BC581F6}"/>
</file>

<file path=customXml/itemProps4.xml><?xml version="1.0" encoding="utf-8"?>
<ds:datastoreItem xmlns:ds="http://schemas.openxmlformats.org/officeDocument/2006/customXml" ds:itemID="{4AB269E0-1F3C-4733-BB21-3632BD0F98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3</cp:revision>
  <cp:lastPrinted>2025-05-23T06:48:00Z</cp:lastPrinted>
  <dcterms:created xsi:type="dcterms:W3CDTF">2025-05-21T08:09:00Z</dcterms:created>
  <dcterms:modified xsi:type="dcterms:W3CDTF">2025-05-23T07:45:00Z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