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AB3F9B" w14:textId="39259059" w:rsidR="00751B2A" w:rsidRPr="00CA4569" w:rsidRDefault="001D0F92" w:rsidP="00751B2A">
      <w:pPr>
        <w:pStyle w:val="datum0"/>
        <w:spacing w:line="276" w:lineRule="auto"/>
        <w:rPr>
          <w:lang w:val="en-GB"/>
        </w:rPr>
      </w:pPr>
      <w:r w:rsidRPr="00CA4569">
        <w:rPr>
          <w:lang w:val="en-GB"/>
        </w:rPr>
        <w:t>7 April</w:t>
      </w:r>
      <w:r w:rsidR="00751B2A" w:rsidRPr="00CA4569">
        <w:rPr>
          <w:lang w:val="en-GB"/>
        </w:rPr>
        <w:t> 2025</w:t>
      </w:r>
    </w:p>
    <w:p w14:paraId="41B3D308" w14:textId="5420A50F" w:rsidR="00751B2A" w:rsidRPr="00CA4569" w:rsidRDefault="00165717" w:rsidP="00751B2A">
      <w:pPr>
        <w:pStyle w:val="Podtitulek"/>
        <w:spacing w:before="280" w:after="0" w:line="360" w:lineRule="exact"/>
        <w:rPr>
          <w:color w:val="BD1B21"/>
          <w:sz w:val="32"/>
          <w:szCs w:val="32"/>
        </w:rPr>
      </w:pPr>
      <w:r w:rsidRPr="00CA4569">
        <w:rPr>
          <w:color w:val="BD1B21"/>
          <w:sz w:val="32"/>
          <w:szCs w:val="32"/>
        </w:rPr>
        <w:t>Construction output</w:t>
      </w:r>
      <w:r w:rsidR="00DD069F" w:rsidRPr="00CA4569">
        <w:rPr>
          <w:color w:val="BD1B21"/>
          <w:sz w:val="32"/>
          <w:szCs w:val="32"/>
        </w:rPr>
        <w:t xml:space="preserve"> </w:t>
      </w:r>
      <w:r w:rsidR="000639EB" w:rsidRPr="00CA4569">
        <w:rPr>
          <w:color w:val="BD1B21"/>
          <w:sz w:val="32"/>
          <w:szCs w:val="32"/>
        </w:rPr>
        <w:t>stagnated</w:t>
      </w:r>
      <w:r w:rsidR="00751B2A" w:rsidRPr="00CA4569">
        <w:rPr>
          <w:color w:val="BD1B21"/>
          <w:sz w:val="32"/>
          <w:szCs w:val="32"/>
        </w:rPr>
        <w:t xml:space="preserve"> </w:t>
      </w:r>
    </w:p>
    <w:p w14:paraId="2AB3BCD0" w14:textId="6DB10E35" w:rsidR="00751B2A" w:rsidRPr="00CA4569" w:rsidRDefault="00751B2A" w:rsidP="00751B2A">
      <w:pPr>
        <w:pStyle w:val="Podtitulek"/>
      </w:pPr>
      <w:r w:rsidRPr="00CA4569">
        <w:t xml:space="preserve">Construction – </w:t>
      </w:r>
      <w:r w:rsidR="000639EB" w:rsidRPr="00CA4569">
        <w:t>February</w:t>
      </w:r>
      <w:r w:rsidR="00B544DE" w:rsidRPr="00CA4569">
        <w:t xml:space="preserve"> 2025</w:t>
      </w:r>
    </w:p>
    <w:p w14:paraId="4C5F4869" w14:textId="66A7FCA3" w:rsidR="00751B2A" w:rsidRPr="00CA4569" w:rsidRDefault="00165717" w:rsidP="00751B2A">
      <w:pPr>
        <w:pStyle w:val="Perex"/>
        <w:spacing w:after="0"/>
        <w:rPr>
          <w:szCs w:val="19"/>
        </w:rPr>
      </w:pPr>
      <w:r w:rsidRPr="00CA4569">
        <w:rPr>
          <w:szCs w:val="19"/>
        </w:rPr>
        <w:t>The co</w:t>
      </w:r>
      <w:r w:rsidR="000639EB" w:rsidRPr="00CA4569">
        <w:rPr>
          <w:szCs w:val="19"/>
        </w:rPr>
        <w:t>nstruction output increased by 0.9</w:t>
      </w:r>
      <w:r w:rsidR="00751B2A" w:rsidRPr="00CA4569">
        <w:rPr>
          <w:szCs w:val="19"/>
        </w:rPr>
        <w:t xml:space="preserve">%, year-on-year (y-o-y), in </w:t>
      </w:r>
      <w:r w:rsidR="000639EB" w:rsidRPr="00CA4569">
        <w:t>February</w:t>
      </w:r>
      <w:r w:rsidR="00751B2A" w:rsidRPr="00CA4569">
        <w:rPr>
          <w:szCs w:val="19"/>
        </w:rPr>
        <w:t>. In the month-on-month</w:t>
      </w:r>
      <w:r w:rsidR="000639EB" w:rsidRPr="00CA4569">
        <w:rPr>
          <w:szCs w:val="19"/>
        </w:rPr>
        <w:t xml:space="preserve"> (m-o-m) comparison, it was by 0.6</w:t>
      </w:r>
      <w:r w:rsidR="00751B2A" w:rsidRPr="00CA4569">
        <w:rPr>
          <w:szCs w:val="19"/>
        </w:rPr>
        <w:t xml:space="preserve">% </w:t>
      </w:r>
      <w:r w:rsidR="00DD069F" w:rsidRPr="00CA4569">
        <w:rPr>
          <w:szCs w:val="19"/>
        </w:rPr>
        <w:t>low</w:t>
      </w:r>
      <w:r w:rsidR="00751B2A" w:rsidRPr="00CA4569">
        <w:rPr>
          <w:szCs w:val="19"/>
        </w:rPr>
        <w:t xml:space="preserve">er. The </w:t>
      </w:r>
      <w:r w:rsidR="0009615A" w:rsidRPr="00CA4569">
        <w:rPr>
          <w:szCs w:val="19"/>
        </w:rPr>
        <w:t>approximate valu</w:t>
      </w:r>
      <w:r w:rsidR="000639EB" w:rsidRPr="00CA4569">
        <w:rPr>
          <w:szCs w:val="19"/>
        </w:rPr>
        <w:t>e of building permits granted in</w:t>
      </w:r>
      <w:r w:rsidR="0009615A" w:rsidRPr="00CA4569">
        <w:rPr>
          <w:szCs w:val="19"/>
        </w:rPr>
        <w:t>creased</w:t>
      </w:r>
      <w:r w:rsidRPr="00CA4569">
        <w:rPr>
          <w:szCs w:val="19"/>
        </w:rPr>
        <w:t xml:space="preserve"> by </w:t>
      </w:r>
      <w:r w:rsidR="000639EB" w:rsidRPr="00CA4569">
        <w:rPr>
          <w:szCs w:val="19"/>
        </w:rPr>
        <w:t>30.2</w:t>
      </w:r>
      <w:r w:rsidR="00751B2A" w:rsidRPr="00CA4569">
        <w:rPr>
          <w:szCs w:val="19"/>
        </w:rPr>
        <w:t>%</w:t>
      </w:r>
      <w:r w:rsidR="0009615A" w:rsidRPr="00CA4569">
        <w:rPr>
          <w:szCs w:val="19"/>
        </w:rPr>
        <w:t>.</w:t>
      </w:r>
      <w:r w:rsidR="00751B2A" w:rsidRPr="00CA4569">
        <w:rPr>
          <w:szCs w:val="19"/>
        </w:rPr>
        <w:t xml:space="preserve"> The number of started</w:t>
      </w:r>
      <w:r w:rsidR="00774451" w:rsidRPr="00CA4569">
        <w:rPr>
          <w:szCs w:val="19"/>
        </w:rPr>
        <w:t xml:space="preserve"> dwellings increased by 40.1%, y-o-y;</w:t>
      </w:r>
      <w:r w:rsidR="00751B2A" w:rsidRPr="00CA4569">
        <w:rPr>
          <w:szCs w:val="19"/>
        </w:rPr>
        <w:t xml:space="preserve"> the number of completed dwellings </w:t>
      </w:r>
      <w:r w:rsidR="00774451" w:rsidRPr="00CA4569">
        <w:rPr>
          <w:szCs w:val="19"/>
        </w:rPr>
        <w:t>decreased by 49.5</w:t>
      </w:r>
      <w:r w:rsidR="00751B2A" w:rsidRPr="00CA4569">
        <w:rPr>
          <w:szCs w:val="19"/>
        </w:rPr>
        <w:t>%, y-o-y.</w:t>
      </w:r>
    </w:p>
    <w:p w14:paraId="24EBC4C0" w14:textId="49760D62" w:rsidR="001A403A" w:rsidRPr="00CA4569" w:rsidRDefault="001A403A" w:rsidP="00751B2A">
      <w:pPr>
        <w:rPr>
          <w:rFonts w:cs="Arial"/>
          <w:szCs w:val="20"/>
        </w:rPr>
      </w:pPr>
    </w:p>
    <w:p w14:paraId="1367177C" w14:textId="4D852108" w:rsidR="002E0255" w:rsidRPr="00CA4569" w:rsidRDefault="004709F7" w:rsidP="00751B2A">
      <w:r w:rsidRPr="00BB6946">
        <w:rPr>
          <w:rFonts w:cs="Arial"/>
          <w:szCs w:val="20"/>
        </w:rPr>
        <w:t>The c</w:t>
      </w:r>
      <w:r w:rsidR="00751B2A" w:rsidRPr="00BB6946">
        <w:rPr>
          <w:rFonts w:cs="Arial"/>
          <w:szCs w:val="20"/>
        </w:rPr>
        <w:t xml:space="preserve">onstruction </w:t>
      </w:r>
      <w:r w:rsidR="00815A8E" w:rsidRPr="00BB6946">
        <w:rPr>
          <w:rFonts w:cs="Arial"/>
          <w:szCs w:val="20"/>
        </w:rPr>
        <w:t>output</w:t>
      </w:r>
      <w:r w:rsidR="0026220B" w:rsidRPr="00BB6946">
        <w:rPr>
          <w:rFonts w:cs="Arial"/>
          <w:szCs w:val="20"/>
        </w:rPr>
        <w:t xml:space="preserve"> </w:t>
      </w:r>
      <w:r w:rsidR="00F950C7" w:rsidRPr="00BB6946">
        <w:rPr>
          <w:rFonts w:cs="Arial"/>
          <w:szCs w:val="20"/>
        </w:rPr>
        <w:t>was by 0.6</w:t>
      </w:r>
      <w:r w:rsidR="00815A8E" w:rsidRPr="00BB6946">
        <w:rPr>
          <w:rFonts w:cs="Arial"/>
          <w:szCs w:val="20"/>
        </w:rPr>
        <w:t xml:space="preserve">% lower, m-o-m, in </w:t>
      </w:r>
      <w:r w:rsidR="000639EB" w:rsidRPr="00BB6946">
        <w:rPr>
          <w:rFonts w:cs="Arial"/>
          <w:szCs w:val="20"/>
        </w:rPr>
        <w:t>February</w:t>
      </w:r>
      <w:r w:rsidR="00C87EF9" w:rsidRPr="00BB6946">
        <w:rPr>
          <w:rFonts w:cs="Arial"/>
          <w:szCs w:val="20"/>
        </w:rPr>
        <w:t>;</w:t>
      </w:r>
      <w:r w:rsidR="00F950C7" w:rsidRPr="00BB6946">
        <w:rPr>
          <w:rFonts w:cs="Arial"/>
          <w:szCs w:val="20"/>
        </w:rPr>
        <w:t xml:space="preserve"> </w:t>
      </w:r>
      <w:r w:rsidR="00C87EF9" w:rsidRPr="00BB6946">
        <w:rPr>
          <w:rFonts w:cs="Arial"/>
          <w:szCs w:val="20"/>
        </w:rPr>
        <w:t>i</w:t>
      </w:r>
      <w:r w:rsidR="001613A7" w:rsidRPr="00BB6946">
        <w:rPr>
          <w:rFonts w:cs="Arial"/>
          <w:szCs w:val="20"/>
        </w:rPr>
        <w:t>n the y-o-y c</w:t>
      </w:r>
      <w:r w:rsidR="00C87EF9" w:rsidRPr="00BB6946">
        <w:rPr>
          <w:rFonts w:cs="Arial"/>
          <w:szCs w:val="20"/>
        </w:rPr>
        <w:t>omparison, it increased by 0.9%. T</w:t>
      </w:r>
      <w:r w:rsidR="001613A7" w:rsidRPr="00BB6946">
        <w:rPr>
          <w:rFonts w:cs="Arial"/>
          <w:szCs w:val="20"/>
        </w:rPr>
        <w:t>he</w:t>
      </w:r>
      <w:r w:rsidR="002E0255" w:rsidRPr="00BB6946">
        <w:rPr>
          <w:rFonts w:cs="Arial"/>
          <w:szCs w:val="20"/>
        </w:rPr>
        <w:t xml:space="preserve"> production in the</w:t>
      </w:r>
      <w:r w:rsidR="001613A7" w:rsidRPr="00BB6946">
        <w:rPr>
          <w:rFonts w:cs="Arial"/>
          <w:szCs w:val="20"/>
        </w:rPr>
        <w:t xml:space="preserve"> building construction</w:t>
      </w:r>
      <w:r w:rsidR="00C76697" w:rsidRPr="00BB6946">
        <w:rPr>
          <w:rFonts w:cs="Arial"/>
          <w:szCs w:val="20"/>
        </w:rPr>
        <w:t xml:space="preserve"> </w:t>
      </w:r>
      <w:r w:rsidR="001613A7" w:rsidRPr="00BB6946">
        <w:rPr>
          <w:rFonts w:cs="Arial"/>
          <w:szCs w:val="20"/>
        </w:rPr>
        <w:t>increased by 0.7% and the civil engineering construction</w:t>
      </w:r>
      <w:r w:rsidR="00815A8E" w:rsidRPr="00BB6946">
        <w:rPr>
          <w:rFonts w:cs="Arial"/>
          <w:szCs w:val="20"/>
        </w:rPr>
        <w:t xml:space="preserve"> </w:t>
      </w:r>
      <w:r w:rsidR="001613A7" w:rsidRPr="00BB6946">
        <w:rPr>
          <w:rFonts w:cs="Arial"/>
          <w:szCs w:val="20"/>
        </w:rPr>
        <w:t>increased by 1.3%, y-o-y.</w:t>
      </w:r>
      <w:bookmarkStart w:id="0" w:name="_GoBack"/>
      <w:bookmarkEnd w:id="0"/>
      <w:r w:rsidR="001613A7" w:rsidRPr="00CA4569">
        <w:rPr>
          <w:rFonts w:cs="Arial"/>
          <w:szCs w:val="20"/>
        </w:rPr>
        <w:t xml:space="preserve"> </w:t>
      </w:r>
      <w:r w:rsidR="00815A8E" w:rsidRPr="00CA4569">
        <w:rPr>
          <w:rFonts w:cs="Arial"/>
          <w:i/>
          <w:szCs w:val="20"/>
        </w:rPr>
        <w:t xml:space="preserve">“In </w:t>
      </w:r>
      <w:r w:rsidR="000639EB" w:rsidRPr="00CA4569">
        <w:rPr>
          <w:rFonts w:cs="Arial"/>
          <w:i/>
          <w:szCs w:val="20"/>
        </w:rPr>
        <w:t>February</w:t>
      </w:r>
      <w:r w:rsidR="00815A8E" w:rsidRPr="00CA4569">
        <w:rPr>
          <w:rFonts w:cs="Arial"/>
          <w:i/>
          <w:szCs w:val="20"/>
        </w:rPr>
        <w:t xml:space="preserve">, </w:t>
      </w:r>
      <w:r w:rsidR="00081A10">
        <w:rPr>
          <w:rFonts w:cs="Arial"/>
          <w:i/>
          <w:szCs w:val="20"/>
        </w:rPr>
        <w:t xml:space="preserve">the </w:t>
      </w:r>
      <w:r w:rsidR="00815A8E" w:rsidRPr="00CA4569">
        <w:rPr>
          <w:rFonts w:cs="Arial"/>
          <w:i/>
          <w:szCs w:val="20"/>
        </w:rPr>
        <w:t xml:space="preserve">construction </w:t>
      </w:r>
      <w:r w:rsidR="00D70A4E" w:rsidRPr="00CA4569">
        <w:rPr>
          <w:rFonts w:cs="Arial"/>
          <w:i/>
          <w:szCs w:val="20"/>
        </w:rPr>
        <w:t>output stagnated</w:t>
      </w:r>
      <w:r w:rsidR="00C76697" w:rsidRPr="00CA4569">
        <w:rPr>
          <w:rFonts w:cs="Arial"/>
          <w:i/>
          <w:szCs w:val="20"/>
        </w:rPr>
        <w:t>, year-on-year, and the stagnation was largely influenced by a higher comparison basis,”</w:t>
      </w:r>
      <w:r w:rsidR="002E0255" w:rsidRPr="00CA4569">
        <w:rPr>
          <w:rFonts w:cs="Arial"/>
          <w:i/>
          <w:szCs w:val="20"/>
        </w:rPr>
        <w:t xml:space="preserve"> </w:t>
      </w:r>
      <w:r w:rsidR="00751B2A" w:rsidRPr="00CA4569">
        <w:t xml:space="preserve">Radek Matějka, Director of the Agricultural and Forestry, Industrial, Construction, and Energy Statistics Department of the Czech Statistical Office (CZSO), says. </w:t>
      </w:r>
    </w:p>
    <w:p w14:paraId="061F0672" w14:textId="1EB9FA28" w:rsidR="00F07E6F" w:rsidRPr="00CA4569" w:rsidRDefault="00F07E6F" w:rsidP="00751B2A">
      <w:pPr>
        <w:rPr>
          <w:bCs/>
        </w:rPr>
      </w:pPr>
    </w:p>
    <w:p w14:paraId="462CCAEC" w14:textId="7A340051" w:rsidR="00F90219" w:rsidRPr="00CA4569" w:rsidRDefault="00751B2A" w:rsidP="00F90219">
      <w:pPr>
        <w:rPr>
          <w:rFonts w:cs="Arial"/>
          <w:i/>
        </w:rPr>
      </w:pPr>
      <w:r w:rsidRPr="00CA4569">
        <w:rPr>
          <w:bCs/>
        </w:rPr>
        <w:t>The approximate value of constructions</w:t>
      </w:r>
      <w:r w:rsidR="0026220B" w:rsidRPr="00CA4569">
        <w:rPr>
          <w:bCs/>
        </w:rPr>
        <w:t xml:space="preserve"> for which a building permit was granted in </w:t>
      </w:r>
      <w:r w:rsidR="000639EB" w:rsidRPr="00CA4569">
        <w:rPr>
          <w:bCs/>
        </w:rPr>
        <w:t>February</w:t>
      </w:r>
      <w:r w:rsidRPr="00CA4569">
        <w:rPr>
          <w:bCs/>
        </w:rPr>
        <w:t xml:space="preserve"> reached</w:t>
      </w:r>
      <w:r w:rsidR="006D2420" w:rsidRPr="00CA4569">
        <w:rPr>
          <w:bCs/>
        </w:rPr>
        <w:t xml:space="preserve"> CZK </w:t>
      </w:r>
      <w:r w:rsidR="00B242A0" w:rsidRPr="00CA4569">
        <w:rPr>
          <w:bCs/>
        </w:rPr>
        <w:t>45.6 billion and increased by 30.2</w:t>
      </w:r>
      <w:r w:rsidRPr="00CA4569">
        <w:rPr>
          <w:bCs/>
        </w:rPr>
        <w:t>%, year-on-year.</w:t>
      </w:r>
      <w:r w:rsidR="006D2420" w:rsidRPr="00CA4569">
        <w:rPr>
          <w:bCs/>
        </w:rPr>
        <w:t xml:space="preserve"> </w:t>
      </w:r>
      <w:r w:rsidR="00F90219" w:rsidRPr="00CA4569">
        <w:rPr>
          <w:bCs/>
          <w:i/>
        </w:rPr>
        <w:t>“</w:t>
      </w:r>
      <w:r w:rsidR="0046601E" w:rsidRPr="00CA4569">
        <w:rPr>
          <w:bCs/>
          <w:i/>
        </w:rPr>
        <w:t xml:space="preserve">The February growth of the approximate value was thanks to granting building permits to a higher number of constructions with budgets of over one billion CZK. However, even after having modelled their deduction, we still recorded an increase in the value by a tenth,” </w:t>
      </w:r>
      <w:r w:rsidR="00F90219" w:rsidRPr="00CA4569">
        <w:rPr>
          <w:rFonts w:cs="Arial"/>
        </w:rPr>
        <w:t xml:space="preserve">Petra Cuřínová, </w:t>
      </w:r>
      <w:r w:rsidR="00F90219" w:rsidRPr="00CA4569">
        <w:t xml:space="preserve">Head of the Construction Statistics Unit of the CZSO, </w:t>
      </w:r>
      <w:r w:rsidR="00254E69" w:rsidRPr="00CA4569">
        <w:t>explains</w:t>
      </w:r>
      <w:r w:rsidR="00F90219" w:rsidRPr="00CA4569">
        <w:t xml:space="preserve">. </w:t>
      </w:r>
    </w:p>
    <w:p w14:paraId="11A86C74" w14:textId="4E933938" w:rsidR="00751B2A" w:rsidRPr="00CA4569" w:rsidRDefault="00751B2A" w:rsidP="00751B2A">
      <w:pPr>
        <w:rPr>
          <w:bCs/>
          <w:i/>
        </w:rPr>
      </w:pPr>
      <w:r w:rsidRPr="00CA4569">
        <w:rPr>
          <w:bCs/>
          <w:i/>
        </w:rPr>
        <w:t xml:space="preserve"> </w:t>
      </w:r>
    </w:p>
    <w:p w14:paraId="5B5493F6" w14:textId="3308BB74" w:rsidR="00751B2A" w:rsidRPr="00CA4569" w:rsidRDefault="00E749E0" w:rsidP="00751B2A">
      <w:pPr>
        <w:rPr>
          <w:rFonts w:cs="Arial"/>
          <w:i/>
          <w:szCs w:val="20"/>
        </w:rPr>
      </w:pPr>
      <w:r w:rsidRPr="00CA4569">
        <w:rPr>
          <w:rFonts w:cs="Arial"/>
          <w:szCs w:val="20"/>
        </w:rPr>
        <w:t xml:space="preserve">In </w:t>
      </w:r>
      <w:r w:rsidR="000639EB" w:rsidRPr="00CA4569">
        <w:rPr>
          <w:rFonts w:cs="Arial"/>
          <w:szCs w:val="20"/>
        </w:rPr>
        <w:t>February</w:t>
      </w:r>
      <w:r w:rsidR="00F07897" w:rsidRPr="00CA4569">
        <w:rPr>
          <w:rFonts w:cs="Arial"/>
          <w:szCs w:val="20"/>
        </w:rPr>
        <w:t xml:space="preserve"> 2025</w:t>
      </w:r>
      <w:r w:rsidRPr="00CA4569">
        <w:rPr>
          <w:rFonts w:cs="Arial"/>
          <w:szCs w:val="20"/>
        </w:rPr>
        <w:t xml:space="preserve">, </w:t>
      </w:r>
      <w:r w:rsidR="00302019" w:rsidRPr="00CA4569">
        <w:rPr>
          <w:rFonts w:cs="Arial"/>
          <w:szCs w:val="20"/>
        </w:rPr>
        <w:t>construction of 2 </w:t>
      </w:r>
      <w:r w:rsidR="00717541" w:rsidRPr="00CA4569">
        <w:rPr>
          <w:rFonts w:cs="Arial"/>
          <w:szCs w:val="20"/>
        </w:rPr>
        <w:t>607</w:t>
      </w:r>
      <w:r w:rsidR="00302019" w:rsidRPr="00CA4569">
        <w:rPr>
          <w:rFonts w:cs="Arial"/>
          <w:szCs w:val="20"/>
        </w:rPr>
        <w:t> dwellings</w:t>
      </w:r>
      <w:r w:rsidR="00F002EF" w:rsidRPr="00CA4569">
        <w:rPr>
          <w:rFonts w:cs="Arial"/>
          <w:szCs w:val="20"/>
        </w:rPr>
        <w:t xml:space="preserve"> started and the number</w:t>
      </w:r>
      <w:r w:rsidR="00717541" w:rsidRPr="00CA4569">
        <w:rPr>
          <w:rFonts w:cs="Arial"/>
          <w:szCs w:val="20"/>
        </w:rPr>
        <w:t xml:space="preserve"> in</w:t>
      </w:r>
      <w:r w:rsidR="00302019" w:rsidRPr="00CA4569">
        <w:rPr>
          <w:rFonts w:cs="Arial"/>
          <w:szCs w:val="20"/>
        </w:rPr>
        <w:t>crease</w:t>
      </w:r>
      <w:r w:rsidR="00F002EF" w:rsidRPr="00CA4569">
        <w:rPr>
          <w:rFonts w:cs="Arial"/>
          <w:szCs w:val="20"/>
        </w:rPr>
        <w:t>d</w:t>
      </w:r>
      <w:r w:rsidR="00302019" w:rsidRPr="00CA4569">
        <w:rPr>
          <w:rFonts w:cs="Arial"/>
          <w:szCs w:val="20"/>
        </w:rPr>
        <w:t xml:space="preserve"> by </w:t>
      </w:r>
      <w:r w:rsidR="00717541" w:rsidRPr="00CA4569">
        <w:rPr>
          <w:rFonts w:cs="Arial"/>
          <w:szCs w:val="20"/>
        </w:rPr>
        <w:t>40.1</w:t>
      </w:r>
      <w:r w:rsidR="00302019" w:rsidRPr="00CA4569">
        <w:rPr>
          <w:rFonts w:cs="Arial"/>
          <w:szCs w:val="20"/>
        </w:rPr>
        <w:t xml:space="preserve">%, y-o-y. </w:t>
      </w:r>
      <w:r w:rsidR="00751B2A" w:rsidRPr="00CA4569">
        <w:rPr>
          <w:rFonts w:cs="Arial"/>
          <w:szCs w:val="20"/>
        </w:rPr>
        <w:t xml:space="preserve">The </w:t>
      </w:r>
      <w:r w:rsidR="00B35C26" w:rsidRPr="00CA4569">
        <w:rPr>
          <w:rFonts w:cs="Arial"/>
          <w:szCs w:val="20"/>
        </w:rPr>
        <w:t xml:space="preserve">number of completed dwellings </w:t>
      </w:r>
      <w:r w:rsidR="00302019" w:rsidRPr="00CA4569">
        <w:rPr>
          <w:rFonts w:cs="Arial"/>
          <w:szCs w:val="20"/>
        </w:rPr>
        <w:t>amounted to 1 </w:t>
      </w:r>
      <w:r w:rsidR="00717541" w:rsidRPr="00CA4569">
        <w:rPr>
          <w:rFonts w:cs="Arial"/>
          <w:szCs w:val="20"/>
        </w:rPr>
        <w:t>683</w:t>
      </w:r>
      <w:r w:rsidR="00302019" w:rsidRPr="00CA4569">
        <w:rPr>
          <w:rFonts w:cs="Arial"/>
          <w:szCs w:val="20"/>
        </w:rPr>
        <w:t xml:space="preserve">, which was a decrease by </w:t>
      </w:r>
      <w:r w:rsidR="00717541" w:rsidRPr="00CA4569">
        <w:rPr>
          <w:rFonts w:cs="Arial"/>
          <w:szCs w:val="20"/>
        </w:rPr>
        <w:t>49.5</w:t>
      </w:r>
      <w:r w:rsidR="004A0A06" w:rsidRPr="00CA4569">
        <w:rPr>
          <w:rFonts w:cs="Arial"/>
          <w:szCs w:val="20"/>
        </w:rPr>
        <w:t>%, year-on-year.</w:t>
      </w:r>
    </w:p>
    <w:p w14:paraId="54D08992" w14:textId="77777777" w:rsidR="00F90219" w:rsidRPr="00CA4569" w:rsidRDefault="00F90219" w:rsidP="00751B2A">
      <w:pPr>
        <w:rPr>
          <w:rFonts w:cs="Arial"/>
          <w:i/>
          <w:szCs w:val="20"/>
        </w:rPr>
      </w:pPr>
    </w:p>
    <w:p w14:paraId="56BD32A9" w14:textId="125A8C15" w:rsidR="00751B2A" w:rsidRPr="00CA4569" w:rsidRDefault="00751B2A" w:rsidP="00751B2A">
      <w:pPr>
        <w:rPr>
          <w:bCs/>
        </w:rPr>
      </w:pPr>
      <w:r w:rsidRPr="00CA4569">
        <w:rPr>
          <w:bCs/>
        </w:rPr>
        <w:t>According to Eurostat</w:t>
      </w:r>
      <w:r w:rsidR="003A2668" w:rsidRPr="00CA4569">
        <w:rPr>
          <w:bCs/>
        </w:rPr>
        <w:t xml:space="preserve"> data</w:t>
      </w:r>
      <w:r w:rsidRPr="00CA4569">
        <w:rPr>
          <w:bCs/>
        </w:rPr>
        <w:t xml:space="preserve">, </w:t>
      </w:r>
      <w:r w:rsidR="00C74C8B" w:rsidRPr="00CA4569">
        <w:rPr>
          <w:bCs/>
        </w:rPr>
        <w:t xml:space="preserve">the </w:t>
      </w:r>
      <w:r w:rsidRPr="00CA4569">
        <w:rPr>
          <w:bCs/>
        </w:rPr>
        <w:t xml:space="preserve">construction output in the EU27 in </w:t>
      </w:r>
      <w:r w:rsidR="00B96A9A" w:rsidRPr="00CA4569">
        <w:rPr>
          <w:bCs/>
        </w:rPr>
        <w:t>January 2025 in</w:t>
      </w:r>
      <w:r w:rsidR="00196A38" w:rsidRPr="00CA4569">
        <w:rPr>
          <w:bCs/>
        </w:rPr>
        <w:t>creased by</w:t>
      </w:r>
      <w:r w:rsidR="00B96A9A" w:rsidRPr="00CA4569">
        <w:rPr>
          <w:bCs/>
        </w:rPr>
        <w:t xml:space="preserve"> 0.2</w:t>
      </w:r>
      <w:r w:rsidRPr="00CA4569">
        <w:rPr>
          <w:bCs/>
        </w:rPr>
        <w:t xml:space="preserve">%, year-on-year. According to a preliminary release calendar, Eurostat will release data for </w:t>
      </w:r>
      <w:r w:rsidR="000639EB" w:rsidRPr="00CA4569">
        <w:t>February</w:t>
      </w:r>
      <w:r w:rsidR="00B544DE" w:rsidRPr="00CA4569">
        <w:t xml:space="preserve"> 2025</w:t>
      </w:r>
      <w:r w:rsidR="00B96A9A" w:rsidRPr="00CA4569">
        <w:rPr>
          <w:bCs/>
        </w:rPr>
        <w:t xml:space="preserve"> on 23 April </w:t>
      </w:r>
      <w:r w:rsidR="00A2316C" w:rsidRPr="00CA4569">
        <w:rPr>
          <w:bCs/>
        </w:rPr>
        <w:t>2025</w:t>
      </w:r>
      <w:r w:rsidRPr="00CA4569">
        <w:rPr>
          <w:bCs/>
        </w:rPr>
        <w:t>.</w:t>
      </w:r>
    </w:p>
    <w:p w14:paraId="258C31A4" w14:textId="77777777" w:rsidR="00B544DE" w:rsidRPr="00CA4569" w:rsidRDefault="00B544DE" w:rsidP="00751B2A">
      <w:pPr>
        <w:rPr>
          <w:bCs/>
        </w:rPr>
      </w:pPr>
    </w:p>
    <w:p w14:paraId="1BACFDD1" w14:textId="77777777" w:rsidR="00C74C8B" w:rsidRPr="00CA4569" w:rsidRDefault="00EB1484" w:rsidP="004C0C56">
      <w:pPr>
        <w:pStyle w:val="Poznmky0"/>
        <w:pBdr>
          <w:top w:val="single" w:sz="4" w:space="1" w:color="auto"/>
        </w:pBdr>
        <w:spacing w:before="0" w:line="240" w:lineRule="auto"/>
        <w:rPr>
          <w:iCs/>
        </w:rPr>
      </w:pPr>
      <w:r w:rsidRPr="00CA4569">
        <w:t>Notes:</w:t>
      </w:r>
      <w:r w:rsidR="00B75F7F" w:rsidRPr="00CA4569">
        <w:rPr>
          <w:iCs/>
        </w:rPr>
        <w:t xml:space="preserve"> </w:t>
      </w:r>
    </w:p>
    <w:p w14:paraId="628A630E" w14:textId="3B1BC669" w:rsidR="00EB1484" w:rsidRPr="00CA4569" w:rsidRDefault="00EB1484" w:rsidP="00EB1484">
      <w:pPr>
        <w:pStyle w:val="Poznmky0"/>
        <w:pBdr>
          <w:top w:val="none" w:sz="0" w:space="0" w:color="auto"/>
        </w:pBdr>
        <w:spacing w:before="0" w:line="21" w:lineRule="atLeast"/>
        <w:rPr>
          <w:iCs/>
        </w:rPr>
      </w:pPr>
      <w:r w:rsidRPr="00CA4569">
        <w:rPr>
          <w:iCs/>
        </w:rPr>
        <w:t xml:space="preserve">The year-on-year development of </w:t>
      </w:r>
      <w:r w:rsidR="009B7D94" w:rsidRPr="00CA4569">
        <w:rPr>
          <w:iCs/>
        </w:rPr>
        <w:t xml:space="preserve">the </w:t>
      </w:r>
      <w:r w:rsidRPr="00CA4569">
        <w:rPr>
          <w:iCs/>
        </w:rPr>
        <w:t>construction output (production)</w:t>
      </w:r>
      <w:r w:rsidR="00264FF0">
        <w:rPr>
          <w:iCs/>
        </w:rPr>
        <w:t xml:space="preserve"> is published after having</w:t>
      </w:r>
      <w:r w:rsidRPr="00CA4569">
        <w:rPr>
          <w:iCs/>
        </w:rPr>
        <w:t xml:space="preserve"> been adjusted for the influence of the number of working days. Month-on-month rates have also been seasonally adjusted.</w:t>
      </w:r>
    </w:p>
    <w:p w14:paraId="0E09BD9E" w14:textId="56EA260F" w:rsidR="00EB1484" w:rsidRPr="00CA4569" w:rsidRDefault="00EB1484" w:rsidP="00EB1484">
      <w:pPr>
        <w:pStyle w:val="Poznmky0"/>
        <w:pBdr>
          <w:top w:val="none" w:sz="0" w:space="0" w:color="auto"/>
        </w:pBdr>
        <w:spacing w:before="0" w:line="21" w:lineRule="atLeast"/>
        <w:rPr>
          <w:rStyle w:val="Hypertextovodkaz"/>
        </w:rPr>
      </w:pPr>
      <w:r w:rsidRPr="00CA4569">
        <w:rPr>
          <w:iCs/>
        </w:rPr>
        <w:t xml:space="preserve">Methodology: </w:t>
      </w:r>
      <w:hyperlink r:id="rId10" w:history="1">
        <w:r w:rsidR="00AA3AAC" w:rsidRPr="00CA4569">
          <w:rPr>
            <w:rStyle w:val="Hypertextovodkaz"/>
          </w:rPr>
          <w:t>https://csu.gov.cz/sta_m</w:t>
        </w:r>
      </w:hyperlink>
    </w:p>
    <w:p w14:paraId="26BC175D" w14:textId="77777777" w:rsidR="00EB1484" w:rsidRPr="00CA4569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CA4569">
        <w:rPr>
          <w:i/>
          <w:color w:val="auto"/>
          <w:lang w:val="en-GB"/>
        </w:rPr>
        <w:t xml:space="preserve">Responsible head at the CZSO: </w:t>
      </w:r>
      <w:r w:rsidRPr="00CA4569">
        <w:rPr>
          <w:i/>
          <w:color w:val="auto"/>
          <w:lang w:val="en-GB"/>
        </w:rPr>
        <w:tab/>
        <w:t>Radek Matějka, Director of the Agricultural and For</w:t>
      </w:r>
      <w:r w:rsidRPr="00CA4569">
        <w:rPr>
          <w:i/>
          <w:color w:val="auto"/>
          <w:lang w:val="en-GB"/>
        </w:rPr>
        <w:lastRenderedPageBreak/>
        <w:t xml:space="preserve">estry, Industrial, Construction, and Energy Statistics Department, phone number: (+420) </w:t>
      </w:r>
      <w:r w:rsidRPr="00CA4569">
        <w:rPr>
          <w:i/>
          <w:lang w:val="en-GB"/>
        </w:rPr>
        <w:t>736 168 543</w:t>
      </w:r>
      <w:r w:rsidRPr="00CA4569">
        <w:rPr>
          <w:i/>
          <w:color w:val="auto"/>
          <w:lang w:val="en-GB"/>
        </w:rPr>
        <w:t xml:space="preserve">, </w:t>
      </w:r>
      <w:r w:rsidRPr="00CA4569">
        <w:rPr>
          <w:i/>
          <w:color w:val="auto"/>
          <w:lang w:val="en-GB"/>
        </w:rPr>
        <w:br/>
        <w:t xml:space="preserve">e-mail: </w:t>
      </w:r>
      <w:hyperlink r:id="rId11" w:history="1">
        <w:r w:rsidRPr="00CA4569">
          <w:rPr>
            <w:rStyle w:val="Hypertextovodkaz"/>
            <w:rFonts w:cs="Arial"/>
            <w:i/>
            <w:lang w:val="en-GB"/>
          </w:rPr>
          <w:t>radek.matejka@csu.gov.cz</w:t>
        </w:r>
      </w:hyperlink>
    </w:p>
    <w:p w14:paraId="7599C000" w14:textId="77777777" w:rsidR="00F31BA5" w:rsidRPr="00CA4569" w:rsidRDefault="00F31BA5" w:rsidP="00F31BA5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CA4569">
        <w:rPr>
          <w:i/>
          <w:color w:val="auto"/>
          <w:lang w:val="en-GB"/>
        </w:rPr>
        <w:t>Contact person:</w:t>
      </w:r>
      <w:r w:rsidRPr="00CA4569">
        <w:rPr>
          <w:i/>
          <w:color w:val="auto"/>
          <w:lang w:val="en-GB"/>
        </w:rPr>
        <w:tab/>
        <w:t xml:space="preserve">Petra Cuřínová, Head of the Construction Statistics Unit, phone number: (+420) </w:t>
      </w:r>
      <w:r w:rsidRPr="00CA4569">
        <w:rPr>
          <w:i/>
          <w:lang w:val="en-GB"/>
        </w:rPr>
        <w:t>737 280 494</w:t>
      </w:r>
      <w:r w:rsidRPr="00CA4569">
        <w:rPr>
          <w:i/>
          <w:color w:val="auto"/>
          <w:lang w:val="en-GB"/>
        </w:rPr>
        <w:t xml:space="preserve">, </w:t>
      </w:r>
    </w:p>
    <w:p w14:paraId="5A652211" w14:textId="309E740B" w:rsidR="00EB1484" w:rsidRPr="00CA4569" w:rsidRDefault="005E579A" w:rsidP="00F31BA5">
      <w:pPr>
        <w:pStyle w:val="Poznmky"/>
        <w:pBdr>
          <w:top w:val="none" w:sz="0" w:space="0" w:color="auto"/>
        </w:pBdr>
        <w:spacing w:before="0"/>
        <w:ind w:left="3544"/>
        <w:rPr>
          <w:i/>
          <w:color w:val="auto"/>
          <w:lang w:val="fr-FR"/>
        </w:rPr>
      </w:pPr>
      <w:r w:rsidRPr="00CA4569">
        <w:rPr>
          <w:i/>
          <w:color w:val="auto"/>
          <w:lang w:val="fr-FR"/>
        </w:rPr>
        <w:t>e-</w:t>
      </w:r>
      <w:r w:rsidR="00F31BA5" w:rsidRPr="00CA4569">
        <w:rPr>
          <w:i/>
          <w:color w:val="auto"/>
          <w:lang w:val="fr-FR"/>
        </w:rPr>
        <w:t xml:space="preserve">mail: </w:t>
      </w:r>
      <w:hyperlink r:id="rId12" w:history="1">
        <w:r w:rsidR="00F31BA5" w:rsidRPr="00CA4569">
          <w:rPr>
            <w:rStyle w:val="Hypertextovodkaz"/>
            <w:rFonts w:cs="Arial"/>
            <w:i/>
            <w:lang w:val="fr-FR"/>
          </w:rPr>
          <w:t>petra.curinova@csu.gov.cz</w:t>
        </w:r>
      </w:hyperlink>
    </w:p>
    <w:p w14:paraId="74D8D178" w14:textId="77777777" w:rsidR="00EB1484" w:rsidRPr="00CA4569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CA4569">
        <w:rPr>
          <w:i/>
          <w:color w:val="auto"/>
          <w:lang w:val="en-GB"/>
        </w:rPr>
        <w:t>Method of data acquisition:</w:t>
      </w:r>
      <w:r w:rsidRPr="00CA4569">
        <w:rPr>
          <w:i/>
          <w:color w:val="auto"/>
          <w:lang w:val="en-GB"/>
        </w:rPr>
        <w:tab/>
        <w:t>direct surveys of the CZSO (</w:t>
      </w:r>
      <w:r w:rsidRPr="00CA4569">
        <w:rPr>
          <w:color w:val="auto"/>
          <w:lang w:val="en-GB"/>
        </w:rPr>
        <w:t>Stav 1–12</w:t>
      </w:r>
      <w:r w:rsidRPr="00CA4569">
        <w:rPr>
          <w:i/>
          <w:color w:val="auto"/>
          <w:lang w:val="en-GB"/>
        </w:rPr>
        <w:t xml:space="preserve"> and </w:t>
      </w:r>
      <w:r w:rsidRPr="00CA4569">
        <w:rPr>
          <w:color w:val="auto"/>
          <w:lang w:val="en-GB"/>
        </w:rPr>
        <w:t>Stav 2–12</w:t>
      </w:r>
      <w:r w:rsidRPr="00CA4569">
        <w:rPr>
          <w:i/>
          <w:color w:val="auto"/>
          <w:lang w:val="en-GB"/>
        </w:rPr>
        <w:t>)</w:t>
      </w:r>
    </w:p>
    <w:p w14:paraId="3CE8ECFE" w14:textId="2E7ED787" w:rsidR="00EB1484" w:rsidRPr="00CA4569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CA4569">
        <w:rPr>
          <w:i/>
          <w:color w:val="auto"/>
          <w:lang w:val="en-GB"/>
        </w:rPr>
        <w:t>End of data collection:</w:t>
      </w:r>
      <w:r w:rsidRPr="00CA4569">
        <w:rPr>
          <w:i/>
          <w:color w:val="auto"/>
          <w:lang w:val="en-GB"/>
        </w:rPr>
        <w:tab/>
      </w:r>
      <w:r w:rsidR="0046601E" w:rsidRPr="00CA4569">
        <w:rPr>
          <w:i/>
          <w:color w:val="auto"/>
          <w:lang w:val="en-GB"/>
        </w:rPr>
        <w:t>1 April </w:t>
      </w:r>
      <w:r w:rsidR="004F6E08" w:rsidRPr="00CA4569">
        <w:rPr>
          <w:i/>
          <w:color w:val="auto"/>
          <w:lang w:val="en-GB"/>
        </w:rPr>
        <w:t>2025</w:t>
      </w:r>
    </w:p>
    <w:p w14:paraId="4ED8A49D" w14:textId="63E7D8EA" w:rsidR="00EB1484" w:rsidRPr="00CA4569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lang w:val="en-GB"/>
        </w:rPr>
      </w:pPr>
      <w:r w:rsidRPr="00CA4569">
        <w:rPr>
          <w:i/>
          <w:color w:val="auto"/>
          <w:lang w:val="en-GB"/>
        </w:rPr>
        <w:t>Related outputs:</w:t>
      </w:r>
      <w:r w:rsidRPr="00CA4569">
        <w:rPr>
          <w:i/>
          <w:color w:val="auto"/>
          <w:lang w:val="en-GB"/>
        </w:rPr>
        <w:tab/>
      </w:r>
      <w:hyperlink r:id="rId13" w:history="1">
        <w:r w:rsidR="0033191D" w:rsidRPr="00CA4569">
          <w:rPr>
            <w:rStyle w:val="Hypertextovodkaz"/>
            <w:i/>
            <w:lang w:val="en-GB"/>
          </w:rPr>
          <w:t>https://csu.gov.cz/produkty/sta_ts</w:t>
        </w:r>
      </w:hyperlink>
    </w:p>
    <w:p w14:paraId="682FFACB" w14:textId="17CFB0B2" w:rsidR="00EB1484" w:rsidRPr="00CA4569" w:rsidRDefault="00BB6946" w:rsidP="00EB1484">
      <w:pPr>
        <w:pStyle w:val="Poznmky"/>
        <w:pBdr>
          <w:top w:val="none" w:sz="0" w:space="0" w:color="auto"/>
        </w:pBdr>
        <w:spacing w:before="0"/>
        <w:ind w:left="3544"/>
        <w:rPr>
          <w:lang w:val="en-GB"/>
        </w:rPr>
      </w:pPr>
      <w:hyperlink r:id="rId14" w:history="1">
        <w:r w:rsidR="0033191D" w:rsidRPr="00CA4569">
          <w:rPr>
            <w:rStyle w:val="Hypertextovodkaz"/>
            <w:i/>
            <w:lang w:val="en-GB"/>
          </w:rPr>
          <w:t>https://csu.gov.cz/produkty/bvz_ts</w:t>
        </w:r>
      </w:hyperlink>
    </w:p>
    <w:p w14:paraId="13B51CD5" w14:textId="77777777" w:rsidR="00EB1484" w:rsidRPr="00CA4569" w:rsidRDefault="00EB1484" w:rsidP="00EB1484">
      <w:pPr>
        <w:pStyle w:val="Poznmky"/>
        <w:pBdr>
          <w:top w:val="none" w:sz="0" w:space="0" w:color="auto"/>
        </w:pBdr>
        <w:spacing w:before="0" w:line="242" w:lineRule="auto"/>
        <w:ind w:left="3544" w:hanging="3544"/>
        <w:jc w:val="both"/>
        <w:rPr>
          <w:i/>
          <w:lang w:val="fr-FR"/>
        </w:rPr>
      </w:pPr>
      <w:r w:rsidRPr="00CA4569">
        <w:rPr>
          <w:i/>
          <w:color w:val="auto"/>
          <w:lang w:val="en-GB"/>
        </w:rPr>
        <w:tab/>
      </w:r>
      <w:r w:rsidRPr="00CA4569">
        <w:rPr>
          <w:i/>
          <w:color w:val="auto"/>
          <w:lang w:val="fr-FR"/>
        </w:rPr>
        <w:t xml:space="preserve">international comparison in EU countries: </w:t>
      </w:r>
      <w:hyperlink r:id="rId15" w:history="1">
        <w:r w:rsidRPr="00CA4569">
          <w:rPr>
            <w:rStyle w:val="Hypertextovodkaz"/>
            <w:i/>
            <w:lang w:val="fr-FR"/>
          </w:rPr>
          <w:t>Eurostat</w:t>
        </w:r>
      </w:hyperlink>
    </w:p>
    <w:p w14:paraId="261FDE1D" w14:textId="76025A5D" w:rsidR="00EB1484" w:rsidRPr="00CA4569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CA4569">
        <w:rPr>
          <w:i/>
          <w:color w:val="auto"/>
          <w:lang w:val="en-GB"/>
        </w:rPr>
        <w:t>Next news release will be published on:</w:t>
      </w:r>
      <w:r w:rsidRPr="00CA4569">
        <w:rPr>
          <w:i/>
          <w:color w:val="auto"/>
          <w:lang w:val="en-GB"/>
        </w:rPr>
        <w:tab/>
      </w:r>
      <w:r w:rsidR="00D510D6" w:rsidRPr="00CA4569">
        <w:rPr>
          <w:i/>
          <w:color w:val="auto"/>
          <w:lang w:val="en-GB"/>
        </w:rPr>
        <w:t>7</w:t>
      </w:r>
      <w:r w:rsidR="00D47B67" w:rsidRPr="00CA4569">
        <w:rPr>
          <w:i/>
          <w:lang w:val="en-GB"/>
        </w:rPr>
        <w:t> </w:t>
      </w:r>
      <w:r w:rsidR="0046601E" w:rsidRPr="00CA4569">
        <w:rPr>
          <w:i/>
          <w:lang w:val="en-GB"/>
        </w:rPr>
        <w:t>May </w:t>
      </w:r>
      <w:r w:rsidR="00B848F7" w:rsidRPr="00CA4569">
        <w:rPr>
          <w:i/>
          <w:iCs/>
          <w:lang w:val="en-GB"/>
        </w:rPr>
        <w:t>2025</w:t>
      </w:r>
    </w:p>
    <w:p w14:paraId="2F98C3FF" w14:textId="77777777" w:rsidR="00EB1484" w:rsidRPr="00CA4569" w:rsidRDefault="00EB1484" w:rsidP="00EB1484">
      <w:pPr>
        <w:pStyle w:val="Poznmkykontaktytext"/>
        <w:rPr>
          <w:i w:val="0"/>
          <w:iCs w:val="0"/>
          <w:color w:val="auto"/>
          <w:sz w:val="20"/>
          <w:szCs w:val="20"/>
          <w:lang w:val="en-GB"/>
        </w:rPr>
      </w:pPr>
    </w:p>
    <w:p w14:paraId="36CC534B" w14:textId="77777777" w:rsidR="00A2316C" w:rsidRPr="00CA4569" w:rsidRDefault="00A2316C" w:rsidP="00A2316C">
      <w:pPr>
        <w:pStyle w:val="Poznmkykontaktytext"/>
        <w:rPr>
          <w:i w:val="0"/>
          <w:iCs w:val="0"/>
          <w:color w:val="auto"/>
          <w:sz w:val="20"/>
          <w:szCs w:val="20"/>
          <w:lang w:val="en-GB"/>
        </w:rPr>
      </w:pPr>
      <w:r w:rsidRPr="00CA4569">
        <w:rPr>
          <w:i w:val="0"/>
          <w:iCs w:val="0"/>
          <w:color w:val="auto"/>
          <w:sz w:val="20"/>
          <w:szCs w:val="20"/>
          <w:lang w:val="en-GB"/>
        </w:rPr>
        <w:t>Annexes:</w:t>
      </w:r>
    </w:p>
    <w:p w14:paraId="5122B85B" w14:textId="41CD5FB0" w:rsidR="00A2316C" w:rsidRPr="00CA4569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CA4569">
        <w:rPr>
          <w:rFonts w:eastAsia="Times New Roman" w:cs="Arial"/>
          <w:sz w:val="20"/>
          <w:szCs w:val="20"/>
          <w:lang w:val="en-GB"/>
        </w:rPr>
        <w:t xml:space="preserve">Table 1 </w:t>
      </w:r>
      <w:r w:rsidRPr="00CA4569">
        <w:rPr>
          <w:rFonts w:eastAsia="Times New Roman" w:cs="Arial"/>
          <w:sz w:val="20"/>
          <w:szCs w:val="20"/>
          <w:lang w:val="en-GB"/>
        </w:rPr>
        <w:tab/>
      </w:r>
      <w:r w:rsidR="0064209E" w:rsidRPr="00CA4569">
        <w:rPr>
          <w:rFonts w:eastAsia="Times New Roman" w:cs="Arial"/>
          <w:sz w:val="20"/>
          <w:szCs w:val="20"/>
          <w:lang w:val="en-GB"/>
        </w:rPr>
        <w:t xml:space="preserve">Selected indicators on construction </w:t>
      </w:r>
      <w:r w:rsidRPr="00CA4569">
        <w:rPr>
          <w:rFonts w:eastAsia="Times New Roman" w:cs="Arial"/>
          <w:sz w:val="20"/>
          <w:szCs w:val="20"/>
          <w:lang w:val="en-GB"/>
        </w:rPr>
        <w:t>(year-on-year indices for the month)</w:t>
      </w:r>
    </w:p>
    <w:p w14:paraId="7B9F3D9E" w14:textId="77777777" w:rsidR="00A2316C" w:rsidRPr="00CA4569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CA4569">
        <w:rPr>
          <w:rFonts w:eastAsia="Times New Roman" w:cs="Arial"/>
          <w:sz w:val="20"/>
          <w:szCs w:val="20"/>
          <w:lang w:val="en-GB"/>
        </w:rPr>
        <w:t>Chart 1</w:t>
      </w:r>
      <w:r w:rsidRPr="00CA4569">
        <w:rPr>
          <w:rFonts w:eastAsia="Times New Roman" w:cs="Arial"/>
          <w:sz w:val="20"/>
          <w:szCs w:val="20"/>
          <w:lang w:val="en-GB"/>
        </w:rPr>
        <w:tab/>
        <w:t>Construction production indices (year-on-year indices for the month)</w:t>
      </w:r>
    </w:p>
    <w:p w14:paraId="270BC658" w14:textId="77777777" w:rsidR="00A2316C" w:rsidRPr="00CA4569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CA4569">
        <w:rPr>
          <w:rFonts w:eastAsia="Times New Roman" w:cs="Arial"/>
          <w:sz w:val="20"/>
          <w:szCs w:val="20"/>
          <w:lang w:val="en-GB"/>
        </w:rPr>
        <w:t>Chart 2</w:t>
      </w:r>
      <w:r w:rsidRPr="00CA4569">
        <w:rPr>
          <w:rFonts w:eastAsia="Times New Roman" w:cs="Arial"/>
          <w:sz w:val="20"/>
          <w:szCs w:val="20"/>
          <w:lang w:val="en-GB"/>
        </w:rPr>
        <w:tab/>
        <w:t>Construction production indices (base indices)</w:t>
      </w:r>
    </w:p>
    <w:p w14:paraId="2562169D" w14:textId="4FBC2D81" w:rsidR="00EB1484" w:rsidRPr="00A2316C" w:rsidRDefault="00A2316C" w:rsidP="002D3104">
      <w:pPr>
        <w:spacing w:line="0" w:lineRule="atLeast"/>
        <w:ind w:left="851" w:hanging="851"/>
        <w:rPr>
          <w:rFonts w:eastAsia="Times New Roman" w:cs="Arial"/>
          <w:szCs w:val="20"/>
        </w:rPr>
      </w:pPr>
      <w:r w:rsidRPr="00CA4569">
        <w:rPr>
          <w:rFonts w:eastAsia="Times New Roman" w:cs="Arial"/>
          <w:szCs w:val="20"/>
        </w:rPr>
        <w:t>Chart 3</w:t>
      </w:r>
      <w:r w:rsidRPr="00CA4569">
        <w:rPr>
          <w:rFonts w:eastAsia="Times New Roman" w:cs="Arial"/>
          <w:szCs w:val="20"/>
        </w:rPr>
        <w:tab/>
        <w:t>Construction production indices, international comparison (base indices)</w:t>
      </w:r>
    </w:p>
    <w:p w14:paraId="3F0A4A7E" w14:textId="77777777" w:rsidR="00EB1484" w:rsidRDefault="00EB1484" w:rsidP="00EB1484">
      <w:pPr>
        <w:rPr>
          <w:lang w:val="cs-CZ"/>
        </w:rPr>
      </w:pPr>
    </w:p>
    <w:p w14:paraId="56019B8D" w14:textId="5C11FA8D" w:rsidR="00D209A7" w:rsidRPr="00EB1484" w:rsidRDefault="00D209A7" w:rsidP="00EB1484"/>
    <w:sectPr w:rsidR="00D209A7" w:rsidRPr="00EB1484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702332" w14:textId="77777777" w:rsidR="00233A91" w:rsidRDefault="00233A91" w:rsidP="00BA6370">
      <w:r>
        <w:separator/>
      </w:r>
    </w:p>
  </w:endnote>
  <w:endnote w:type="continuationSeparator" w:id="0">
    <w:p w14:paraId="4EFB6D29" w14:textId="77777777" w:rsidR="00233A91" w:rsidRDefault="00233A9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47FE1631" w:rsidR="003D0499" w:rsidRDefault="00BB6946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6019B95" wp14:editId="2F5416DE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9B97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6019B98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6019B99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EA4798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56019B9A" w14:textId="79AB9FB6" w:rsidR="00380178" w:rsidRPr="00EB1484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="00EA4798" w:rsidRPr="00EB1484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EB148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B6946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019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9B97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6019B98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6019B99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EA4798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56019B9A" w14:textId="79AB9FB6" w:rsidR="00380178" w:rsidRPr="00EB1484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="00EA4798" w:rsidRPr="00EB1484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EB148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B6946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6019B96" wp14:editId="7EF1DB82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166EA60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C41019" w14:textId="77777777" w:rsidR="00233A91" w:rsidRDefault="00233A91" w:rsidP="00BA6370">
      <w:r>
        <w:separator/>
      </w:r>
    </w:p>
  </w:footnote>
  <w:footnote w:type="continuationSeparator" w:id="0">
    <w:p w14:paraId="022A4C40" w14:textId="77777777" w:rsidR="00233A91" w:rsidRDefault="00233A9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67397658" w:rsidR="003D0499" w:rsidRDefault="00BB6946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58752" behindDoc="0" locked="0" layoutInCell="1" allowOverlap="1" wp14:anchorId="56019B94" wp14:editId="7D9C10B2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98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FB"/>
    <w:rsid w:val="0002335E"/>
    <w:rsid w:val="000352FC"/>
    <w:rsid w:val="00043BF4"/>
    <w:rsid w:val="00052E0D"/>
    <w:rsid w:val="00053F51"/>
    <w:rsid w:val="000560A0"/>
    <w:rsid w:val="000639EB"/>
    <w:rsid w:val="00081A10"/>
    <w:rsid w:val="00083298"/>
    <w:rsid w:val="00084288"/>
    <w:rsid w:val="000843A5"/>
    <w:rsid w:val="00091722"/>
    <w:rsid w:val="0009615A"/>
    <w:rsid w:val="000A676A"/>
    <w:rsid w:val="000B6773"/>
    <w:rsid w:val="000B6F63"/>
    <w:rsid w:val="000C67DB"/>
    <w:rsid w:val="00100149"/>
    <w:rsid w:val="00116ED1"/>
    <w:rsid w:val="00123849"/>
    <w:rsid w:val="00124A32"/>
    <w:rsid w:val="0012552D"/>
    <w:rsid w:val="0013242C"/>
    <w:rsid w:val="001404AB"/>
    <w:rsid w:val="00140B0F"/>
    <w:rsid w:val="001613A7"/>
    <w:rsid w:val="00165717"/>
    <w:rsid w:val="001665C4"/>
    <w:rsid w:val="00170832"/>
    <w:rsid w:val="0017231D"/>
    <w:rsid w:val="00176E26"/>
    <w:rsid w:val="0018061F"/>
    <w:rsid w:val="00180634"/>
    <w:rsid w:val="00180DE0"/>
    <w:rsid w:val="001810DC"/>
    <w:rsid w:val="00186CBD"/>
    <w:rsid w:val="00196A38"/>
    <w:rsid w:val="001A2908"/>
    <w:rsid w:val="001A33C0"/>
    <w:rsid w:val="001A403A"/>
    <w:rsid w:val="001B607F"/>
    <w:rsid w:val="001C71FD"/>
    <w:rsid w:val="001D0F92"/>
    <w:rsid w:val="001D1A51"/>
    <w:rsid w:val="001D369A"/>
    <w:rsid w:val="001F08B3"/>
    <w:rsid w:val="00201997"/>
    <w:rsid w:val="002070FB"/>
    <w:rsid w:val="00213729"/>
    <w:rsid w:val="0021565B"/>
    <w:rsid w:val="00233A91"/>
    <w:rsid w:val="002406FA"/>
    <w:rsid w:val="00246E09"/>
    <w:rsid w:val="00254E69"/>
    <w:rsid w:val="00255C0B"/>
    <w:rsid w:val="00256693"/>
    <w:rsid w:val="002579D1"/>
    <w:rsid w:val="00260744"/>
    <w:rsid w:val="0026220B"/>
    <w:rsid w:val="00264FF0"/>
    <w:rsid w:val="002861AE"/>
    <w:rsid w:val="00286DA3"/>
    <w:rsid w:val="00296F28"/>
    <w:rsid w:val="00297900"/>
    <w:rsid w:val="002A5EB4"/>
    <w:rsid w:val="002B2E47"/>
    <w:rsid w:val="002C6215"/>
    <w:rsid w:val="002C74CA"/>
    <w:rsid w:val="002D19D7"/>
    <w:rsid w:val="002D3104"/>
    <w:rsid w:val="002D37F5"/>
    <w:rsid w:val="002E0255"/>
    <w:rsid w:val="002E34C3"/>
    <w:rsid w:val="002F3110"/>
    <w:rsid w:val="00302019"/>
    <w:rsid w:val="0031635F"/>
    <w:rsid w:val="003227AC"/>
    <w:rsid w:val="0032398D"/>
    <w:rsid w:val="00325E7D"/>
    <w:rsid w:val="003301A3"/>
    <w:rsid w:val="0033191D"/>
    <w:rsid w:val="00340181"/>
    <w:rsid w:val="003420B8"/>
    <w:rsid w:val="00350039"/>
    <w:rsid w:val="0035405C"/>
    <w:rsid w:val="0036777B"/>
    <w:rsid w:val="00380178"/>
    <w:rsid w:val="0038282A"/>
    <w:rsid w:val="00391146"/>
    <w:rsid w:val="003919EA"/>
    <w:rsid w:val="0039244D"/>
    <w:rsid w:val="00395F76"/>
    <w:rsid w:val="00397580"/>
    <w:rsid w:val="003A0D99"/>
    <w:rsid w:val="003A2668"/>
    <w:rsid w:val="003A45C8"/>
    <w:rsid w:val="003A49E2"/>
    <w:rsid w:val="003B7F42"/>
    <w:rsid w:val="003C0F4A"/>
    <w:rsid w:val="003C2DCF"/>
    <w:rsid w:val="003C3372"/>
    <w:rsid w:val="003C65BD"/>
    <w:rsid w:val="003C7FE7"/>
    <w:rsid w:val="003D0499"/>
    <w:rsid w:val="003D3576"/>
    <w:rsid w:val="003D582A"/>
    <w:rsid w:val="003E48B7"/>
    <w:rsid w:val="003F043B"/>
    <w:rsid w:val="003F12B6"/>
    <w:rsid w:val="003F44EF"/>
    <w:rsid w:val="003F526A"/>
    <w:rsid w:val="00405244"/>
    <w:rsid w:val="00413E1B"/>
    <w:rsid w:val="00431458"/>
    <w:rsid w:val="00436D82"/>
    <w:rsid w:val="004436EE"/>
    <w:rsid w:val="004452C4"/>
    <w:rsid w:val="00452EBD"/>
    <w:rsid w:val="0045547F"/>
    <w:rsid w:val="0045609F"/>
    <w:rsid w:val="0046601E"/>
    <w:rsid w:val="004709F7"/>
    <w:rsid w:val="00471C60"/>
    <w:rsid w:val="004720C3"/>
    <w:rsid w:val="004920AD"/>
    <w:rsid w:val="004977BD"/>
    <w:rsid w:val="004A0A06"/>
    <w:rsid w:val="004A6605"/>
    <w:rsid w:val="004C0C56"/>
    <w:rsid w:val="004C1599"/>
    <w:rsid w:val="004C4B65"/>
    <w:rsid w:val="004D05B3"/>
    <w:rsid w:val="004D66D7"/>
    <w:rsid w:val="004E205A"/>
    <w:rsid w:val="004E479E"/>
    <w:rsid w:val="004E7F38"/>
    <w:rsid w:val="004F4484"/>
    <w:rsid w:val="004F6E08"/>
    <w:rsid w:val="004F78E6"/>
    <w:rsid w:val="005050CE"/>
    <w:rsid w:val="00512D99"/>
    <w:rsid w:val="005274AF"/>
    <w:rsid w:val="00531DBB"/>
    <w:rsid w:val="0054249E"/>
    <w:rsid w:val="005579D9"/>
    <w:rsid w:val="00557C8C"/>
    <w:rsid w:val="00563027"/>
    <w:rsid w:val="00563660"/>
    <w:rsid w:val="00564213"/>
    <w:rsid w:val="00567EEE"/>
    <w:rsid w:val="005752A5"/>
    <w:rsid w:val="00575C50"/>
    <w:rsid w:val="005815FD"/>
    <w:rsid w:val="005B56B4"/>
    <w:rsid w:val="005C10FF"/>
    <w:rsid w:val="005E579A"/>
    <w:rsid w:val="005F0906"/>
    <w:rsid w:val="005F79FB"/>
    <w:rsid w:val="006035DE"/>
    <w:rsid w:val="00604406"/>
    <w:rsid w:val="0060479F"/>
    <w:rsid w:val="00605F4A"/>
    <w:rsid w:val="00607822"/>
    <w:rsid w:val="006103AA"/>
    <w:rsid w:val="00611771"/>
    <w:rsid w:val="00611FDF"/>
    <w:rsid w:val="00613BBF"/>
    <w:rsid w:val="00614490"/>
    <w:rsid w:val="00622B80"/>
    <w:rsid w:val="00632E01"/>
    <w:rsid w:val="0064139A"/>
    <w:rsid w:val="0064209E"/>
    <w:rsid w:val="00650F85"/>
    <w:rsid w:val="0066467F"/>
    <w:rsid w:val="00684FE2"/>
    <w:rsid w:val="00696B16"/>
    <w:rsid w:val="00696CCF"/>
    <w:rsid w:val="006A3AC3"/>
    <w:rsid w:val="006B157F"/>
    <w:rsid w:val="006B69A1"/>
    <w:rsid w:val="006D153D"/>
    <w:rsid w:val="006D2420"/>
    <w:rsid w:val="006D5C60"/>
    <w:rsid w:val="006E024F"/>
    <w:rsid w:val="006E4E81"/>
    <w:rsid w:val="006E576C"/>
    <w:rsid w:val="006F427D"/>
    <w:rsid w:val="007002CD"/>
    <w:rsid w:val="00707F7D"/>
    <w:rsid w:val="00713119"/>
    <w:rsid w:val="007133C2"/>
    <w:rsid w:val="00713FB4"/>
    <w:rsid w:val="00717541"/>
    <w:rsid w:val="00717EC5"/>
    <w:rsid w:val="00737CE6"/>
    <w:rsid w:val="007439D5"/>
    <w:rsid w:val="0075004A"/>
    <w:rsid w:val="00750106"/>
    <w:rsid w:val="007510D9"/>
    <w:rsid w:val="00751B2A"/>
    <w:rsid w:val="00755D8B"/>
    <w:rsid w:val="00756F3F"/>
    <w:rsid w:val="00760903"/>
    <w:rsid w:val="00763787"/>
    <w:rsid w:val="007646A0"/>
    <w:rsid w:val="007721C8"/>
    <w:rsid w:val="00774451"/>
    <w:rsid w:val="00784615"/>
    <w:rsid w:val="00793D5F"/>
    <w:rsid w:val="007A0CA5"/>
    <w:rsid w:val="007A219D"/>
    <w:rsid w:val="007A4C33"/>
    <w:rsid w:val="007A57F2"/>
    <w:rsid w:val="007B1333"/>
    <w:rsid w:val="007B5862"/>
    <w:rsid w:val="007C1CFB"/>
    <w:rsid w:val="007F4AEB"/>
    <w:rsid w:val="007F75B2"/>
    <w:rsid w:val="00800DEE"/>
    <w:rsid w:val="008043C4"/>
    <w:rsid w:val="00815A8E"/>
    <w:rsid w:val="008167BB"/>
    <w:rsid w:val="00831B1B"/>
    <w:rsid w:val="00840130"/>
    <w:rsid w:val="00855FB3"/>
    <w:rsid w:val="00861D0E"/>
    <w:rsid w:val="00867569"/>
    <w:rsid w:val="00885C0D"/>
    <w:rsid w:val="00891354"/>
    <w:rsid w:val="00897308"/>
    <w:rsid w:val="008A7267"/>
    <w:rsid w:val="008A750A"/>
    <w:rsid w:val="008B3970"/>
    <w:rsid w:val="008B641E"/>
    <w:rsid w:val="008C384C"/>
    <w:rsid w:val="008C6AC3"/>
    <w:rsid w:val="008D0F11"/>
    <w:rsid w:val="008D11A0"/>
    <w:rsid w:val="008D2074"/>
    <w:rsid w:val="008D6E6F"/>
    <w:rsid w:val="008E103A"/>
    <w:rsid w:val="008F73B4"/>
    <w:rsid w:val="009032B4"/>
    <w:rsid w:val="009035E8"/>
    <w:rsid w:val="00912FF6"/>
    <w:rsid w:val="00920D34"/>
    <w:rsid w:val="00947D67"/>
    <w:rsid w:val="00953416"/>
    <w:rsid w:val="00957983"/>
    <w:rsid w:val="00971374"/>
    <w:rsid w:val="009715B2"/>
    <w:rsid w:val="00994314"/>
    <w:rsid w:val="00994D35"/>
    <w:rsid w:val="00996878"/>
    <w:rsid w:val="009B55B1"/>
    <w:rsid w:val="009B7D94"/>
    <w:rsid w:val="009C4D55"/>
    <w:rsid w:val="009E39C5"/>
    <w:rsid w:val="009F191D"/>
    <w:rsid w:val="009F3B26"/>
    <w:rsid w:val="009F7CCE"/>
    <w:rsid w:val="00A07BA7"/>
    <w:rsid w:val="00A17409"/>
    <w:rsid w:val="00A2316C"/>
    <w:rsid w:val="00A25974"/>
    <w:rsid w:val="00A4343D"/>
    <w:rsid w:val="00A444D0"/>
    <w:rsid w:val="00A45D22"/>
    <w:rsid w:val="00A502F1"/>
    <w:rsid w:val="00A550B1"/>
    <w:rsid w:val="00A701EF"/>
    <w:rsid w:val="00A70A83"/>
    <w:rsid w:val="00A750C7"/>
    <w:rsid w:val="00A81EB3"/>
    <w:rsid w:val="00A85B8B"/>
    <w:rsid w:val="00A941F4"/>
    <w:rsid w:val="00AA27B1"/>
    <w:rsid w:val="00AA3AAC"/>
    <w:rsid w:val="00AA631B"/>
    <w:rsid w:val="00AB0A4F"/>
    <w:rsid w:val="00AB4610"/>
    <w:rsid w:val="00AB6196"/>
    <w:rsid w:val="00AB6C40"/>
    <w:rsid w:val="00AC3140"/>
    <w:rsid w:val="00AF4346"/>
    <w:rsid w:val="00B00C1D"/>
    <w:rsid w:val="00B01C3B"/>
    <w:rsid w:val="00B242A0"/>
    <w:rsid w:val="00B35C26"/>
    <w:rsid w:val="00B544DE"/>
    <w:rsid w:val="00B632CC"/>
    <w:rsid w:val="00B644EA"/>
    <w:rsid w:val="00B7212A"/>
    <w:rsid w:val="00B73BB6"/>
    <w:rsid w:val="00B75F7F"/>
    <w:rsid w:val="00B82FA0"/>
    <w:rsid w:val="00B848F7"/>
    <w:rsid w:val="00B8540A"/>
    <w:rsid w:val="00B96A9A"/>
    <w:rsid w:val="00BA12F1"/>
    <w:rsid w:val="00BA439F"/>
    <w:rsid w:val="00BA5AB3"/>
    <w:rsid w:val="00BA6370"/>
    <w:rsid w:val="00BB6946"/>
    <w:rsid w:val="00BD6281"/>
    <w:rsid w:val="00BE15DD"/>
    <w:rsid w:val="00BE397F"/>
    <w:rsid w:val="00BF524B"/>
    <w:rsid w:val="00C03AD9"/>
    <w:rsid w:val="00C05BF9"/>
    <w:rsid w:val="00C17CDE"/>
    <w:rsid w:val="00C245A8"/>
    <w:rsid w:val="00C269D4"/>
    <w:rsid w:val="00C33E29"/>
    <w:rsid w:val="00C4160D"/>
    <w:rsid w:val="00C46A8F"/>
    <w:rsid w:val="00C51ADE"/>
    <w:rsid w:val="00C646C6"/>
    <w:rsid w:val="00C6492D"/>
    <w:rsid w:val="00C74C8B"/>
    <w:rsid w:val="00C76697"/>
    <w:rsid w:val="00C8406E"/>
    <w:rsid w:val="00C87EF9"/>
    <w:rsid w:val="00CA4569"/>
    <w:rsid w:val="00CB2709"/>
    <w:rsid w:val="00CB6159"/>
    <w:rsid w:val="00CB6F89"/>
    <w:rsid w:val="00CB743F"/>
    <w:rsid w:val="00CB76A0"/>
    <w:rsid w:val="00CD19C7"/>
    <w:rsid w:val="00CD452F"/>
    <w:rsid w:val="00CD67A1"/>
    <w:rsid w:val="00CE228C"/>
    <w:rsid w:val="00CE71D9"/>
    <w:rsid w:val="00CF50B6"/>
    <w:rsid w:val="00CF545B"/>
    <w:rsid w:val="00D05FB2"/>
    <w:rsid w:val="00D14033"/>
    <w:rsid w:val="00D209A7"/>
    <w:rsid w:val="00D27D69"/>
    <w:rsid w:val="00D448C2"/>
    <w:rsid w:val="00D47B67"/>
    <w:rsid w:val="00D510D6"/>
    <w:rsid w:val="00D56868"/>
    <w:rsid w:val="00D63EAC"/>
    <w:rsid w:val="00D659E4"/>
    <w:rsid w:val="00D661D6"/>
    <w:rsid w:val="00D666C3"/>
    <w:rsid w:val="00D70A4E"/>
    <w:rsid w:val="00D7547E"/>
    <w:rsid w:val="00D811AB"/>
    <w:rsid w:val="00D91892"/>
    <w:rsid w:val="00D95BCE"/>
    <w:rsid w:val="00DA1AB4"/>
    <w:rsid w:val="00DA20DA"/>
    <w:rsid w:val="00DA2E48"/>
    <w:rsid w:val="00DA5140"/>
    <w:rsid w:val="00DC0680"/>
    <w:rsid w:val="00DD069F"/>
    <w:rsid w:val="00DD5E0E"/>
    <w:rsid w:val="00DF2376"/>
    <w:rsid w:val="00DF47FE"/>
    <w:rsid w:val="00E0156A"/>
    <w:rsid w:val="00E04341"/>
    <w:rsid w:val="00E146E4"/>
    <w:rsid w:val="00E1630A"/>
    <w:rsid w:val="00E25A5C"/>
    <w:rsid w:val="00E26704"/>
    <w:rsid w:val="00E31980"/>
    <w:rsid w:val="00E36E32"/>
    <w:rsid w:val="00E538DC"/>
    <w:rsid w:val="00E540C8"/>
    <w:rsid w:val="00E6423C"/>
    <w:rsid w:val="00E71483"/>
    <w:rsid w:val="00E749E0"/>
    <w:rsid w:val="00E83B7D"/>
    <w:rsid w:val="00E93830"/>
    <w:rsid w:val="00E93E0E"/>
    <w:rsid w:val="00E95D85"/>
    <w:rsid w:val="00E97D55"/>
    <w:rsid w:val="00EA109D"/>
    <w:rsid w:val="00EA4798"/>
    <w:rsid w:val="00EA65B2"/>
    <w:rsid w:val="00EB1484"/>
    <w:rsid w:val="00EB1A25"/>
    <w:rsid w:val="00EB1ED3"/>
    <w:rsid w:val="00EB2AB8"/>
    <w:rsid w:val="00EE34A0"/>
    <w:rsid w:val="00EE6E76"/>
    <w:rsid w:val="00EE70B7"/>
    <w:rsid w:val="00F002EF"/>
    <w:rsid w:val="00F01D07"/>
    <w:rsid w:val="00F02D8B"/>
    <w:rsid w:val="00F04B8D"/>
    <w:rsid w:val="00F06813"/>
    <w:rsid w:val="00F07897"/>
    <w:rsid w:val="00F07E6F"/>
    <w:rsid w:val="00F12A92"/>
    <w:rsid w:val="00F14927"/>
    <w:rsid w:val="00F157D1"/>
    <w:rsid w:val="00F314B7"/>
    <w:rsid w:val="00F31BA5"/>
    <w:rsid w:val="00F40071"/>
    <w:rsid w:val="00F408B1"/>
    <w:rsid w:val="00F43126"/>
    <w:rsid w:val="00F46193"/>
    <w:rsid w:val="00F65917"/>
    <w:rsid w:val="00F83C49"/>
    <w:rsid w:val="00F90219"/>
    <w:rsid w:val="00F950C7"/>
    <w:rsid w:val="00F95614"/>
    <w:rsid w:val="00F97221"/>
    <w:rsid w:val="00FA21EA"/>
    <w:rsid w:val="00FA63B0"/>
    <w:rsid w:val="00FB687C"/>
    <w:rsid w:val="00FC5BB1"/>
    <w:rsid w:val="00FC7789"/>
    <w:rsid w:val="00FE114D"/>
    <w:rsid w:val="00FF1C2E"/>
    <w:rsid w:val="00FF4E23"/>
    <w:rsid w:val="00FF698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A8DD69D6-1382-4011-A7B8-539A9A229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3">
    <w:name w:val="Body Text 3"/>
    <w:basedOn w:val="Normln"/>
    <w:link w:val="Zkladntext3Char"/>
    <w:semiHidden/>
    <w:unhideWhenUsed/>
    <w:rsid w:val="00EB1484"/>
    <w:pPr>
      <w:spacing w:after="120"/>
    </w:pPr>
    <w:rPr>
      <w:sz w:val="16"/>
      <w:szCs w:val="16"/>
      <w:lang w:val="cs-CZ"/>
    </w:rPr>
  </w:style>
  <w:style w:type="character" w:customStyle="1" w:styleId="Zkladntext3Char">
    <w:name w:val="Základní text 3 Char"/>
    <w:link w:val="Zkladntext3"/>
    <w:semiHidden/>
    <w:rsid w:val="00EB1484"/>
    <w:rPr>
      <w:rFonts w:ascii="Arial" w:hAnsi="Arial"/>
      <w:sz w:val="16"/>
      <w:szCs w:val="16"/>
      <w:lang w:eastAsia="en-US"/>
    </w:rPr>
  </w:style>
  <w:style w:type="paragraph" w:customStyle="1" w:styleId="datum0">
    <w:name w:val="datum"/>
    <w:next w:val="Normln"/>
    <w:rsid w:val="00EB1484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EB1484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  <w:lang w:val="cs-CZ"/>
    </w:rPr>
  </w:style>
  <w:style w:type="character" w:styleId="Sledovanodkaz">
    <w:name w:val="FollowedHyperlink"/>
    <w:uiPriority w:val="99"/>
    <w:semiHidden/>
    <w:unhideWhenUsed/>
    <w:rsid w:val="00AA3AAC"/>
    <w:rPr>
      <w:color w:val="800080"/>
      <w:u w:val="single"/>
    </w:rPr>
  </w:style>
  <w:style w:type="character" w:customStyle="1" w:styleId="odkaz-style-wrapper">
    <w:name w:val="odkaz-style-wrapper"/>
    <w:rsid w:val="00A2316C"/>
  </w:style>
  <w:style w:type="character" w:styleId="Odkaznakoment">
    <w:name w:val="annotation reference"/>
    <w:uiPriority w:val="99"/>
    <w:semiHidden/>
    <w:unhideWhenUsed/>
    <w:rsid w:val="00C87E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87EF9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C87EF9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87EF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C87EF9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sta_t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etra.curinova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adek.matejka@csu.gov.cz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short-term-business-statistics/publications" TargetMode="External"/><Relationship Id="rId10" Type="http://schemas.openxmlformats.org/officeDocument/2006/relationships/hyperlink" Target="https://csu.gov.cz/sta_m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csu.gov.cz/produkty/bvz_ts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455BE-AA95-47C6-9AFC-3BEE12CB44EF}"/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purl.org/dc/terms/"/>
    <ds:schemaRef ds:uri="http://purl.org/dc/elements/1.1/"/>
    <ds:schemaRef ds:uri="http://schemas.microsoft.com/office/2006/metadata/properties"/>
    <ds:schemaRef ds:uri="http://purl.org/dc/dcmitype/"/>
    <ds:schemaRef ds:uri="http://schemas.microsoft.com/office/2006/documentManagement/types"/>
    <ds:schemaRef ds:uri="406a38fe-c53c-4047-b0f8-c641386931ae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8675fb2b-b414-4bad-b4c4-d9349268b5a1"/>
  </ds:schemaRefs>
</ds:datastoreItem>
</file>

<file path=customXml/itemProps4.xml><?xml version="1.0" encoding="utf-8"?>
<ds:datastoreItem xmlns:ds="http://schemas.openxmlformats.org/officeDocument/2006/customXml" ds:itemID="{02E1EF62-923D-435F-A08A-1169F1330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498</Words>
  <Characters>2943</Characters>
  <Application>Microsoft Office Word</Application>
  <DocSecurity>4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3435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Cuřínová Petra</cp:lastModifiedBy>
  <cp:revision>2</cp:revision>
  <dcterms:created xsi:type="dcterms:W3CDTF">2025-04-04T07:56:00Z</dcterms:created>
  <dcterms:modified xsi:type="dcterms:W3CDTF">2025-04-04T07:56:00Z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