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rawings/drawing1.xml" ContentType="application/vnd.openxmlformats-officedocument.drawingml.chartshap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049" w:rsidRDefault="00EE44DC" w:rsidP="00A41049">
      <w:pPr>
        <w:pStyle w:val="Datum"/>
      </w:pPr>
      <w:r>
        <w:t>30</w:t>
      </w:r>
      <w:r w:rsidR="00A41049">
        <w:t xml:space="preserve">. </w:t>
      </w:r>
      <w:r>
        <w:t>7</w:t>
      </w:r>
      <w:r w:rsidR="00A41049">
        <w:t>. 2025</w:t>
      </w:r>
    </w:p>
    <w:p w:rsidR="00A41049" w:rsidRDefault="00EE44DC" w:rsidP="00A41049">
      <w:pPr>
        <w:pStyle w:val="Nzev"/>
      </w:pPr>
      <w:r>
        <w:t>HDP vzrostl meziročně o 2,4</w:t>
      </w:r>
      <w:r w:rsidR="00A41049">
        <w:t xml:space="preserve"> %</w:t>
      </w:r>
    </w:p>
    <w:p w:rsidR="00A41049" w:rsidRPr="002E496D" w:rsidRDefault="00A41049" w:rsidP="00A41049">
      <w:pPr>
        <w:pStyle w:val="Podtitulek"/>
      </w:pPr>
      <w:r w:rsidRPr="002E496D">
        <w:t xml:space="preserve">Předběžný odhad HDP – </w:t>
      </w:r>
      <w:r w:rsidR="00EE44DC">
        <w:t>2</w:t>
      </w:r>
      <w:r w:rsidRPr="002E496D">
        <w:t>. čtvrtletí 20</w:t>
      </w:r>
      <w:r>
        <w:t>25</w:t>
      </w:r>
    </w:p>
    <w:p w:rsidR="00A41049" w:rsidRPr="002E496D" w:rsidRDefault="00A41049" w:rsidP="00A41049">
      <w:pPr>
        <w:pStyle w:val="Perex"/>
      </w:pPr>
      <w:r w:rsidRPr="00915CD9">
        <w:t xml:space="preserve">Podle předběžného odhadu </w:t>
      </w:r>
      <w:r>
        <w:t>vzrostl</w:t>
      </w:r>
      <w:r w:rsidRPr="00915CD9">
        <w:t xml:space="preserve"> hrubý domácí produkt v</w:t>
      </w:r>
      <w:r w:rsidR="00EE44DC">
        <w:t>e 2. čtvrtletí mezičtvrtletně o 0,2</w:t>
      </w:r>
      <w:r>
        <w:t xml:space="preserve"> % a </w:t>
      </w:r>
      <w:r w:rsidRPr="00915CD9">
        <w:t xml:space="preserve">meziročně o </w:t>
      </w:r>
      <w:r w:rsidR="00D64269">
        <w:t>2,</w:t>
      </w:r>
      <w:r w:rsidR="00EE44DC">
        <w:t>4</w:t>
      </w:r>
      <w:r w:rsidRPr="00915CD9">
        <w:t> %</w:t>
      </w:r>
      <w:r>
        <w:t>.</w:t>
      </w:r>
    </w:p>
    <w:p w:rsidR="00A41049" w:rsidRDefault="00A41049" w:rsidP="00A41049">
      <w:pPr>
        <w:rPr>
          <w:rFonts w:cs="Arial"/>
          <w:bCs/>
          <w:szCs w:val="20"/>
        </w:rPr>
      </w:pPr>
      <w:r w:rsidRPr="00FB00A2">
        <w:t xml:space="preserve">Hrubý domácí produkt </w:t>
      </w:r>
      <w:r>
        <w:t>(HDP) očištěný o cenové vlivy a </w:t>
      </w:r>
      <w:r w:rsidRPr="00FB00A2">
        <w:t>sezónnost</w:t>
      </w:r>
      <w:r w:rsidRPr="00FB00A2">
        <w:rPr>
          <w:rStyle w:val="Znakapoznpodarou"/>
        </w:rPr>
        <w:footnoteReference w:id="1"/>
      </w:r>
      <w:r w:rsidRPr="00FB00A2">
        <w:rPr>
          <w:rFonts w:cs="Arial"/>
          <w:bCs/>
          <w:szCs w:val="20"/>
        </w:rPr>
        <w:t xml:space="preserve"> byl </w:t>
      </w:r>
      <w:r w:rsidRPr="00D6142E">
        <w:rPr>
          <w:rFonts w:cs="Arial"/>
          <w:bCs/>
          <w:szCs w:val="20"/>
        </w:rPr>
        <w:t>v</w:t>
      </w:r>
      <w:r w:rsidR="00EE44DC">
        <w:rPr>
          <w:rFonts w:cs="Arial"/>
          <w:bCs/>
          <w:szCs w:val="20"/>
        </w:rPr>
        <w:t>e</w:t>
      </w:r>
      <w:r w:rsidRPr="00D6142E">
        <w:rPr>
          <w:rFonts w:cs="Arial"/>
          <w:bCs/>
          <w:szCs w:val="20"/>
        </w:rPr>
        <w:t> </w:t>
      </w:r>
      <w:r w:rsidR="00EE44DC">
        <w:rPr>
          <w:rFonts w:cs="Arial"/>
          <w:bCs/>
          <w:szCs w:val="20"/>
        </w:rPr>
        <w:t>2</w:t>
      </w:r>
      <w:r w:rsidRPr="00D6142E">
        <w:rPr>
          <w:rFonts w:cs="Arial"/>
          <w:bCs/>
          <w:szCs w:val="20"/>
        </w:rPr>
        <w:t>.</w:t>
      </w:r>
      <w:r>
        <w:rPr>
          <w:rFonts w:cs="Arial"/>
          <w:bCs/>
          <w:szCs w:val="20"/>
        </w:rPr>
        <w:t> </w:t>
      </w:r>
      <w:r w:rsidRPr="00D6142E">
        <w:rPr>
          <w:rFonts w:cs="Arial"/>
          <w:bCs/>
          <w:szCs w:val="20"/>
        </w:rPr>
        <w:t xml:space="preserve">čtvrtletí </w:t>
      </w:r>
      <w:r w:rsidRPr="00FB00A2">
        <w:rPr>
          <w:rFonts w:cs="Arial"/>
          <w:bCs/>
          <w:szCs w:val="20"/>
        </w:rPr>
        <w:t>podle předběžného odhadu o </w:t>
      </w:r>
      <w:r>
        <w:rPr>
          <w:rFonts w:cs="Arial"/>
          <w:bCs/>
          <w:szCs w:val="20"/>
        </w:rPr>
        <w:t>0</w:t>
      </w:r>
      <w:r w:rsidRPr="00FB00A2">
        <w:rPr>
          <w:rFonts w:cs="Arial"/>
          <w:bCs/>
          <w:szCs w:val="20"/>
        </w:rPr>
        <w:t>,</w:t>
      </w:r>
      <w:r w:rsidR="00EE44DC">
        <w:rPr>
          <w:rFonts w:cs="Arial"/>
          <w:bCs/>
          <w:szCs w:val="20"/>
        </w:rPr>
        <w:t>2</w:t>
      </w:r>
      <w:r w:rsidRPr="00FB00A2">
        <w:rPr>
          <w:rFonts w:cs="Arial"/>
          <w:bCs/>
          <w:szCs w:val="20"/>
        </w:rPr>
        <w:t xml:space="preserve"> % </w:t>
      </w:r>
      <w:r>
        <w:rPr>
          <w:rFonts w:cs="Arial"/>
          <w:bCs/>
          <w:szCs w:val="20"/>
        </w:rPr>
        <w:t>vyšší</w:t>
      </w:r>
      <w:r w:rsidRPr="00FB00A2">
        <w:rPr>
          <w:rFonts w:cs="Arial"/>
          <w:bCs/>
          <w:szCs w:val="20"/>
        </w:rPr>
        <w:t xml:space="preserve"> než </w:t>
      </w:r>
      <w:r>
        <w:rPr>
          <w:rFonts w:cs="Arial"/>
          <w:bCs/>
          <w:szCs w:val="20"/>
        </w:rPr>
        <w:t xml:space="preserve">v předchozím čtvrtletí a </w:t>
      </w:r>
      <w:r w:rsidRPr="00FB00A2">
        <w:rPr>
          <w:rFonts w:cs="Arial"/>
          <w:bCs/>
          <w:szCs w:val="20"/>
        </w:rPr>
        <w:t>v</w:t>
      </w:r>
      <w:r>
        <w:rPr>
          <w:rFonts w:cs="Arial"/>
          <w:bCs/>
          <w:szCs w:val="20"/>
        </w:rPr>
        <w:t> porovnání se stejným čtvrtletím předchozího roku vzrostl</w:t>
      </w:r>
      <w:r w:rsidRPr="00FB00A2">
        <w:rPr>
          <w:rFonts w:cs="Arial"/>
          <w:bCs/>
          <w:szCs w:val="20"/>
        </w:rPr>
        <w:t xml:space="preserve"> o </w:t>
      </w:r>
      <w:r>
        <w:rPr>
          <w:rFonts w:cs="Arial"/>
          <w:bCs/>
          <w:szCs w:val="20"/>
        </w:rPr>
        <w:t>2</w:t>
      </w:r>
      <w:r w:rsidRPr="00FB00A2">
        <w:rPr>
          <w:rFonts w:cs="Arial"/>
          <w:bCs/>
          <w:szCs w:val="20"/>
        </w:rPr>
        <w:t>,</w:t>
      </w:r>
      <w:r w:rsidR="00EE44DC">
        <w:rPr>
          <w:rFonts w:cs="Arial"/>
          <w:bCs/>
          <w:szCs w:val="20"/>
        </w:rPr>
        <w:t>4</w:t>
      </w:r>
      <w:r w:rsidRPr="00FB00A2">
        <w:rPr>
          <w:rFonts w:cs="Arial"/>
          <w:bCs/>
          <w:szCs w:val="20"/>
        </w:rPr>
        <w:t> %.</w:t>
      </w:r>
    </w:p>
    <w:p w:rsidR="00925BF7" w:rsidRDefault="00925BF7" w:rsidP="00A41049">
      <w:pPr>
        <w:rPr>
          <w:rFonts w:cs="Arial"/>
          <w:bCs/>
          <w:szCs w:val="20"/>
        </w:rPr>
      </w:pPr>
    </w:p>
    <w:p w:rsidR="00A41049" w:rsidRDefault="008E7149" w:rsidP="00A41049">
      <w:pPr>
        <w:rPr>
          <w:rFonts w:cs="Arial"/>
          <w:bCs/>
          <w:szCs w:val="20"/>
        </w:rPr>
      </w:pPr>
      <w:r>
        <w:rPr>
          <w:noProof/>
          <w:lang w:eastAsia="cs-CZ"/>
        </w:rPr>
        <w:drawing>
          <wp:inline distT="0" distB="0" distL="0" distR="0" wp14:anchorId="7280A204" wp14:editId="047EAF2D">
            <wp:extent cx="5400040" cy="2747010"/>
            <wp:effectExtent l="0" t="0" r="10160" b="15240"/>
            <wp:docPr id="12" name="Graf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41049" w:rsidRDefault="00A41049" w:rsidP="00A41049">
      <w:pPr>
        <w:rPr>
          <w:rFonts w:cs="Arial"/>
          <w:bCs/>
          <w:szCs w:val="20"/>
        </w:rPr>
      </w:pPr>
    </w:p>
    <w:p w:rsidR="00A41049" w:rsidRDefault="00A41049" w:rsidP="00A41049">
      <w:pPr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Mezičtvrtletní růst HDP </w:t>
      </w:r>
      <w:r w:rsidR="00EE44DC">
        <w:rPr>
          <w:rFonts w:cs="Arial"/>
          <w:bCs/>
          <w:szCs w:val="20"/>
        </w:rPr>
        <w:t xml:space="preserve">podpořily především </w:t>
      </w:r>
      <w:r>
        <w:rPr>
          <w:rFonts w:cs="Arial"/>
          <w:bCs/>
          <w:szCs w:val="20"/>
        </w:rPr>
        <w:t>výdaj</w:t>
      </w:r>
      <w:r w:rsidR="00EE44DC">
        <w:rPr>
          <w:rFonts w:cs="Arial"/>
          <w:bCs/>
          <w:szCs w:val="20"/>
        </w:rPr>
        <w:t xml:space="preserve">e </w:t>
      </w:r>
      <w:r w:rsidR="00E27B80">
        <w:rPr>
          <w:rFonts w:cs="Arial"/>
          <w:bCs/>
          <w:szCs w:val="20"/>
        </w:rPr>
        <w:t>na konečnou spotřebu domácností, které zaznamenaly růst již čtvrté čtvrtletí v řadě.</w:t>
      </w:r>
      <w:r w:rsidR="00493A89">
        <w:rPr>
          <w:rFonts w:cs="Arial"/>
          <w:bCs/>
          <w:szCs w:val="20"/>
        </w:rPr>
        <w:t xml:space="preserve"> </w:t>
      </w:r>
      <w:r w:rsidR="00EE44DC">
        <w:rPr>
          <w:rFonts w:cs="Arial"/>
          <w:bCs/>
          <w:szCs w:val="20"/>
        </w:rPr>
        <w:t>Naopak negativní vliv mělo saldo</w:t>
      </w:r>
      <w:r w:rsidR="00D64269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>zahraniční</w:t>
      </w:r>
      <w:r w:rsidR="00EE44DC">
        <w:rPr>
          <w:rFonts w:cs="Arial"/>
          <w:bCs/>
          <w:szCs w:val="20"/>
        </w:rPr>
        <w:t>ho</w:t>
      </w:r>
      <w:r>
        <w:rPr>
          <w:rFonts w:cs="Arial"/>
          <w:bCs/>
          <w:szCs w:val="20"/>
        </w:rPr>
        <w:t xml:space="preserve"> </w:t>
      </w:r>
      <w:r w:rsidR="00EE44DC">
        <w:rPr>
          <w:rFonts w:cs="Arial"/>
          <w:bCs/>
          <w:szCs w:val="20"/>
        </w:rPr>
        <w:t>obchodu</w:t>
      </w:r>
      <w:r>
        <w:rPr>
          <w:rFonts w:cs="Arial"/>
          <w:bCs/>
          <w:szCs w:val="20"/>
        </w:rPr>
        <w:t>.</w:t>
      </w:r>
    </w:p>
    <w:p w:rsidR="004604DD" w:rsidRDefault="004604DD" w:rsidP="00A41049">
      <w:pPr>
        <w:rPr>
          <w:rFonts w:cs="Arial"/>
          <w:bCs/>
          <w:szCs w:val="20"/>
        </w:rPr>
      </w:pPr>
    </w:p>
    <w:p w:rsidR="00AE43E6" w:rsidRPr="00311F84" w:rsidRDefault="00AE43E6" w:rsidP="00AE43E6">
      <w:pPr>
        <w:rPr>
          <w:rFonts w:cs="Arial"/>
          <w:bCs/>
          <w:szCs w:val="20"/>
        </w:rPr>
      </w:pPr>
      <w:r w:rsidRPr="0080777E">
        <w:rPr>
          <w:rFonts w:cs="Arial"/>
          <w:bCs/>
          <w:i/>
          <w:szCs w:val="20"/>
        </w:rPr>
        <w:t>„</w:t>
      </w:r>
      <w:r w:rsidR="004604DD" w:rsidRPr="00AE43E6">
        <w:rPr>
          <w:rFonts w:cs="Arial"/>
          <w:bCs/>
          <w:i/>
          <w:szCs w:val="20"/>
        </w:rPr>
        <w:t xml:space="preserve">V meziročním srovnání rostla ekonomika shodným tempem jako v 1. čtvrtletí. </w:t>
      </w:r>
      <w:r w:rsidR="0080777E" w:rsidRPr="00AE43E6">
        <w:rPr>
          <w:rFonts w:cs="Arial"/>
          <w:bCs/>
          <w:i/>
          <w:szCs w:val="20"/>
        </w:rPr>
        <w:t xml:space="preserve">Meziroční růst </w:t>
      </w:r>
      <w:r w:rsidR="004604DD" w:rsidRPr="00AE43E6">
        <w:rPr>
          <w:rFonts w:cs="Arial"/>
          <w:bCs/>
          <w:i/>
          <w:szCs w:val="20"/>
        </w:rPr>
        <w:t>HDP</w:t>
      </w:r>
      <w:r w:rsidR="0080777E" w:rsidRPr="00AE43E6">
        <w:rPr>
          <w:rFonts w:cs="Arial"/>
          <w:bCs/>
          <w:i/>
          <w:szCs w:val="20"/>
        </w:rPr>
        <w:t xml:space="preserve"> o 2,</w:t>
      </w:r>
      <w:r w:rsidR="004604DD" w:rsidRPr="00AE43E6">
        <w:rPr>
          <w:rFonts w:cs="Arial"/>
          <w:bCs/>
          <w:i/>
          <w:szCs w:val="20"/>
        </w:rPr>
        <w:t>4</w:t>
      </w:r>
      <w:r w:rsidR="00A30CCF" w:rsidRPr="00AE43E6">
        <w:rPr>
          <w:rFonts w:cs="Arial"/>
          <w:bCs/>
          <w:i/>
          <w:szCs w:val="20"/>
        </w:rPr>
        <w:t xml:space="preserve"> </w:t>
      </w:r>
      <w:r w:rsidR="0080777E" w:rsidRPr="00AE43E6">
        <w:rPr>
          <w:rFonts w:cs="Arial"/>
          <w:bCs/>
          <w:i/>
          <w:szCs w:val="20"/>
        </w:rPr>
        <w:t xml:space="preserve">% </w:t>
      </w:r>
      <w:r w:rsidR="00241956" w:rsidRPr="00AE43E6">
        <w:rPr>
          <w:rFonts w:cs="Arial"/>
          <w:bCs/>
          <w:i/>
          <w:szCs w:val="20"/>
        </w:rPr>
        <w:t>podpořila</w:t>
      </w:r>
      <w:r w:rsidR="00A41049" w:rsidRPr="00AE43E6">
        <w:rPr>
          <w:rFonts w:cs="Arial"/>
          <w:bCs/>
          <w:i/>
          <w:szCs w:val="20"/>
        </w:rPr>
        <w:t xml:space="preserve"> </w:t>
      </w:r>
      <w:r w:rsidR="00241956" w:rsidRPr="00AE43E6">
        <w:rPr>
          <w:rFonts w:cs="Arial"/>
          <w:bCs/>
          <w:i/>
          <w:szCs w:val="20"/>
        </w:rPr>
        <w:t>domácí poptávka</w:t>
      </w:r>
      <w:r w:rsidR="00FA6AB7" w:rsidRPr="00AE43E6">
        <w:rPr>
          <w:rFonts w:cs="Arial"/>
          <w:bCs/>
          <w:i/>
          <w:szCs w:val="20"/>
        </w:rPr>
        <w:t>,</w:t>
      </w:r>
      <w:r w:rsidR="0080777E" w:rsidRPr="00AE43E6">
        <w:rPr>
          <w:rFonts w:cs="Arial"/>
          <w:bCs/>
          <w:i/>
          <w:szCs w:val="20"/>
        </w:rPr>
        <w:t xml:space="preserve"> zejména výdaj</w:t>
      </w:r>
      <w:r w:rsidR="00241956" w:rsidRPr="00AE43E6">
        <w:rPr>
          <w:rFonts w:cs="Arial"/>
          <w:bCs/>
          <w:i/>
          <w:szCs w:val="20"/>
        </w:rPr>
        <w:t>e</w:t>
      </w:r>
      <w:r w:rsidR="0080777E" w:rsidRPr="00AE43E6">
        <w:rPr>
          <w:rFonts w:cs="Arial"/>
          <w:bCs/>
          <w:i/>
          <w:szCs w:val="20"/>
        </w:rPr>
        <w:t xml:space="preserve"> na konečnou spotřebu domácností</w:t>
      </w:r>
      <w:r w:rsidR="002B538A">
        <w:rPr>
          <w:rFonts w:cs="Arial"/>
          <w:bCs/>
          <w:i/>
          <w:szCs w:val="20"/>
        </w:rPr>
        <w:t xml:space="preserve"> a </w:t>
      </w:r>
      <w:r w:rsidR="00241956" w:rsidRPr="00AE43E6">
        <w:rPr>
          <w:rFonts w:cs="Arial"/>
          <w:bCs/>
          <w:i/>
          <w:szCs w:val="20"/>
        </w:rPr>
        <w:t>tvorba hrubého kapitálu</w:t>
      </w:r>
      <w:r>
        <w:rPr>
          <w:rFonts w:cs="Arial"/>
          <w:bCs/>
          <w:i/>
          <w:szCs w:val="20"/>
        </w:rPr>
        <w:t>,“</w:t>
      </w:r>
      <w:r>
        <w:rPr>
          <w:rFonts w:cs="Arial"/>
          <w:bCs/>
          <w:szCs w:val="20"/>
        </w:rPr>
        <w:t xml:space="preserve"> </w:t>
      </w:r>
      <w:r w:rsidRPr="00311F84">
        <w:rPr>
          <w:rFonts w:cs="Arial"/>
          <w:szCs w:val="20"/>
        </w:rPr>
        <w:t>sdělil Vladimír Kermiet, ředitel odboru národních účtů ČSÚ</w:t>
      </w:r>
      <w:r w:rsidRPr="00311F84">
        <w:rPr>
          <w:rFonts w:cs="Arial"/>
          <w:bCs/>
          <w:szCs w:val="20"/>
        </w:rPr>
        <w:t>.</w:t>
      </w:r>
    </w:p>
    <w:p w:rsidR="002F6C5D" w:rsidRDefault="00E50BED" w:rsidP="002F6C5D">
      <w:pPr>
        <w:spacing w:before="240" w:after="240"/>
      </w:pPr>
      <w:r>
        <w:rPr>
          <w:rFonts w:cs="Arial"/>
          <w:bCs/>
          <w:szCs w:val="20"/>
        </w:rPr>
        <w:t>Mezičtvrtletní růst hrubé přidané hodnoty</w:t>
      </w:r>
      <w:r w:rsidR="002B538A">
        <w:rPr>
          <w:rFonts w:cs="Arial"/>
          <w:bCs/>
          <w:szCs w:val="20"/>
        </w:rPr>
        <w:t xml:space="preserve"> (HPH)</w:t>
      </w:r>
      <w:r>
        <w:rPr>
          <w:rFonts w:cs="Arial"/>
          <w:bCs/>
          <w:szCs w:val="20"/>
        </w:rPr>
        <w:t xml:space="preserve"> pozitivně ovlivnil</w:t>
      </w:r>
      <w:r w:rsidR="002F6C5D">
        <w:rPr>
          <w:rFonts w:cs="Arial"/>
          <w:bCs/>
          <w:szCs w:val="20"/>
        </w:rPr>
        <w:t>a</w:t>
      </w:r>
      <w:r>
        <w:rPr>
          <w:rFonts w:cs="Arial"/>
          <w:bCs/>
          <w:szCs w:val="20"/>
        </w:rPr>
        <w:t xml:space="preserve"> především </w:t>
      </w:r>
      <w:r w:rsidR="002F6C5D" w:rsidRPr="00CA020A">
        <w:t>skupin</w:t>
      </w:r>
      <w:r w:rsidR="002F6C5D">
        <w:t>a odvětví obchodu, dopravy, ubytování a pohostinství. Dařilo se také stavebnictví. Naopak mírný pokles zaznamenal</w:t>
      </w:r>
      <w:r w:rsidR="002F6C5D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>zpracovatelský průmysl</w:t>
      </w:r>
      <w:r w:rsidR="002F6C5D">
        <w:t>.</w:t>
      </w:r>
    </w:p>
    <w:p w:rsidR="00E50BED" w:rsidRDefault="00E50BED" w:rsidP="002F6C5D">
      <w:pPr>
        <w:spacing w:before="240" w:after="240"/>
      </w:pPr>
      <w:r>
        <w:lastRenderedPageBreak/>
        <w:t xml:space="preserve">Meziroční růst </w:t>
      </w:r>
      <w:r w:rsidR="002F6C5D">
        <w:rPr>
          <w:rFonts w:cs="Arial"/>
          <w:bCs/>
          <w:szCs w:val="20"/>
        </w:rPr>
        <w:t xml:space="preserve">HPH nejvíce podpořil průmysl a </w:t>
      </w:r>
      <w:r w:rsidRPr="00CA020A">
        <w:t>skupin</w:t>
      </w:r>
      <w:r w:rsidR="002F6C5D">
        <w:t>a</w:t>
      </w:r>
      <w:r>
        <w:t xml:space="preserve"> odvětví obchodu, dopravy, ubytování a pohostinství</w:t>
      </w:r>
      <w:r w:rsidR="002F6C5D">
        <w:t xml:space="preserve">. Dařilo se </w:t>
      </w:r>
      <w:r w:rsidR="00A70A67">
        <w:t>naprosté většině</w:t>
      </w:r>
      <w:r w:rsidR="002F6C5D">
        <w:t xml:space="preserve"> odvětví</w:t>
      </w:r>
      <w:bookmarkStart w:id="0" w:name="_GoBack"/>
      <w:bookmarkEnd w:id="0"/>
      <w:r w:rsidR="002F6C5D">
        <w:t xml:space="preserve"> národního hospodářství.</w:t>
      </w:r>
    </w:p>
    <w:p w:rsidR="00A41049" w:rsidRDefault="00A41049" w:rsidP="00A41049">
      <w:r w:rsidRPr="00C10C30">
        <w:rPr>
          <w:bCs/>
        </w:rPr>
        <w:t>Zaměstnanost</w:t>
      </w:r>
      <w:r w:rsidRPr="00C10C30">
        <w:rPr>
          <w:rStyle w:val="Znakapoznpodarou"/>
        </w:rPr>
        <w:footnoteReference w:id="2"/>
      </w:r>
      <w:r>
        <w:t xml:space="preserve"> mezičtvrtletně vzrostla o 0,</w:t>
      </w:r>
      <w:r w:rsidR="00E50BED">
        <w:t>4</w:t>
      </w:r>
      <w:r>
        <w:t xml:space="preserve"> % a </w:t>
      </w:r>
      <w:r w:rsidRPr="00C10C30">
        <w:t>oproti ste</w:t>
      </w:r>
      <w:r>
        <w:t>jnému čtvrtletí loňského roku vzrostla o </w:t>
      </w:r>
      <w:r w:rsidR="00E50BED">
        <w:t>1</w:t>
      </w:r>
      <w:r w:rsidRPr="00C10C30">
        <w:t>,</w:t>
      </w:r>
      <w:r w:rsidR="00E50BED">
        <w:t>0</w:t>
      </w:r>
      <w:r w:rsidRPr="00C10C30">
        <w:t> %.</w:t>
      </w:r>
    </w:p>
    <w:p w:rsidR="00A41049" w:rsidRDefault="00A41049" w:rsidP="00A41049">
      <w:pPr>
        <w:pStyle w:val="Poznmky"/>
        <w:tabs>
          <w:tab w:val="left" w:pos="284"/>
        </w:tabs>
        <w:spacing w:before="600"/>
        <w:ind w:left="4253" w:hanging="4253"/>
        <w:rPr>
          <w:i/>
        </w:rPr>
      </w:pPr>
      <w:r>
        <w:rPr>
          <w:i/>
        </w:rPr>
        <w:t>Zodpovědný vedoucí pracovník</w:t>
      </w:r>
      <w:r w:rsidRPr="00304ECA">
        <w:rPr>
          <w:i/>
        </w:rPr>
        <w:t>:</w:t>
      </w:r>
      <w:r w:rsidRPr="00304ECA">
        <w:rPr>
          <w:i/>
        </w:rPr>
        <w:tab/>
      </w:r>
      <w:r>
        <w:rPr>
          <w:i/>
        </w:rPr>
        <w:t>Ing. Vladimír Kermiet</w:t>
      </w:r>
      <w:r w:rsidRPr="00304ECA">
        <w:rPr>
          <w:i/>
        </w:rPr>
        <w:t xml:space="preserve">, ředitel </w:t>
      </w:r>
      <w:r>
        <w:rPr>
          <w:i/>
        </w:rPr>
        <w:t>o</w:t>
      </w:r>
      <w:r w:rsidRPr="00304ECA">
        <w:rPr>
          <w:i/>
        </w:rPr>
        <w:t xml:space="preserve">dboru národních </w:t>
      </w:r>
      <w:r>
        <w:rPr>
          <w:i/>
        </w:rPr>
        <w:t>účtů, tel. </w:t>
      </w:r>
      <w:r w:rsidRPr="00304ECA">
        <w:rPr>
          <w:i/>
        </w:rPr>
        <w:t>274 05</w:t>
      </w:r>
      <w:r>
        <w:rPr>
          <w:i/>
        </w:rPr>
        <w:t>4 247</w:t>
      </w:r>
      <w:r w:rsidRPr="00304ECA">
        <w:rPr>
          <w:i/>
        </w:rPr>
        <w:t>,</w:t>
      </w:r>
      <w:r>
        <w:rPr>
          <w:i/>
        </w:rPr>
        <w:t xml:space="preserve"> e</w:t>
      </w:r>
      <w:r>
        <w:rPr>
          <w:i/>
        </w:rPr>
        <w:noBreakHyphen/>
        <w:t>mail: </w:t>
      </w:r>
      <w:hyperlink r:id="rId8" w:history="1">
        <w:r w:rsidR="006D5291" w:rsidRPr="000707CE">
          <w:rPr>
            <w:rStyle w:val="Hypertextovodkaz"/>
            <w:i/>
          </w:rPr>
          <w:t>vladimir.kermiet@csu.gov.cz</w:t>
        </w:r>
      </w:hyperlink>
    </w:p>
    <w:p w:rsidR="00A41049" w:rsidRDefault="00A41049" w:rsidP="00A41049">
      <w:pPr>
        <w:pStyle w:val="Poznamkytexty"/>
        <w:ind w:left="4253" w:hanging="4253"/>
        <w:jc w:val="left"/>
      </w:pPr>
      <w:r>
        <w:t>Kontaktní osoba:</w:t>
      </w:r>
      <w:r>
        <w:tab/>
        <w:t>Ing. Jan Benedikt</w:t>
      </w:r>
      <w:r w:rsidRPr="00315471">
        <w:t xml:space="preserve">, </w:t>
      </w:r>
      <w:r>
        <w:t xml:space="preserve">vedoucí oddělení čtvrtletních odhadů, </w:t>
      </w:r>
      <w:r w:rsidRPr="00315471">
        <w:t>tel.</w:t>
      </w:r>
      <w:r>
        <w:t> </w:t>
      </w:r>
      <w:r w:rsidRPr="00315471">
        <w:t>274 052 750, e</w:t>
      </w:r>
      <w:r w:rsidRPr="00315471">
        <w:noBreakHyphen/>
        <w:t>mail: </w:t>
      </w:r>
      <w:r w:rsidR="006D5291" w:rsidRPr="00315471">
        <w:t>: </w:t>
      </w:r>
      <w:hyperlink r:id="rId9" w:history="1">
        <w:r w:rsidR="006D5291">
          <w:rPr>
            <w:rStyle w:val="Hypertextovodkaz"/>
          </w:rPr>
          <w:t>jan.benedikt@csu.gov.cz</w:t>
        </w:r>
      </w:hyperlink>
    </w:p>
    <w:p w:rsidR="00A41049" w:rsidRDefault="00A41049" w:rsidP="00A41049">
      <w:pPr>
        <w:pStyle w:val="Poznamkytexty"/>
        <w:ind w:left="4253" w:hanging="4253"/>
      </w:pPr>
      <w:r>
        <w:t>Aktuálnost použitých datových zdrojů</w:t>
      </w:r>
      <w:r w:rsidRPr="00B13ABB">
        <w:t>:</w:t>
      </w:r>
      <w:r w:rsidRPr="00B13ABB">
        <w:tab/>
      </w:r>
      <w:r>
        <w:t>2</w:t>
      </w:r>
      <w:r w:rsidR="003D4667">
        <w:t>2</w:t>
      </w:r>
      <w:r>
        <w:t xml:space="preserve">. </w:t>
      </w:r>
      <w:r w:rsidR="003D4667">
        <w:t>července</w:t>
      </w:r>
      <w:r>
        <w:t xml:space="preserve"> 2025</w:t>
      </w:r>
    </w:p>
    <w:p w:rsidR="00A41049" w:rsidRPr="00D9330E" w:rsidRDefault="00A41049" w:rsidP="00A41049">
      <w:pPr>
        <w:pStyle w:val="Poznamkytexty"/>
        <w:ind w:left="4253" w:hanging="4253"/>
        <w:rPr>
          <w:color w:val="auto"/>
        </w:rPr>
      </w:pPr>
      <w:r>
        <w:t>Internetové stránky ČSÚ</w:t>
      </w:r>
      <w:r w:rsidRPr="00B13ABB">
        <w:t>:</w:t>
      </w:r>
      <w:r w:rsidRPr="00B13ABB">
        <w:tab/>
      </w:r>
      <w:hyperlink r:id="rId10" w:history="1">
        <w:r w:rsidR="006D5291">
          <w:rPr>
            <w:rStyle w:val="Hypertextovodkaz"/>
          </w:rPr>
          <w:t>https://csu.gov.cz/ctvrtletni-odhady-hdp</w:t>
        </w:r>
      </w:hyperlink>
      <w:r>
        <w:rPr>
          <w:color w:val="auto"/>
        </w:rPr>
        <w:t xml:space="preserve"> </w:t>
      </w:r>
    </w:p>
    <w:p w:rsidR="00A41049" w:rsidRPr="004920AD" w:rsidRDefault="00A90474" w:rsidP="00A41049">
      <w:pPr>
        <w:pStyle w:val="Poznamkytexty"/>
        <w:ind w:left="4253" w:hanging="4253"/>
        <w:jc w:val="left"/>
      </w:pPr>
      <w:r>
        <w:t>Termín zveřejnění další RI:</w:t>
      </w:r>
      <w:r>
        <w:tab/>
        <w:t>29</w:t>
      </w:r>
      <w:r w:rsidR="00A41049">
        <w:t xml:space="preserve">. </w:t>
      </w:r>
      <w:r>
        <w:t>srpna</w:t>
      </w:r>
      <w:r w:rsidR="00A41049">
        <w:t xml:space="preserve"> 2025 </w:t>
      </w:r>
      <w:r w:rsidR="00A41049">
        <w:br/>
        <w:t xml:space="preserve">(Tvorba a užití HDP za </w:t>
      </w:r>
      <w:r>
        <w:t>2</w:t>
      </w:r>
      <w:r w:rsidR="00A41049">
        <w:t>. čtvrtletí 2025)</w:t>
      </w:r>
    </w:p>
    <w:p w:rsidR="00A41049" w:rsidRPr="00770C35" w:rsidRDefault="00A41049" w:rsidP="00A41049"/>
    <w:p w:rsidR="00D209A7" w:rsidRPr="00A41049" w:rsidRDefault="00D209A7" w:rsidP="00A41049"/>
    <w:sectPr w:rsidR="00D209A7" w:rsidRPr="00A41049" w:rsidSect="00405244">
      <w:headerReference w:type="default" r:id="rId11"/>
      <w:footerReference w:type="default" r:id="rId12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D1B" w:rsidRDefault="00971D1B" w:rsidP="00BA6370">
      <w:r>
        <w:separator/>
      </w:r>
    </w:p>
  </w:endnote>
  <w:endnote w:type="continuationSeparator" w:id="0">
    <w:p w:rsidR="00971D1B" w:rsidRDefault="00971D1B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741C19" w:rsidRPr="00B53EAF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</w:t>
                            </w:r>
                            <w:proofErr w:type="gramStart"/>
                            <w:r w:rsidR="00741C19" w:rsidRPr="00B53EAF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tel.</w:t>
                          </w:r>
                          <w:proofErr w:type="gram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r w:rsidR="00C35900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="00741C19" w:rsidRPr="00B53EAF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A70A67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741C19" w:rsidRPr="00B53EAF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</w:t>
                      </w:r>
                      <w:proofErr w:type="gramStart"/>
                      <w:r w:rsidR="00741C19" w:rsidRPr="00B53EAF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tel.</w:t>
                    </w:r>
                    <w:proofErr w:type="gram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r w:rsidR="00C35900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="00741C19" w:rsidRPr="00B53EAF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A70A67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DA81F5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D1B" w:rsidRDefault="00971D1B" w:rsidP="00BA6370">
      <w:r>
        <w:separator/>
      </w:r>
    </w:p>
  </w:footnote>
  <w:footnote w:type="continuationSeparator" w:id="0">
    <w:p w:rsidR="00971D1B" w:rsidRDefault="00971D1B" w:rsidP="00BA6370">
      <w:r>
        <w:continuationSeparator/>
      </w:r>
    </w:p>
  </w:footnote>
  <w:footnote w:id="1">
    <w:p w:rsidR="00A41049" w:rsidRPr="00943006" w:rsidRDefault="00A41049" w:rsidP="00A41049">
      <w:pPr>
        <w:pStyle w:val="Textpoznpodarou"/>
        <w:spacing w:before="60"/>
        <w:rPr>
          <w:i/>
          <w:sz w:val="18"/>
          <w:szCs w:val="18"/>
        </w:rPr>
      </w:pPr>
      <w:r w:rsidRPr="00943006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943006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Všechny u</w:t>
      </w:r>
      <w:r w:rsidRPr="00943006">
        <w:rPr>
          <w:rFonts w:ascii="Arial" w:hAnsi="Arial" w:cs="Arial"/>
          <w:i/>
          <w:sz w:val="18"/>
          <w:szCs w:val="18"/>
        </w:rPr>
        <w:t xml:space="preserve">váděné údaje </w:t>
      </w:r>
      <w:r>
        <w:rPr>
          <w:rFonts w:ascii="Arial" w:hAnsi="Arial" w:cs="Arial"/>
          <w:i/>
          <w:sz w:val="18"/>
          <w:szCs w:val="18"/>
        </w:rPr>
        <w:t xml:space="preserve">jsou </w:t>
      </w:r>
      <w:r w:rsidRPr="00943006">
        <w:rPr>
          <w:rFonts w:ascii="Arial" w:hAnsi="Arial" w:cs="Arial"/>
          <w:i/>
          <w:sz w:val="18"/>
          <w:szCs w:val="18"/>
        </w:rPr>
        <w:t xml:space="preserve">očištěny o sezónní vlivy a nestejný počet pracovních dní. </w:t>
      </w:r>
    </w:p>
  </w:footnote>
  <w:footnote w:id="2">
    <w:p w:rsidR="00A41049" w:rsidRPr="00943006" w:rsidRDefault="00A41049" w:rsidP="00A41049">
      <w:pPr>
        <w:pStyle w:val="Textpoznpodarou"/>
        <w:spacing w:before="60"/>
        <w:rPr>
          <w:rFonts w:ascii="Arial" w:hAnsi="Arial" w:cs="Arial"/>
          <w:i/>
          <w:sz w:val="18"/>
          <w:szCs w:val="18"/>
        </w:rPr>
      </w:pPr>
      <w:r w:rsidRPr="00943006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943006">
        <w:rPr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V</w:t>
      </w:r>
      <w:r w:rsidRPr="00943006">
        <w:rPr>
          <w:rFonts w:ascii="Arial" w:hAnsi="Arial" w:cs="Arial"/>
          <w:i/>
          <w:sz w:val="18"/>
          <w:szCs w:val="18"/>
        </w:rPr>
        <w:t> pojetí národních účtů.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B3C6B6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8193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ADC"/>
    <w:rsid w:val="00007D21"/>
    <w:rsid w:val="0003640B"/>
    <w:rsid w:val="00036F5C"/>
    <w:rsid w:val="00043BF4"/>
    <w:rsid w:val="000452F7"/>
    <w:rsid w:val="000671A9"/>
    <w:rsid w:val="000754C2"/>
    <w:rsid w:val="00082501"/>
    <w:rsid w:val="000843A5"/>
    <w:rsid w:val="00086DF2"/>
    <w:rsid w:val="000910DA"/>
    <w:rsid w:val="00096D6C"/>
    <w:rsid w:val="000A7012"/>
    <w:rsid w:val="000B6F63"/>
    <w:rsid w:val="000D093F"/>
    <w:rsid w:val="000D3E39"/>
    <w:rsid w:val="000D43C4"/>
    <w:rsid w:val="000E43CC"/>
    <w:rsid w:val="000E6B49"/>
    <w:rsid w:val="001048C3"/>
    <w:rsid w:val="00106634"/>
    <w:rsid w:val="001306B7"/>
    <w:rsid w:val="001404AB"/>
    <w:rsid w:val="001511B3"/>
    <w:rsid w:val="00152BAF"/>
    <w:rsid w:val="00163035"/>
    <w:rsid w:val="0017231D"/>
    <w:rsid w:val="001810DC"/>
    <w:rsid w:val="00187632"/>
    <w:rsid w:val="0019606E"/>
    <w:rsid w:val="001A3C88"/>
    <w:rsid w:val="001B1BFB"/>
    <w:rsid w:val="001B607F"/>
    <w:rsid w:val="001B7E82"/>
    <w:rsid w:val="001D369A"/>
    <w:rsid w:val="001E51B4"/>
    <w:rsid w:val="001F08B3"/>
    <w:rsid w:val="001F2FE0"/>
    <w:rsid w:val="00200854"/>
    <w:rsid w:val="002070FB"/>
    <w:rsid w:val="00207CA0"/>
    <w:rsid w:val="00210B35"/>
    <w:rsid w:val="00213729"/>
    <w:rsid w:val="002166D0"/>
    <w:rsid w:val="002345FB"/>
    <w:rsid w:val="002406FA"/>
    <w:rsid w:val="00241956"/>
    <w:rsid w:val="00244039"/>
    <w:rsid w:val="00254511"/>
    <w:rsid w:val="00257E5C"/>
    <w:rsid w:val="0026107B"/>
    <w:rsid w:val="00261BC5"/>
    <w:rsid w:val="00275DF8"/>
    <w:rsid w:val="002823AD"/>
    <w:rsid w:val="00283787"/>
    <w:rsid w:val="00284C2C"/>
    <w:rsid w:val="002A445A"/>
    <w:rsid w:val="002B2E47"/>
    <w:rsid w:val="002B538A"/>
    <w:rsid w:val="002B5FDC"/>
    <w:rsid w:val="002C0A6B"/>
    <w:rsid w:val="002D2649"/>
    <w:rsid w:val="002D7F4F"/>
    <w:rsid w:val="002F6C5D"/>
    <w:rsid w:val="00311F84"/>
    <w:rsid w:val="00324416"/>
    <w:rsid w:val="0032574D"/>
    <w:rsid w:val="003301A3"/>
    <w:rsid w:val="00340AA0"/>
    <w:rsid w:val="00343135"/>
    <w:rsid w:val="003533C8"/>
    <w:rsid w:val="003638BE"/>
    <w:rsid w:val="00367559"/>
    <w:rsid w:val="0036777B"/>
    <w:rsid w:val="003734EA"/>
    <w:rsid w:val="003774C2"/>
    <w:rsid w:val="0038282A"/>
    <w:rsid w:val="00387008"/>
    <w:rsid w:val="00397580"/>
    <w:rsid w:val="003A45C8"/>
    <w:rsid w:val="003B34D2"/>
    <w:rsid w:val="003C2DCF"/>
    <w:rsid w:val="003C4F7B"/>
    <w:rsid w:val="003C7184"/>
    <w:rsid w:val="003C7FE7"/>
    <w:rsid w:val="003D0499"/>
    <w:rsid w:val="003D1BCB"/>
    <w:rsid w:val="003D3576"/>
    <w:rsid w:val="003D4667"/>
    <w:rsid w:val="003D529B"/>
    <w:rsid w:val="003D5BB4"/>
    <w:rsid w:val="003D6082"/>
    <w:rsid w:val="003F227A"/>
    <w:rsid w:val="003F526A"/>
    <w:rsid w:val="00405244"/>
    <w:rsid w:val="004154C7"/>
    <w:rsid w:val="00426EF7"/>
    <w:rsid w:val="004436EE"/>
    <w:rsid w:val="0045414F"/>
    <w:rsid w:val="0045547F"/>
    <w:rsid w:val="004604DD"/>
    <w:rsid w:val="00471DEF"/>
    <w:rsid w:val="00472310"/>
    <w:rsid w:val="004767C2"/>
    <w:rsid w:val="00487857"/>
    <w:rsid w:val="004920AD"/>
    <w:rsid w:val="00493A89"/>
    <w:rsid w:val="0049694C"/>
    <w:rsid w:val="004C1BBB"/>
    <w:rsid w:val="004C34EA"/>
    <w:rsid w:val="004D05B3"/>
    <w:rsid w:val="004E1FAE"/>
    <w:rsid w:val="004E479E"/>
    <w:rsid w:val="004E7B34"/>
    <w:rsid w:val="004F134E"/>
    <w:rsid w:val="004F2CDF"/>
    <w:rsid w:val="004F686C"/>
    <w:rsid w:val="004F78E6"/>
    <w:rsid w:val="0050420E"/>
    <w:rsid w:val="00507B8C"/>
    <w:rsid w:val="00512D99"/>
    <w:rsid w:val="005211E4"/>
    <w:rsid w:val="00531644"/>
    <w:rsid w:val="00531DBB"/>
    <w:rsid w:val="00534CD2"/>
    <w:rsid w:val="00552695"/>
    <w:rsid w:val="00561E53"/>
    <w:rsid w:val="005735A0"/>
    <w:rsid w:val="00573994"/>
    <w:rsid w:val="00585F13"/>
    <w:rsid w:val="00590A95"/>
    <w:rsid w:val="005961A5"/>
    <w:rsid w:val="005B1CE3"/>
    <w:rsid w:val="005C7039"/>
    <w:rsid w:val="005D52C8"/>
    <w:rsid w:val="005E007D"/>
    <w:rsid w:val="005E0318"/>
    <w:rsid w:val="005E266F"/>
    <w:rsid w:val="005E7011"/>
    <w:rsid w:val="005F79FB"/>
    <w:rsid w:val="00604406"/>
    <w:rsid w:val="00605F4A"/>
    <w:rsid w:val="00607822"/>
    <w:rsid w:val="006103AA"/>
    <w:rsid w:val="00613BBF"/>
    <w:rsid w:val="00622B80"/>
    <w:rsid w:val="006238F0"/>
    <w:rsid w:val="00624BEE"/>
    <w:rsid w:val="0064139A"/>
    <w:rsid w:val="00651BE1"/>
    <w:rsid w:val="0066579F"/>
    <w:rsid w:val="00680927"/>
    <w:rsid w:val="00683F5C"/>
    <w:rsid w:val="00692211"/>
    <w:rsid w:val="006931CF"/>
    <w:rsid w:val="006B07AD"/>
    <w:rsid w:val="006C05CC"/>
    <w:rsid w:val="006C0678"/>
    <w:rsid w:val="006D21EB"/>
    <w:rsid w:val="006D3D6B"/>
    <w:rsid w:val="006D5291"/>
    <w:rsid w:val="006D545E"/>
    <w:rsid w:val="006E024F"/>
    <w:rsid w:val="006E2589"/>
    <w:rsid w:val="006E4E81"/>
    <w:rsid w:val="006E5A83"/>
    <w:rsid w:val="006F55B8"/>
    <w:rsid w:val="007048E3"/>
    <w:rsid w:val="00707CD4"/>
    <w:rsid w:val="00707F7D"/>
    <w:rsid w:val="00717EC5"/>
    <w:rsid w:val="00734E3E"/>
    <w:rsid w:val="00741C19"/>
    <w:rsid w:val="00754C20"/>
    <w:rsid w:val="007617C7"/>
    <w:rsid w:val="00770C35"/>
    <w:rsid w:val="00772A29"/>
    <w:rsid w:val="00786FDD"/>
    <w:rsid w:val="00790859"/>
    <w:rsid w:val="007A2048"/>
    <w:rsid w:val="007A57F2"/>
    <w:rsid w:val="007A7430"/>
    <w:rsid w:val="007B1333"/>
    <w:rsid w:val="007C771E"/>
    <w:rsid w:val="007D51A5"/>
    <w:rsid w:val="007D6941"/>
    <w:rsid w:val="007F4AEB"/>
    <w:rsid w:val="007F75B2"/>
    <w:rsid w:val="00802BAE"/>
    <w:rsid w:val="00803993"/>
    <w:rsid w:val="008043C4"/>
    <w:rsid w:val="0080777E"/>
    <w:rsid w:val="00817ADC"/>
    <w:rsid w:val="00823B21"/>
    <w:rsid w:val="00824FAE"/>
    <w:rsid w:val="00826553"/>
    <w:rsid w:val="00831B1B"/>
    <w:rsid w:val="00844154"/>
    <w:rsid w:val="0085257C"/>
    <w:rsid w:val="00855FB3"/>
    <w:rsid w:val="00861D0E"/>
    <w:rsid w:val="00862A04"/>
    <w:rsid w:val="008662BB"/>
    <w:rsid w:val="00867569"/>
    <w:rsid w:val="00870B17"/>
    <w:rsid w:val="00871542"/>
    <w:rsid w:val="00877119"/>
    <w:rsid w:val="008832CD"/>
    <w:rsid w:val="00884917"/>
    <w:rsid w:val="00896680"/>
    <w:rsid w:val="008976A5"/>
    <w:rsid w:val="008A750A"/>
    <w:rsid w:val="008B1CD6"/>
    <w:rsid w:val="008B3970"/>
    <w:rsid w:val="008C384C"/>
    <w:rsid w:val="008C552A"/>
    <w:rsid w:val="008D0F11"/>
    <w:rsid w:val="008D5290"/>
    <w:rsid w:val="008D7206"/>
    <w:rsid w:val="008E05C1"/>
    <w:rsid w:val="008E402E"/>
    <w:rsid w:val="008E7149"/>
    <w:rsid w:val="008F24E5"/>
    <w:rsid w:val="008F7395"/>
    <w:rsid w:val="008F73B4"/>
    <w:rsid w:val="00902521"/>
    <w:rsid w:val="00904B72"/>
    <w:rsid w:val="00925BF7"/>
    <w:rsid w:val="00930BA9"/>
    <w:rsid w:val="0094322B"/>
    <w:rsid w:val="00956BC7"/>
    <w:rsid w:val="00970E4E"/>
    <w:rsid w:val="00971D1B"/>
    <w:rsid w:val="00981D35"/>
    <w:rsid w:val="00986DD7"/>
    <w:rsid w:val="009A6DAF"/>
    <w:rsid w:val="009B55B1"/>
    <w:rsid w:val="009B62A7"/>
    <w:rsid w:val="009E2612"/>
    <w:rsid w:val="00A03C9F"/>
    <w:rsid w:val="00A047E7"/>
    <w:rsid w:val="00A05CDD"/>
    <w:rsid w:val="00A06D9F"/>
    <w:rsid w:val="00A0762A"/>
    <w:rsid w:val="00A1095E"/>
    <w:rsid w:val="00A128B1"/>
    <w:rsid w:val="00A15612"/>
    <w:rsid w:val="00A16A1F"/>
    <w:rsid w:val="00A25FB7"/>
    <w:rsid w:val="00A30CCF"/>
    <w:rsid w:val="00A41049"/>
    <w:rsid w:val="00A4343D"/>
    <w:rsid w:val="00A502F1"/>
    <w:rsid w:val="00A70A67"/>
    <w:rsid w:val="00A70A83"/>
    <w:rsid w:val="00A72326"/>
    <w:rsid w:val="00A773BB"/>
    <w:rsid w:val="00A81EB3"/>
    <w:rsid w:val="00A90474"/>
    <w:rsid w:val="00A91524"/>
    <w:rsid w:val="00A955BC"/>
    <w:rsid w:val="00AB3410"/>
    <w:rsid w:val="00AD04BF"/>
    <w:rsid w:val="00AD7489"/>
    <w:rsid w:val="00AE32EF"/>
    <w:rsid w:val="00AE3748"/>
    <w:rsid w:val="00AE43E6"/>
    <w:rsid w:val="00AE4CA5"/>
    <w:rsid w:val="00AE63A3"/>
    <w:rsid w:val="00AF0469"/>
    <w:rsid w:val="00AF17BC"/>
    <w:rsid w:val="00B00C1D"/>
    <w:rsid w:val="00B55375"/>
    <w:rsid w:val="00B60F52"/>
    <w:rsid w:val="00B62D89"/>
    <w:rsid w:val="00B632CC"/>
    <w:rsid w:val="00B66F6C"/>
    <w:rsid w:val="00B809FC"/>
    <w:rsid w:val="00BA12F1"/>
    <w:rsid w:val="00BA439F"/>
    <w:rsid w:val="00BA6370"/>
    <w:rsid w:val="00BB0126"/>
    <w:rsid w:val="00BB7CFF"/>
    <w:rsid w:val="00BD112F"/>
    <w:rsid w:val="00BF78E1"/>
    <w:rsid w:val="00BF7B16"/>
    <w:rsid w:val="00C009CE"/>
    <w:rsid w:val="00C0544D"/>
    <w:rsid w:val="00C269D4"/>
    <w:rsid w:val="00C31C8E"/>
    <w:rsid w:val="00C35900"/>
    <w:rsid w:val="00C35B4A"/>
    <w:rsid w:val="00C37ADB"/>
    <w:rsid w:val="00C4160D"/>
    <w:rsid w:val="00C4607B"/>
    <w:rsid w:val="00C50E8B"/>
    <w:rsid w:val="00C62419"/>
    <w:rsid w:val="00C70B0A"/>
    <w:rsid w:val="00C8406E"/>
    <w:rsid w:val="00C848BE"/>
    <w:rsid w:val="00C94C20"/>
    <w:rsid w:val="00CA2DB0"/>
    <w:rsid w:val="00CB2709"/>
    <w:rsid w:val="00CB6F89"/>
    <w:rsid w:val="00CC0AE9"/>
    <w:rsid w:val="00CC298B"/>
    <w:rsid w:val="00CC6BC1"/>
    <w:rsid w:val="00CD618A"/>
    <w:rsid w:val="00CE13A2"/>
    <w:rsid w:val="00CE228C"/>
    <w:rsid w:val="00CE71D9"/>
    <w:rsid w:val="00CF4C28"/>
    <w:rsid w:val="00CF545B"/>
    <w:rsid w:val="00D15439"/>
    <w:rsid w:val="00D209A7"/>
    <w:rsid w:val="00D27D69"/>
    <w:rsid w:val="00D33658"/>
    <w:rsid w:val="00D3597A"/>
    <w:rsid w:val="00D448C2"/>
    <w:rsid w:val="00D5312B"/>
    <w:rsid w:val="00D542D7"/>
    <w:rsid w:val="00D62B6D"/>
    <w:rsid w:val="00D64269"/>
    <w:rsid w:val="00D666C3"/>
    <w:rsid w:val="00D67AAE"/>
    <w:rsid w:val="00D70ABB"/>
    <w:rsid w:val="00D8399B"/>
    <w:rsid w:val="00D9189F"/>
    <w:rsid w:val="00DC014F"/>
    <w:rsid w:val="00DD6F49"/>
    <w:rsid w:val="00DE0497"/>
    <w:rsid w:val="00DF0E94"/>
    <w:rsid w:val="00DF47FE"/>
    <w:rsid w:val="00E0156A"/>
    <w:rsid w:val="00E13264"/>
    <w:rsid w:val="00E24D09"/>
    <w:rsid w:val="00E256DA"/>
    <w:rsid w:val="00E26704"/>
    <w:rsid w:val="00E27B80"/>
    <w:rsid w:val="00E31980"/>
    <w:rsid w:val="00E50BED"/>
    <w:rsid w:val="00E636FD"/>
    <w:rsid w:val="00E6423C"/>
    <w:rsid w:val="00E7005C"/>
    <w:rsid w:val="00E910D4"/>
    <w:rsid w:val="00E91D2A"/>
    <w:rsid w:val="00E93830"/>
    <w:rsid w:val="00E93E0E"/>
    <w:rsid w:val="00E960EF"/>
    <w:rsid w:val="00EB1ED3"/>
    <w:rsid w:val="00EC5239"/>
    <w:rsid w:val="00ED5A9F"/>
    <w:rsid w:val="00EE44DC"/>
    <w:rsid w:val="00EE7526"/>
    <w:rsid w:val="00F04EC3"/>
    <w:rsid w:val="00F126AA"/>
    <w:rsid w:val="00F60982"/>
    <w:rsid w:val="00F73827"/>
    <w:rsid w:val="00F75F2A"/>
    <w:rsid w:val="00F935B2"/>
    <w:rsid w:val="00F940D9"/>
    <w:rsid w:val="00FA6AB7"/>
    <w:rsid w:val="00FB687C"/>
    <w:rsid w:val="00FC2901"/>
    <w:rsid w:val="00FC32A7"/>
    <w:rsid w:val="00FD4C4F"/>
    <w:rsid w:val="00FE6779"/>
    <w:rsid w:val="00FF37CD"/>
    <w:rsid w:val="00FF55C0"/>
    <w:rsid w:val="00FF5D4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ru v:ext="edit" colors="#0071bc"/>
    </o:shapedefaults>
    <o:shapelayout v:ext="edit">
      <o:idmap v:ext="edit" data="1"/>
    </o:shapelayout>
  </w:shapeDefaults>
  <w:decimalSymbol w:val=","/>
  <w:listSeparator w:val=";"/>
  <w14:docId w14:val="4C5789E7"/>
  <w15:docId w15:val="{E6155C0E-5F67-4EC3-A7EB-F374DDEED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Poznamkytexty">
    <w:name w:val="Poznamky texty"/>
    <w:basedOn w:val="Poznmky"/>
    <w:qFormat/>
    <w:rsid w:val="00981D35"/>
    <w:pPr>
      <w:pBdr>
        <w:top w:val="none" w:sz="0" w:space="0" w:color="auto"/>
      </w:pBdr>
      <w:spacing w:before="0"/>
      <w:jc w:val="both"/>
    </w:pPr>
    <w:rPr>
      <w:i/>
    </w:rPr>
  </w:style>
  <w:style w:type="paragraph" w:styleId="Textpoznpodarou">
    <w:name w:val="footnote text"/>
    <w:basedOn w:val="Normln"/>
    <w:link w:val="TextpoznpodarouChar"/>
    <w:semiHidden/>
    <w:rsid w:val="00981D35"/>
    <w:pPr>
      <w:spacing w:line="240" w:lineRule="auto"/>
      <w:jc w:val="left"/>
    </w:pPr>
    <w:rPr>
      <w:rFonts w:ascii="Times New Roman" w:eastAsia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81D35"/>
    <w:rPr>
      <w:rFonts w:ascii="Times New Roman" w:eastAsia="Times New Roman" w:hAnsi="Times New Roman"/>
      <w:lang w:eastAsia="en-US"/>
    </w:rPr>
  </w:style>
  <w:style w:type="character" w:styleId="Znakapoznpodarou">
    <w:name w:val="footnote reference"/>
    <w:semiHidden/>
    <w:rsid w:val="00981D35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770C3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707C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mir.kermiet@csu.gov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https://csu.gov.cz/ctvrtletni-odhady-hdp?pocet=10&amp;start=0&amp;podskupiny=051&amp;razeni=-datumVyda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n.benedikt@csu.gov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vecova8495\Downloads\Rychl&#225;%20informace%20CZ_2022-02-08.dotx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ABFS3\BARANNU\nu\QU\HDP\VYS\RI\2025\2Q\T30\Graf_HDP_T30_&#382;iv&#28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054117072575236E-2"/>
          <c:y val="0.14749411982623345"/>
          <c:w val="0.91732965970245384"/>
          <c:h val="0.66051334753981084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data!$D$5</c:f>
              <c:strCache>
                <c:ptCount val="1"/>
                <c:pt idx="0">
                  <c:v>Mezičtvrtletní reálná změna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cat>
            <c:multiLvlStrRef>
              <c:f>data!$B$87:$C$124</c:f>
              <c:multiLvlStrCache>
                <c:ptCount val="38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  <c:pt idx="36">
                    <c:v>1</c:v>
                  </c:pt>
                  <c:pt idx="37">
                    <c:v>2</c:v>
                  </c:pt>
                </c:lvl>
                <c:lvl>
                  <c:pt idx="0">
                    <c:v>2016</c:v>
                  </c:pt>
                  <c:pt idx="4">
                    <c:v>2017</c:v>
                  </c:pt>
                  <c:pt idx="8">
                    <c:v>2018</c:v>
                  </c:pt>
                  <c:pt idx="12">
                    <c:v>2019</c:v>
                  </c:pt>
                  <c:pt idx="16">
                    <c:v>2020</c:v>
                  </c:pt>
                  <c:pt idx="20">
                    <c:v>2021</c:v>
                  </c:pt>
                  <c:pt idx="24">
                    <c:v>2022</c:v>
                  </c:pt>
                  <c:pt idx="28">
                    <c:v>2023</c:v>
                  </c:pt>
                  <c:pt idx="32">
                    <c:v>2024</c:v>
                  </c:pt>
                  <c:pt idx="36">
                    <c:v>2025</c:v>
                  </c:pt>
                </c:lvl>
              </c:multiLvlStrCache>
            </c:multiLvlStrRef>
          </c:cat>
          <c:val>
            <c:numRef>
              <c:f>data!$D$87:$D$124</c:f>
              <c:numCache>
                <c:formatCode>#\ ##0.0</c:formatCode>
                <c:ptCount val="38"/>
                <c:pt idx="0">
                  <c:v>0.323887935398389</c:v>
                </c:pt>
                <c:pt idx="1">
                  <c:v>0.25797335657264853</c:v>
                </c:pt>
                <c:pt idx="2">
                  <c:v>0.95438303934160729</c:v>
                </c:pt>
                <c:pt idx="3">
                  <c:v>0.88391933880760121</c:v>
                </c:pt>
                <c:pt idx="4">
                  <c:v>1.6254882860084763</c:v>
                </c:pt>
                <c:pt idx="5">
                  <c:v>2.4701464718849877</c:v>
                </c:pt>
                <c:pt idx="6">
                  <c:v>0.78605023477234681</c:v>
                </c:pt>
                <c:pt idx="7">
                  <c:v>0.67638156477120503</c:v>
                </c:pt>
                <c:pt idx="8">
                  <c:v>0.46501961112907964</c:v>
                </c:pt>
                <c:pt idx="9">
                  <c:v>0.30930010733598579</c:v>
                </c:pt>
                <c:pt idx="10">
                  <c:v>0.65982659003125832</c:v>
                </c:pt>
                <c:pt idx="11">
                  <c:v>1.0198852909976779</c:v>
                </c:pt>
                <c:pt idx="12">
                  <c:v>1.4171372186989117</c:v>
                </c:pt>
                <c:pt idx="13">
                  <c:v>0.49728350351590223</c:v>
                </c:pt>
                <c:pt idx="14">
                  <c:v>0.7009754209213952</c:v>
                </c:pt>
                <c:pt idx="15">
                  <c:v>0.61000635306156425</c:v>
                </c:pt>
                <c:pt idx="16">
                  <c:v>-3.2943412602672453</c:v>
                </c:pt>
                <c:pt idx="17">
                  <c:v>-8.7133959463388635</c:v>
                </c:pt>
                <c:pt idx="18">
                  <c:v>7.3327293273359544</c:v>
                </c:pt>
                <c:pt idx="19">
                  <c:v>0.76850445129137768</c:v>
                </c:pt>
                <c:pt idx="20">
                  <c:v>2.0267802636908527E-4</c:v>
                </c:pt>
                <c:pt idx="21">
                  <c:v>1.4533402357052267</c:v>
                </c:pt>
                <c:pt idx="22">
                  <c:v>1.724459823175593</c:v>
                </c:pt>
                <c:pt idx="23">
                  <c:v>0.69846851601238313</c:v>
                </c:pt>
                <c:pt idx="24">
                  <c:v>0.89048627675430225</c:v>
                </c:pt>
                <c:pt idx="25">
                  <c:v>0.30254979774397839</c:v>
                </c:pt>
                <c:pt idx="26">
                  <c:v>0.12426515979501573</c:v>
                </c:pt>
                <c:pt idx="27">
                  <c:v>-0.36494890653776224</c:v>
                </c:pt>
                <c:pt idx="28">
                  <c:v>0.20168060866517123</c:v>
                </c:pt>
                <c:pt idx="29">
                  <c:v>0.25781995251938383</c:v>
                </c:pt>
                <c:pt idx="30">
                  <c:v>-0.37493098735598096</c:v>
                </c:pt>
                <c:pt idx="31">
                  <c:v>0.4026314414784764</c:v>
                </c:pt>
                <c:pt idx="32">
                  <c:v>0.19747452212368444</c:v>
                </c:pt>
                <c:pt idx="33">
                  <c:v>0.29919207226758715</c:v>
                </c:pt>
                <c:pt idx="34">
                  <c:v>0.59748002398004019</c:v>
                </c:pt>
                <c:pt idx="35">
                  <c:v>0.81912159343178814</c:v>
                </c:pt>
                <c:pt idx="36">
                  <c:v>0.70103777251834742</c:v>
                </c:pt>
                <c:pt idx="37">
                  <c:v>0.22979031755596679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B0-425B-9F9A-1095908EE77C}"/>
            </c:ext>
          </c:extLst>
        </c:ser>
        <c:ser>
          <c:idx val="0"/>
          <c:order val="1"/>
          <c:tx>
            <c:strRef>
              <c:f>data!$G$5</c:f>
              <c:strCache>
                <c:ptCount val="1"/>
                <c:pt idx="0">
                  <c:v>Meziroční reálná změna</c:v>
                </c:pt>
              </c:strCache>
            </c:strRef>
          </c:tx>
          <c:spPr>
            <a:solidFill>
              <a:srgbClr val="BD1B21"/>
            </a:solidFill>
            <a:ln>
              <a:noFill/>
            </a:ln>
          </c:spPr>
          <c:invertIfNegative val="0"/>
          <c:cat>
            <c:multiLvlStrRef>
              <c:f>data!$B$87:$C$124</c:f>
              <c:multiLvlStrCache>
                <c:ptCount val="38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  <c:pt idx="36">
                    <c:v>1</c:v>
                  </c:pt>
                  <c:pt idx="37">
                    <c:v>2</c:v>
                  </c:pt>
                </c:lvl>
                <c:lvl>
                  <c:pt idx="0">
                    <c:v>2016</c:v>
                  </c:pt>
                  <c:pt idx="4">
                    <c:v>2017</c:v>
                  </c:pt>
                  <c:pt idx="8">
                    <c:v>2018</c:v>
                  </c:pt>
                  <c:pt idx="12">
                    <c:v>2019</c:v>
                  </c:pt>
                  <c:pt idx="16">
                    <c:v>2020</c:v>
                  </c:pt>
                  <c:pt idx="20">
                    <c:v>2021</c:v>
                  </c:pt>
                  <c:pt idx="24">
                    <c:v>2022</c:v>
                  </c:pt>
                  <c:pt idx="28">
                    <c:v>2023</c:v>
                  </c:pt>
                  <c:pt idx="32">
                    <c:v>2024</c:v>
                  </c:pt>
                  <c:pt idx="36">
                    <c:v>2025</c:v>
                  </c:pt>
                </c:lvl>
              </c:multiLvlStrCache>
            </c:multiLvlStrRef>
          </c:cat>
          <c:val>
            <c:numRef>
              <c:f>data!$G$87:$G$124</c:f>
              <c:numCache>
                <c:formatCode>#\ ##0.0</c:formatCode>
                <c:ptCount val="38"/>
                <c:pt idx="0">
                  <c:v>3.2318794276740022</c:v>
                </c:pt>
                <c:pt idx="1">
                  <c:v>2.2605821734867675</c:v>
                </c:pt>
                <c:pt idx="2">
                  <c:v>2.0607922515037558</c:v>
                </c:pt>
                <c:pt idx="3">
                  <c:v>2.4401960769202162</c:v>
                </c:pt>
                <c:pt idx="4">
                  <c:v>3.7692533719897909</c:v>
                </c:pt>
                <c:pt idx="5">
                  <c:v>6.0589022130761947</c:v>
                </c:pt>
                <c:pt idx="6">
                  <c:v>5.88205805909719</c:v>
                </c:pt>
                <c:pt idx="7">
                  <c:v>5.6642381450415371</c:v>
                </c:pt>
                <c:pt idx="8">
                  <c:v>4.4576506984236062</c:v>
                </c:pt>
                <c:pt idx="9">
                  <c:v>2.2548926998005925</c:v>
                </c:pt>
                <c:pt idx="10">
                  <c:v>2.1268294884820591</c:v>
                </c:pt>
                <c:pt idx="11">
                  <c:v>2.475282084132985</c:v>
                </c:pt>
                <c:pt idx="12">
                  <c:v>3.4464511615954336</c:v>
                </c:pt>
                <c:pt idx="13">
                  <c:v>3.6403136966874712</c:v>
                </c:pt>
                <c:pt idx="14">
                  <c:v>3.6826809238740879</c:v>
                </c:pt>
                <c:pt idx="15">
                  <c:v>3.2619979363906992</c:v>
                </c:pt>
                <c:pt idx="16">
                  <c:v>-1.5351861916054617</c:v>
                </c:pt>
                <c:pt idx="17">
                  <c:v>-10.559587702388853</c:v>
                </c:pt>
                <c:pt idx="18">
                  <c:v>-4.6694083752601188</c:v>
                </c:pt>
                <c:pt idx="19">
                  <c:v>-4.5192273145153194</c:v>
                </c:pt>
                <c:pt idx="20">
                  <c:v>-1.2664124847114806</c:v>
                </c:pt>
                <c:pt idx="21">
                  <c:v>9.7297062446547216</c:v>
                </c:pt>
                <c:pt idx="22">
                  <c:v>3.9961916951869227</c:v>
                </c:pt>
                <c:pt idx="23">
                  <c:v>3.9239124588274592</c:v>
                </c:pt>
                <c:pt idx="24">
                  <c:v>4.8491281313959291</c:v>
                </c:pt>
                <c:pt idx="25">
                  <c:v>3.6598190972935782</c:v>
                </c:pt>
                <c:pt idx="26">
                  <c:v>2.0291799214766684</c:v>
                </c:pt>
                <c:pt idx="27">
                  <c:v>0.95170963681438536</c:v>
                </c:pt>
                <c:pt idx="28">
                  <c:v>0.26248598087539676</c:v>
                </c:pt>
                <c:pt idx="29">
                  <c:v>0.21777400207922426</c:v>
                </c:pt>
                <c:pt idx="30">
                  <c:v>-0.2818883582691285</c:v>
                </c:pt>
                <c:pt idx="31">
                  <c:v>0.48633188147042006</c:v>
                </c:pt>
                <c:pt idx="32">
                  <c:v>0.48211384634807075</c:v>
                </c:pt>
                <c:pt idx="33">
                  <c:v>0.52357852260544746</c:v>
                </c:pt>
                <c:pt idx="34">
                  <c:v>1.5047596211287271</c:v>
                </c:pt>
                <c:pt idx="35">
                  <c:v>1.9258216207161354</c:v>
                </c:pt>
                <c:pt idx="36">
                  <c:v>2.4380710389700937</c:v>
                </c:pt>
                <c:pt idx="37">
                  <c:v>2.3671892927417133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AB0-425B-9F9A-1095908EE7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6"/>
        <c:axId val="200844800"/>
        <c:axId val="44289984"/>
      </c:barChart>
      <c:catAx>
        <c:axId val="20084480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 algn="ctr">
                  <a:defRPr/>
                </a:pPr>
                <a:r>
                  <a:rPr lang="cs-CZ" sz="600" b="1" i="0"/>
                  <a:t>Čtvrtletí</a:t>
                </a:r>
              </a:p>
            </c:rich>
          </c:tx>
          <c:layout>
            <c:manualLayout>
              <c:xMode val="edge"/>
              <c:yMode val="edge"/>
              <c:x val="0.47599321872045641"/>
              <c:y val="0.88230044181137623"/>
            </c:manualLayout>
          </c:layout>
          <c:overlay val="0"/>
        </c:title>
        <c:numFmt formatCode="General" sourceLinked="0"/>
        <c:majorTickMark val="out"/>
        <c:minorTickMark val="none"/>
        <c:tickLblPos val="low"/>
        <c:spPr>
          <a:ln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430" baseline="0"/>
            </a:pPr>
            <a:endParaRPr lang="cs-CZ"/>
          </a:p>
        </c:txPr>
        <c:crossAx val="44289984"/>
        <c:crossesAt val="0"/>
        <c:auto val="1"/>
        <c:lblAlgn val="ctr"/>
        <c:lblOffset val="100"/>
        <c:noMultiLvlLbl val="0"/>
      </c:catAx>
      <c:valAx>
        <c:axId val="44289984"/>
        <c:scaling>
          <c:orientation val="minMax"/>
          <c:max val="10"/>
          <c:min val="-12"/>
        </c:scaling>
        <c:delete val="0"/>
        <c:axPos val="l"/>
        <c:majorGridlines>
          <c:spPr>
            <a:ln>
              <a:solidFill>
                <a:schemeClr val="bg1">
                  <a:lumMod val="75000"/>
                </a:schemeClr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 sz="600" baseline="0"/>
                </a:pPr>
                <a:r>
                  <a:rPr lang="cs-CZ" sz="600" baseline="0"/>
                  <a:t>%</a:t>
                </a:r>
                <a:endParaRPr lang="cs-CZ" sz="600" b="0" i="1" baseline="0"/>
              </a:p>
            </c:rich>
          </c:tx>
          <c:layout>
            <c:manualLayout>
              <c:xMode val="edge"/>
              <c:yMode val="edge"/>
              <c:x val="1.800704635586178E-2"/>
              <c:y val="0.42288854967985046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430" baseline="0"/>
            </a:pPr>
            <a:endParaRPr lang="cs-CZ"/>
          </a:p>
        </c:txPr>
        <c:crossAx val="200844800"/>
        <c:crosses val="autoZero"/>
        <c:crossBetween val="between"/>
        <c:majorUnit val="2"/>
      </c:valAx>
      <c:spPr>
        <a:ln>
          <a:solidFill>
            <a:schemeClr val="bg1">
              <a:lumMod val="75000"/>
            </a:schemeClr>
          </a:solidFill>
        </a:ln>
      </c:spPr>
    </c:plotArea>
    <c:legend>
      <c:legendPos val="r"/>
      <c:legendEntry>
        <c:idx val="0"/>
        <c:txPr>
          <a:bodyPr/>
          <a:lstStyle/>
          <a:p>
            <a:pPr>
              <a:defRPr sz="600"/>
            </a:pPr>
            <a:endParaRPr lang="cs-CZ"/>
          </a:p>
        </c:txPr>
      </c:legendEntry>
      <c:legendEntry>
        <c:idx val="1"/>
        <c:txPr>
          <a:bodyPr/>
          <a:lstStyle/>
          <a:p>
            <a:pPr>
              <a:defRPr sz="600"/>
            </a:pPr>
            <a:endParaRPr lang="cs-CZ"/>
          </a:p>
        </c:txPr>
      </c:legendEntry>
      <c:layout>
        <c:manualLayout>
          <c:xMode val="edge"/>
          <c:yMode val="edge"/>
          <c:x val="1.0071260017624607E-2"/>
          <c:y val="0.91938196784902826"/>
          <c:w val="0.97560887856009215"/>
          <c:h val="4.1594148140311635E-2"/>
        </c:manualLayout>
      </c:layout>
      <c:overlay val="0"/>
      <c:spPr>
        <a:solidFill>
          <a:schemeClr val="bg1">
            <a:lumMod val="95000"/>
          </a:schemeClr>
        </a:solidFill>
      </c:spPr>
    </c:legend>
    <c:plotVisOnly val="1"/>
    <c:dispBlanksAs val="gap"/>
    <c:showDLblsOverMax val="0"/>
  </c:chart>
  <c:spPr>
    <a:ln w="6350">
      <a:solidFill>
        <a:schemeClr val="bg1">
          <a:lumMod val="50000"/>
        </a:schemeClr>
      </a:solidFill>
    </a:ln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0.01172</cdr:x>
      <cdr:y>0.01536</cdr:y>
    </cdr:from>
    <cdr:to>
      <cdr:x>0.98783</cdr:x>
      <cdr:y>0.12092</cdr:y>
    </cdr:to>
    <cdr:sp macro="" textlink="">
      <cdr:nvSpPr>
        <cdr:cNvPr id="3" name="TextovéPole 1"/>
        <cdr:cNvSpPr txBox="1"/>
      </cdr:nvSpPr>
      <cdr:spPr>
        <a:xfrm xmlns:a="http://schemas.openxmlformats.org/drawingml/2006/main">
          <a:off x="114300" y="76201"/>
          <a:ext cx="9522637" cy="523874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>
            <a:lumMod val="95000"/>
          </a:schemeClr>
        </a:solidFill>
      </cdr:spPr>
      <cdr:txBody>
        <a:bodyPr xmlns:a="http://schemas.openxmlformats.org/drawingml/2006/main" wrap="square" rtlCol="0" anchor="ctr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cs-CZ" sz="1000" b="1" i="0" baseline="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Hrubý domácí produkt</a:t>
          </a:r>
        </a:p>
        <a:p xmlns:a="http://schemas.openxmlformats.org/drawingml/2006/main"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cs-CZ" sz="1000" b="0" i="1" baseline="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mezičtvrtletní a meziroční reálná změna, sezónně očištěno</a:t>
          </a:r>
          <a:endParaRPr lang="cs-CZ" sz="1000" b="0" i="1" cap="none" baseline="0">
            <a:latin typeface="Arial" pitchFamily="34" charset="0"/>
            <a:ea typeface="+mn-ea"/>
            <a:cs typeface="Arial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c0c140c9d05ca1c47f4a405bdec1548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02bf72f01db06c9395d44c145d248dca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563BBB-B9D3-4760-B487-472F9C0100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A00A95-F8E7-4FAB-AEE3-45BB5053AF36}"/>
</file>

<file path=customXml/itemProps3.xml><?xml version="1.0" encoding="utf-8"?>
<ds:datastoreItem xmlns:ds="http://schemas.openxmlformats.org/officeDocument/2006/customXml" ds:itemID="{6C5B3632-9D07-42B9-9079-F42AE2D90233}"/>
</file>

<file path=customXml/itemProps4.xml><?xml version="1.0" encoding="utf-8"?>
<ds:datastoreItem xmlns:ds="http://schemas.openxmlformats.org/officeDocument/2006/customXml" ds:itemID="{374ED88C-A1B1-4C0D-BFF7-D68355F90D76}"/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135</TotalTime>
  <Pages>2</Pages>
  <Words>297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2048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svecova8495</dc:creator>
  <cp:lastModifiedBy>Benedikt Jan</cp:lastModifiedBy>
  <cp:revision>26</cp:revision>
  <dcterms:created xsi:type="dcterms:W3CDTF">2025-04-27T17:14:00Z</dcterms:created>
  <dcterms:modified xsi:type="dcterms:W3CDTF">2025-07-29T07:27:00Z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