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2" w:rsidRDefault="00C419C9" w:rsidP="00A90362">
      <w:pPr>
        <w:pStyle w:val="Datum"/>
      </w:pPr>
      <w:r>
        <w:t>13</w:t>
      </w:r>
      <w:r w:rsidR="00A90362">
        <w:t xml:space="preserve"> </w:t>
      </w:r>
      <w:r>
        <w:t>November</w:t>
      </w:r>
      <w:r w:rsidR="00A90362">
        <w:t xml:space="preserve"> 2015</w:t>
      </w:r>
    </w:p>
    <w:p w:rsidR="00A90362" w:rsidRDefault="00C419C9" w:rsidP="00A90362">
      <w:pPr>
        <w:pStyle w:val="Nzev"/>
      </w:pPr>
      <w:r>
        <w:t>GDP increased in Q3 by 4.3%, y-o-y</w:t>
      </w:r>
    </w:p>
    <w:p w:rsidR="00A90362" w:rsidRPr="008B3970" w:rsidRDefault="00A90362" w:rsidP="00A90362">
      <w:pPr>
        <w:pStyle w:val="Podtitulek"/>
        <w:rPr>
          <w:color w:val="BD1B21"/>
        </w:rPr>
      </w:pPr>
      <w:r>
        <w:t xml:space="preserve">GDP preliminary estimate – the </w:t>
      </w:r>
      <w:r w:rsidR="00C419C9">
        <w:t>third</w:t>
      </w:r>
      <w:r>
        <w:t xml:space="preserve"> quarter of 2015</w:t>
      </w:r>
    </w:p>
    <w:p w:rsidR="00A90362" w:rsidRDefault="00A90362" w:rsidP="00A90362">
      <w:pPr>
        <w:pStyle w:val="Perex"/>
      </w:pPr>
      <w:r>
        <w:t>According to the preliminary estimate, the gross domestic product increased in</w:t>
      </w:r>
      <w:r w:rsidR="00EA55FB">
        <w:t> </w:t>
      </w:r>
      <w:r>
        <w:t>the</w:t>
      </w:r>
      <w:r w:rsidR="00EA55FB">
        <w:t> </w:t>
      </w:r>
      <w:r>
        <w:t>Q</w:t>
      </w:r>
      <w:r w:rsidR="009F60DB">
        <w:t>3</w:t>
      </w:r>
      <w:r w:rsidR="00EA55FB">
        <w:t> </w:t>
      </w:r>
      <w:r>
        <w:t xml:space="preserve">2015 by </w:t>
      </w:r>
      <w:r w:rsidR="00DB69C0">
        <w:t>4</w:t>
      </w:r>
      <w:r>
        <w:t>.</w:t>
      </w:r>
      <w:r w:rsidR="009F60DB">
        <w:t>3</w:t>
      </w:r>
      <w:r>
        <w:t xml:space="preserve">%, </w:t>
      </w:r>
      <w:r w:rsidR="00DB69C0">
        <w:t>year-on-year; compared to the Q</w:t>
      </w:r>
      <w:r w:rsidR="009F60DB">
        <w:t>2</w:t>
      </w:r>
      <w:r>
        <w:t xml:space="preserve"> 201</w:t>
      </w:r>
      <w:r w:rsidR="00DB69C0">
        <w:t>5</w:t>
      </w:r>
      <w:r>
        <w:t xml:space="preserve"> it was </w:t>
      </w:r>
      <w:r w:rsidR="00DB69C0">
        <w:t>0</w:t>
      </w:r>
      <w:r>
        <w:t>.</w:t>
      </w:r>
      <w:r w:rsidR="009F60DB">
        <w:t>5</w:t>
      </w:r>
      <w:r>
        <w:t xml:space="preserve">% up. </w:t>
      </w:r>
    </w:p>
    <w:p w:rsidR="00A90362" w:rsidRPr="00A467E9" w:rsidRDefault="00A90362" w:rsidP="005E6D1A">
      <w:r>
        <w:t xml:space="preserve">In the </w:t>
      </w:r>
      <w:r w:rsidR="00556A29">
        <w:t>third</w:t>
      </w:r>
      <w:r w:rsidR="007B3E49">
        <w:t xml:space="preserve"> quarter</w:t>
      </w:r>
      <w:r>
        <w:t xml:space="preserve"> of 2015, </w:t>
      </w:r>
      <w:r w:rsidR="00A467E9">
        <w:t>significant growth of t</w:t>
      </w:r>
      <w:r>
        <w:t>he Czech economy</w:t>
      </w:r>
      <w:r w:rsidR="007B3E49">
        <w:t xml:space="preserve"> </w:t>
      </w:r>
      <w:r w:rsidR="00556A29">
        <w:t xml:space="preserve">continued. </w:t>
      </w:r>
      <w:r w:rsidR="005E6D1A">
        <w:t>According to </w:t>
      </w:r>
      <w:r>
        <w:t>the</w:t>
      </w:r>
      <w:r w:rsidRPr="00BC214A">
        <w:t xml:space="preserve"> </w:t>
      </w:r>
      <w:r>
        <w:t xml:space="preserve">preliminary estimate, the </w:t>
      </w:r>
      <w:r w:rsidRPr="00BC214A">
        <w:rPr>
          <w:b/>
          <w:bCs/>
        </w:rPr>
        <w:t xml:space="preserve">gross domestic product </w:t>
      </w:r>
      <w:r w:rsidRPr="00BC214A">
        <w:rPr>
          <w:bCs/>
        </w:rPr>
        <w:t>(GDP)</w:t>
      </w:r>
      <w:r w:rsidRPr="00BC214A">
        <w:t xml:space="preserve"> </w:t>
      </w:r>
      <w:r w:rsidRPr="00BC214A">
        <w:rPr>
          <w:rFonts w:cs="Arial"/>
          <w:bCs/>
          <w:szCs w:val="20"/>
        </w:rPr>
        <w:t>adjusted for price effects and seasonally adjusted</w:t>
      </w:r>
      <w:r w:rsidRPr="00BC214A">
        <w:rPr>
          <w:rStyle w:val="Znakapoznpodarou"/>
          <w:rFonts w:cs="Arial"/>
          <w:szCs w:val="20"/>
        </w:rPr>
        <w:t>/</w:t>
      </w:r>
      <w:r w:rsidRPr="00BC214A">
        <w:rPr>
          <w:rStyle w:val="Znakapoznpodarou"/>
          <w:rFonts w:cs="Arial"/>
          <w:bCs/>
          <w:szCs w:val="20"/>
        </w:rPr>
        <w:footnoteReference w:customMarkFollows="1" w:id="1"/>
        <w:t>*</w:t>
      </w:r>
      <w:r w:rsidRPr="00BC214A">
        <w:rPr>
          <w:rFonts w:cs="Arial"/>
          <w:bCs/>
          <w:szCs w:val="20"/>
        </w:rPr>
        <w:t xml:space="preserve"> </w:t>
      </w:r>
      <w:r>
        <w:rPr>
          <w:b/>
          <w:bCs/>
        </w:rPr>
        <w:t>increased in the Q</w:t>
      </w:r>
      <w:r w:rsidR="00A467E9">
        <w:rPr>
          <w:b/>
          <w:bCs/>
        </w:rPr>
        <w:t>3</w:t>
      </w:r>
      <w:r w:rsidR="007B3E49">
        <w:rPr>
          <w:b/>
          <w:bCs/>
        </w:rPr>
        <w:t xml:space="preserve"> 2015 by 4</w:t>
      </w:r>
      <w:r>
        <w:rPr>
          <w:b/>
          <w:bCs/>
        </w:rPr>
        <w:t>.</w:t>
      </w:r>
      <w:r w:rsidR="00A467E9">
        <w:rPr>
          <w:b/>
          <w:bCs/>
        </w:rPr>
        <w:t>3</w:t>
      </w:r>
      <w:r>
        <w:rPr>
          <w:b/>
          <w:bCs/>
        </w:rPr>
        <w:t xml:space="preserve">%, year-on-year; </w:t>
      </w:r>
      <w:r w:rsidR="005E6D1A">
        <w:rPr>
          <w:bCs/>
        </w:rPr>
        <w:t>compared to </w:t>
      </w:r>
      <w:r w:rsidRPr="005F033E">
        <w:rPr>
          <w:bCs/>
        </w:rPr>
        <w:t>the</w:t>
      </w:r>
      <w:r w:rsidR="005E6D1A">
        <w:rPr>
          <w:b/>
          <w:bCs/>
        </w:rPr>
        <w:t> </w:t>
      </w:r>
      <w:r>
        <w:rPr>
          <w:b/>
          <w:bCs/>
        </w:rPr>
        <w:t>Q</w:t>
      </w:r>
      <w:r w:rsidR="008C5CE5">
        <w:rPr>
          <w:b/>
          <w:bCs/>
        </w:rPr>
        <w:t>2</w:t>
      </w:r>
      <w:r w:rsidR="005E6D1A">
        <w:rPr>
          <w:b/>
          <w:bCs/>
        </w:rPr>
        <w:t> </w:t>
      </w:r>
      <w:r w:rsidR="007B3E49">
        <w:rPr>
          <w:b/>
          <w:bCs/>
        </w:rPr>
        <w:t>2015</w:t>
      </w:r>
      <w:r>
        <w:rPr>
          <w:b/>
          <w:bCs/>
        </w:rPr>
        <w:t xml:space="preserve"> it increased by </w:t>
      </w:r>
      <w:r w:rsidR="007B3E49">
        <w:rPr>
          <w:b/>
          <w:bCs/>
        </w:rPr>
        <w:t>0</w:t>
      </w:r>
      <w:r>
        <w:rPr>
          <w:b/>
          <w:bCs/>
        </w:rPr>
        <w:t>.</w:t>
      </w:r>
      <w:r w:rsidR="008C5CE5">
        <w:rPr>
          <w:b/>
          <w:bCs/>
        </w:rPr>
        <w:t>5</w:t>
      </w:r>
      <w:r>
        <w:rPr>
          <w:b/>
          <w:bCs/>
        </w:rPr>
        <w:t>%</w:t>
      </w:r>
      <w:r w:rsidRPr="008F56C6">
        <w:rPr>
          <w:bCs/>
        </w:rPr>
        <w:t>.</w:t>
      </w:r>
      <w:r>
        <w:rPr>
          <w:b/>
          <w:bCs/>
        </w:rPr>
        <w:t xml:space="preserve"> </w:t>
      </w:r>
    </w:p>
    <w:p w:rsidR="008F56C6" w:rsidRDefault="008F56C6" w:rsidP="00A90362">
      <w:pPr>
        <w:rPr>
          <w:b/>
          <w:bCs/>
        </w:rPr>
      </w:pPr>
    </w:p>
    <w:p w:rsidR="001A4AA5" w:rsidRDefault="008F56C6" w:rsidP="00A90362">
      <w:pPr>
        <w:rPr>
          <w:bCs/>
        </w:rPr>
      </w:pPr>
      <w:r>
        <w:rPr>
          <w:bCs/>
        </w:rPr>
        <w:t>The</w:t>
      </w:r>
      <w:r w:rsidR="001A4AA5">
        <w:rPr>
          <w:bCs/>
        </w:rPr>
        <w:t xml:space="preserve"> GDP</w:t>
      </w:r>
      <w:r>
        <w:rPr>
          <w:bCs/>
        </w:rPr>
        <w:t xml:space="preserve"> growth </w:t>
      </w:r>
      <w:r w:rsidR="001A4AA5">
        <w:rPr>
          <w:bCs/>
        </w:rPr>
        <w:t>was pulled especially by manufacturing</w:t>
      </w:r>
      <w:r w:rsidR="005E6D1A">
        <w:rPr>
          <w:bCs/>
        </w:rPr>
        <w:t>, with a marked contribution of </w:t>
      </w:r>
      <w:bookmarkStart w:id="0" w:name="_GoBack"/>
      <w:bookmarkEnd w:id="0"/>
      <w:r w:rsidR="001A4AA5">
        <w:rPr>
          <w:bCs/>
        </w:rPr>
        <w:t xml:space="preserve">construction and trade. On the expenditure side, it was an increasing investment activity, foreign demand, and consumption of households, which contributed to the GDP growth. </w:t>
      </w:r>
    </w:p>
    <w:p w:rsidR="00A90362" w:rsidRDefault="00A90362" w:rsidP="00A90362"/>
    <w:p w:rsidR="00A90362" w:rsidRPr="001443A7" w:rsidRDefault="00A90362" w:rsidP="00A90362">
      <w:pPr>
        <w:rPr>
          <w:rFonts w:cs="Arial"/>
          <w:szCs w:val="20"/>
        </w:rPr>
      </w:pPr>
      <w:r>
        <w:t>The</w:t>
      </w:r>
      <w:r w:rsidR="00EA131D">
        <w:t xml:space="preserve"> ongoing</w:t>
      </w:r>
      <w:r>
        <w:t xml:space="preserve"> </w:t>
      </w:r>
      <w:r w:rsidR="00EA131D">
        <w:t xml:space="preserve">economic growth was positively reflected also </w:t>
      </w:r>
      <w:r>
        <w:t xml:space="preserve">on the labour market. </w:t>
      </w:r>
      <w:r>
        <w:rPr>
          <w:b/>
        </w:rPr>
        <w:t xml:space="preserve">Employment </w:t>
      </w:r>
      <w:r>
        <w:t xml:space="preserve">in terms of national accounts </w:t>
      </w:r>
      <w:r w:rsidR="00D72CA3">
        <w:rPr>
          <w:b/>
        </w:rPr>
        <w:t>increased by 1.</w:t>
      </w:r>
      <w:r w:rsidR="00EA131D">
        <w:rPr>
          <w:b/>
        </w:rPr>
        <w:t>1</w:t>
      </w:r>
      <w:r>
        <w:rPr>
          <w:b/>
        </w:rPr>
        <w:t>%, y-o-y</w:t>
      </w:r>
      <w:r w:rsidRPr="00EA55FB">
        <w:t xml:space="preserve">, </w:t>
      </w:r>
      <w:r w:rsidR="005B7A47" w:rsidRPr="00EA55FB">
        <w:t xml:space="preserve">and </w:t>
      </w:r>
      <w:r w:rsidR="00EA131D">
        <w:t xml:space="preserve">remained </w:t>
      </w:r>
      <w:r w:rsidR="00EA131D" w:rsidRPr="001443A7">
        <w:t>unchanged</w:t>
      </w:r>
      <w:r w:rsidRPr="001443A7">
        <w:t xml:space="preserve"> in the q-o-q comparison. </w:t>
      </w:r>
    </w:p>
    <w:p w:rsidR="00A90362" w:rsidRPr="002723CC" w:rsidRDefault="00A90362" w:rsidP="00A90362">
      <w:pPr>
        <w:pStyle w:val="Poznmky"/>
        <w:tabs>
          <w:tab w:val="left" w:pos="284"/>
        </w:tabs>
        <w:ind w:left="3600" w:hanging="3600"/>
        <w:rPr>
          <w:i/>
          <w:lang w:val="en-GB"/>
        </w:rPr>
      </w:pPr>
      <w:r>
        <w:rPr>
          <w:i/>
          <w:lang w:val="en-GB"/>
        </w:rPr>
        <w:t>Responsible head at the CZSO</w:t>
      </w:r>
      <w:r w:rsidRPr="002723CC">
        <w:rPr>
          <w:i/>
          <w:lang w:val="en-GB"/>
        </w:rPr>
        <w:t>:</w:t>
      </w:r>
      <w:r w:rsidRPr="002723CC">
        <w:rPr>
          <w:i/>
          <w:lang w:val="en-GB"/>
        </w:rPr>
        <w:tab/>
      </w:r>
      <w:r>
        <w:rPr>
          <w:i/>
          <w:lang w:val="en-GB"/>
        </w:rPr>
        <w:t>Vladimír Kermiet</w:t>
      </w:r>
      <w:r w:rsidRPr="002723CC">
        <w:rPr>
          <w:i/>
          <w:lang w:val="en-GB"/>
        </w:rPr>
        <w:t xml:space="preserve">, Director of the National Accounts </w:t>
      </w:r>
      <w:r>
        <w:rPr>
          <w:i/>
          <w:lang w:val="en-GB"/>
        </w:rPr>
        <w:t>D</w:t>
      </w:r>
      <w:r w:rsidRPr="002723CC">
        <w:rPr>
          <w:i/>
          <w:lang w:val="en-GB"/>
        </w:rPr>
        <w:t>epartment, phone number: (+420) 274 05</w:t>
      </w:r>
      <w:r>
        <w:rPr>
          <w:i/>
          <w:lang w:val="en-GB"/>
        </w:rPr>
        <w:t>4</w:t>
      </w:r>
      <w:r w:rsidRPr="002723CC">
        <w:rPr>
          <w:i/>
          <w:lang w:val="en-GB"/>
        </w:rPr>
        <w:t> </w:t>
      </w:r>
      <w:r>
        <w:rPr>
          <w:i/>
          <w:lang w:val="en-GB"/>
        </w:rPr>
        <w:t>247</w:t>
      </w:r>
      <w:r w:rsidRPr="002723CC">
        <w:rPr>
          <w:i/>
          <w:lang w:val="en-GB"/>
        </w:rPr>
        <w:t xml:space="preserve">, </w:t>
      </w:r>
    </w:p>
    <w:p w:rsidR="00A90362" w:rsidRDefault="00A90362" w:rsidP="00A90362">
      <w:pPr>
        <w:tabs>
          <w:tab w:val="left" w:pos="3544"/>
        </w:tabs>
        <w:ind w:left="3540" w:hanging="3540"/>
      </w:pPr>
      <w:r w:rsidRPr="002723C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723CC">
        <w:rPr>
          <w:i/>
          <w:sz w:val="18"/>
          <w:szCs w:val="18"/>
        </w:rPr>
        <w:t xml:space="preserve">e-mail: </w:t>
      </w:r>
      <w:hyperlink r:id="rId8" w:history="1">
        <w:r w:rsidRPr="00F666A6">
          <w:rPr>
            <w:rStyle w:val="Hypertextovodkaz"/>
            <w:i/>
            <w:sz w:val="18"/>
            <w:szCs w:val="18"/>
          </w:rPr>
          <w:t>vladimir.kermiet@czso.cz</w:t>
        </w:r>
      </w:hyperlink>
    </w:p>
    <w:p w:rsidR="00A90362" w:rsidRDefault="00A90362" w:rsidP="00A90362">
      <w:pPr>
        <w:pStyle w:val="Poznamkytexty"/>
        <w:ind w:left="3600" w:hanging="3600"/>
        <w:rPr>
          <w:lang w:val="en-GB"/>
        </w:rPr>
      </w:pPr>
      <w:r>
        <w:rPr>
          <w:lang w:val="en-GB"/>
        </w:rPr>
        <w:t>Contact person:</w:t>
      </w:r>
      <w:r>
        <w:rPr>
          <w:lang w:val="en-GB"/>
        </w:rPr>
        <w:tab/>
        <w:t xml:space="preserve">Tereza Košťáková, phone number: (+420) 274 052 750, </w:t>
      </w:r>
    </w:p>
    <w:p w:rsidR="00A90362" w:rsidRDefault="00A90362" w:rsidP="00A90362">
      <w:pPr>
        <w:pStyle w:val="Poznamkytexty"/>
        <w:ind w:left="3600"/>
        <w:rPr>
          <w:lang w:val="en-GB"/>
        </w:rPr>
      </w:pPr>
      <w:r>
        <w:rPr>
          <w:lang w:val="en-GB"/>
        </w:rPr>
        <w:t xml:space="preserve">e-mail: </w:t>
      </w:r>
      <w:hyperlink r:id="rId9" w:history="1">
        <w:r w:rsidR="00984C8E" w:rsidRPr="00533FF2">
          <w:rPr>
            <w:rStyle w:val="Hypertextovodkaz"/>
            <w:lang w:val="en-GB"/>
          </w:rPr>
          <w:t>tereza.kostakova@czso.cz</w:t>
        </w:r>
      </w:hyperlink>
      <w:r w:rsidR="00984C8E">
        <w:rPr>
          <w:lang w:val="en-GB"/>
        </w:rPr>
        <w:t xml:space="preserve"> </w:t>
      </w:r>
    </w:p>
    <w:p w:rsidR="00A90362" w:rsidRPr="002723CC" w:rsidRDefault="00A90362" w:rsidP="00A90362">
      <w:pPr>
        <w:pStyle w:val="Poznamkytexty"/>
        <w:ind w:left="3600" w:hanging="3600"/>
        <w:rPr>
          <w:lang w:val="en-GB"/>
        </w:rPr>
      </w:pPr>
      <w:r w:rsidRPr="002723CC">
        <w:rPr>
          <w:lang w:val="en-GB"/>
        </w:rPr>
        <w:t>Used data sources updated as at:</w:t>
      </w:r>
      <w:r w:rsidRPr="002723CC">
        <w:rPr>
          <w:lang w:val="en-GB"/>
        </w:rPr>
        <w:tab/>
      </w:r>
      <w:r w:rsidR="00CB030A">
        <w:rPr>
          <w:lang w:val="en-GB"/>
        </w:rPr>
        <w:t>1</w:t>
      </w:r>
      <w:r w:rsidR="001F3981">
        <w:rPr>
          <w:lang w:val="en-GB"/>
        </w:rPr>
        <w:t>0</w:t>
      </w:r>
      <w:r>
        <w:rPr>
          <w:lang w:val="en-GB"/>
        </w:rPr>
        <w:t xml:space="preserve"> </w:t>
      </w:r>
      <w:r w:rsidR="001F3981">
        <w:rPr>
          <w:lang w:val="en-GB"/>
        </w:rPr>
        <w:t>November</w:t>
      </w:r>
      <w:r w:rsidRPr="002723CC">
        <w:rPr>
          <w:lang w:val="en-GB"/>
        </w:rPr>
        <w:t xml:space="preserve"> 201</w:t>
      </w:r>
      <w:r>
        <w:rPr>
          <w:lang w:val="en-GB"/>
        </w:rPr>
        <w:t>5</w:t>
      </w:r>
    </w:p>
    <w:p w:rsidR="00A90362" w:rsidRPr="002723CC" w:rsidRDefault="00A90362" w:rsidP="00A90362">
      <w:pPr>
        <w:pStyle w:val="Poznamkytexty"/>
        <w:ind w:left="3600" w:hanging="3600"/>
        <w:rPr>
          <w:lang w:val="en-GB"/>
        </w:rPr>
      </w:pPr>
      <w:r w:rsidRPr="002723CC">
        <w:rPr>
          <w:lang w:val="en-GB"/>
        </w:rPr>
        <w:t>Related CZSO web page:</w:t>
      </w:r>
      <w:r w:rsidRPr="002723CC">
        <w:rPr>
          <w:lang w:val="en-GB"/>
        </w:rPr>
        <w:tab/>
      </w:r>
      <w:hyperlink r:id="rId10" w:history="1">
        <w:r w:rsidR="00984C8E" w:rsidRPr="00533FF2">
          <w:rPr>
            <w:rStyle w:val="Hypertextovodkaz"/>
          </w:rPr>
          <w:t>https://www.czso.cz/csu/czso/quarterly-national-accounts-gdp-resources-and-uses-and-gdp-preliminary-estimate</w:t>
        </w:r>
      </w:hyperlink>
      <w:r w:rsidR="00984C8E">
        <w:rPr>
          <w:color w:val="auto"/>
        </w:rPr>
        <w:t xml:space="preserve"> </w:t>
      </w:r>
    </w:p>
    <w:p w:rsidR="00A90362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2723CC">
        <w:rPr>
          <w:i/>
          <w:sz w:val="18"/>
          <w:szCs w:val="18"/>
        </w:rPr>
        <w:t>Next News Release will be published on:</w:t>
      </w:r>
      <w:r w:rsidRPr="002723C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2</w:t>
      </w:r>
      <w:r w:rsidR="001F3981">
        <w:rPr>
          <w:i/>
          <w:sz w:val="18"/>
          <w:szCs w:val="18"/>
        </w:rPr>
        <w:t>7</w:t>
      </w:r>
      <w:r>
        <w:rPr>
          <w:i/>
          <w:sz w:val="18"/>
          <w:szCs w:val="18"/>
        </w:rPr>
        <w:t xml:space="preserve"> </w:t>
      </w:r>
      <w:r w:rsidR="001F3981">
        <w:rPr>
          <w:i/>
          <w:sz w:val="18"/>
          <w:szCs w:val="18"/>
        </w:rPr>
        <w:t>November</w:t>
      </w:r>
      <w:r>
        <w:rPr>
          <w:i/>
          <w:sz w:val="18"/>
          <w:szCs w:val="18"/>
        </w:rPr>
        <w:t xml:space="preserve"> 2015</w:t>
      </w:r>
      <w:r w:rsidRPr="002723CC">
        <w:rPr>
          <w:i/>
          <w:sz w:val="18"/>
          <w:szCs w:val="18"/>
        </w:rPr>
        <w:t xml:space="preserve"> </w:t>
      </w:r>
    </w:p>
    <w:p w:rsidR="00A90362" w:rsidRPr="002723CC" w:rsidRDefault="00A90362" w:rsidP="00A90362">
      <w:pPr>
        <w:tabs>
          <w:tab w:val="left" w:pos="3544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723CC">
        <w:rPr>
          <w:i/>
          <w:sz w:val="18"/>
          <w:szCs w:val="18"/>
        </w:rPr>
        <w:t>(GDP resources and uses for the Q</w:t>
      </w:r>
      <w:r w:rsidR="001F3981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</w:t>
      </w:r>
      <w:r w:rsidRPr="002723CC">
        <w:rPr>
          <w:i/>
          <w:sz w:val="18"/>
          <w:szCs w:val="18"/>
        </w:rPr>
        <w:t>201</w:t>
      </w:r>
      <w:r>
        <w:rPr>
          <w:i/>
          <w:sz w:val="18"/>
          <w:szCs w:val="18"/>
        </w:rPr>
        <w:t>5</w:t>
      </w:r>
      <w:r w:rsidRPr="002723CC">
        <w:rPr>
          <w:i/>
          <w:sz w:val="18"/>
          <w:szCs w:val="18"/>
        </w:rPr>
        <w:t>)</w:t>
      </w:r>
    </w:p>
    <w:p w:rsidR="00D209A7" w:rsidRPr="00A90362" w:rsidRDefault="00D209A7" w:rsidP="00A90362"/>
    <w:sectPr w:rsidR="00D209A7" w:rsidRPr="00A9036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02" w:rsidRDefault="00C46302" w:rsidP="00BA6370">
      <w:r>
        <w:separator/>
      </w:r>
    </w:p>
  </w:endnote>
  <w:endnote w:type="continuationSeparator" w:id="0">
    <w:p w:rsidR="00C46302" w:rsidRDefault="00C4630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E6D1A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75D1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75D1C" w:rsidRPr="007E75DE">
                  <w:rPr>
                    <w:rFonts w:cs="Arial"/>
                    <w:szCs w:val="15"/>
                  </w:rPr>
                  <w:fldChar w:fldCharType="separate"/>
                </w:r>
                <w:r w:rsidR="005E6D1A">
                  <w:rPr>
                    <w:rFonts w:cs="Arial"/>
                    <w:noProof/>
                    <w:szCs w:val="15"/>
                  </w:rPr>
                  <w:t>1</w:t>
                </w:r>
                <w:r w:rsidR="00C75D1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02" w:rsidRDefault="00C46302" w:rsidP="00BA6370">
      <w:r>
        <w:separator/>
      </w:r>
    </w:p>
  </w:footnote>
  <w:footnote w:type="continuationSeparator" w:id="0">
    <w:p w:rsidR="00C46302" w:rsidRDefault="00C46302" w:rsidP="00BA6370">
      <w:r>
        <w:continuationSeparator/>
      </w:r>
    </w:p>
  </w:footnote>
  <w:footnote w:id="1">
    <w:p w:rsidR="00A90362" w:rsidRDefault="00A90362" w:rsidP="00A90362">
      <w:pPr>
        <w:pStyle w:val="Textpoznpodarou"/>
      </w:pPr>
      <w:r w:rsidRPr="009560C5">
        <w:rPr>
          <w:rStyle w:val="Znakapoznpodarou"/>
          <w:rFonts w:eastAsia="Calibri"/>
          <w:sz w:val="18"/>
          <w:szCs w:val="18"/>
        </w:rPr>
        <w:t>*/</w:t>
      </w:r>
      <w:r w:rsidRPr="009560C5">
        <w:rPr>
          <w:sz w:val="18"/>
          <w:szCs w:val="18"/>
        </w:rPr>
        <w:t xml:space="preserve"> </w:t>
      </w:r>
      <w:r w:rsidRPr="004A4F98">
        <w:rPr>
          <w:rFonts w:ascii="Arial" w:hAnsi="Arial" w:cs="Arial"/>
          <w:i/>
          <w:sz w:val="18"/>
          <w:szCs w:val="18"/>
        </w:rPr>
        <w:t xml:space="preserve">Unless otherwise stated, all data presented in this </w:t>
      </w:r>
      <w:r>
        <w:rPr>
          <w:rFonts w:ascii="Arial" w:hAnsi="Arial" w:cs="Arial"/>
          <w:i/>
          <w:sz w:val="18"/>
          <w:szCs w:val="18"/>
        </w:rPr>
        <w:t>N</w:t>
      </w:r>
      <w:r w:rsidRPr="004A4F98">
        <w:rPr>
          <w:rFonts w:ascii="Arial" w:hAnsi="Arial" w:cs="Arial"/>
          <w:i/>
          <w:sz w:val="18"/>
          <w:szCs w:val="18"/>
        </w:rPr>
        <w:t xml:space="preserve">ews </w:t>
      </w:r>
      <w:r>
        <w:rPr>
          <w:rFonts w:ascii="Arial" w:hAnsi="Arial" w:cs="Arial"/>
          <w:i/>
          <w:sz w:val="18"/>
          <w:szCs w:val="18"/>
        </w:rPr>
        <w:t>R</w:t>
      </w:r>
      <w:r w:rsidRPr="004A4F98">
        <w:rPr>
          <w:rFonts w:ascii="Arial" w:hAnsi="Arial" w:cs="Arial"/>
          <w:i/>
          <w:sz w:val="18"/>
          <w:szCs w:val="18"/>
        </w:rPr>
        <w:t>elease are adjusted for price, seasonal</w:t>
      </w:r>
      <w:r>
        <w:rPr>
          <w:rFonts w:ascii="Arial" w:hAnsi="Arial" w:cs="Arial"/>
          <w:i/>
          <w:sz w:val="18"/>
          <w:szCs w:val="18"/>
        </w:rPr>
        <w:t>,</w:t>
      </w:r>
      <w:r w:rsidR="00CD6A8A">
        <w:rPr>
          <w:rFonts w:ascii="Arial" w:hAnsi="Arial" w:cs="Arial"/>
          <w:i/>
          <w:sz w:val="18"/>
          <w:szCs w:val="18"/>
        </w:rPr>
        <w:t xml:space="preserve"> and </w:t>
      </w:r>
      <w:r w:rsidRPr="004A4F98">
        <w:rPr>
          <w:rFonts w:ascii="Arial" w:hAnsi="Arial" w:cs="Arial"/>
          <w:i/>
          <w:sz w:val="18"/>
          <w:szCs w:val="18"/>
        </w:rPr>
        <w:t>calendar effects.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E6D1A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E9"/>
    <w:rsid w:val="00043BF4"/>
    <w:rsid w:val="000843A5"/>
    <w:rsid w:val="00091722"/>
    <w:rsid w:val="000B6F63"/>
    <w:rsid w:val="00116ED1"/>
    <w:rsid w:val="00123849"/>
    <w:rsid w:val="0013242C"/>
    <w:rsid w:val="001404AB"/>
    <w:rsid w:val="001443A7"/>
    <w:rsid w:val="001656CC"/>
    <w:rsid w:val="0017231D"/>
    <w:rsid w:val="00176E26"/>
    <w:rsid w:val="0018061F"/>
    <w:rsid w:val="001810DC"/>
    <w:rsid w:val="0019422E"/>
    <w:rsid w:val="001A4AA5"/>
    <w:rsid w:val="001B607F"/>
    <w:rsid w:val="001C71FD"/>
    <w:rsid w:val="001D369A"/>
    <w:rsid w:val="001D57E9"/>
    <w:rsid w:val="001F08B3"/>
    <w:rsid w:val="001F3981"/>
    <w:rsid w:val="002070FB"/>
    <w:rsid w:val="00213729"/>
    <w:rsid w:val="002406FA"/>
    <w:rsid w:val="00276264"/>
    <w:rsid w:val="00297900"/>
    <w:rsid w:val="002B2E47"/>
    <w:rsid w:val="002D37F5"/>
    <w:rsid w:val="003078F8"/>
    <w:rsid w:val="0032398D"/>
    <w:rsid w:val="003301A3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5244"/>
    <w:rsid w:val="00436D82"/>
    <w:rsid w:val="004436EE"/>
    <w:rsid w:val="0045547F"/>
    <w:rsid w:val="00460362"/>
    <w:rsid w:val="00475194"/>
    <w:rsid w:val="004920AD"/>
    <w:rsid w:val="004D05B3"/>
    <w:rsid w:val="004E479E"/>
    <w:rsid w:val="004F78E6"/>
    <w:rsid w:val="005047E7"/>
    <w:rsid w:val="00512D99"/>
    <w:rsid w:val="00531DBB"/>
    <w:rsid w:val="00556A29"/>
    <w:rsid w:val="00564213"/>
    <w:rsid w:val="005B7A47"/>
    <w:rsid w:val="005E6D1A"/>
    <w:rsid w:val="005F79FB"/>
    <w:rsid w:val="00602C03"/>
    <w:rsid w:val="00604406"/>
    <w:rsid w:val="00605F4A"/>
    <w:rsid w:val="00607822"/>
    <w:rsid w:val="006103AA"/>
    <w:rsid w:val="00613BBF"/>
    <w:rsid w:val="00622B80"/>
    <w:rsid w:val="0064139A"/>
    <w:rsid w:val="006831D5"/>
    <w:rsid w:val="006D5C60"/>
    <w:rsid w:val="006E024F"/>
    <w:rsid w:val="006E4E81"/>
    <w:rsid w:val="00707F7D"/>
    <w:rsid w:val="00717EC5"/>
    <w:rsid w:val="00755D8B"/>
    <w:rsid w:val="00763787"/>
    <w:rsid w:val="007A0CA5"/>
    <w:rsid w:val="007A57F2"/>
    <w:rsid w:val="007B1333"/>
    <w:rsid w:val="007B3E49"/>
    <w:rsid w:val="007F4AEB"/>
    <w:rsid w:val="007F75B2"/>
    <w:rsid w:val="008043C4"/>
    <w:rsid w:val="00831B1B"/>
    <w:rsid w:val="00855FB3"/>
    <w:rsid w:val="00861D0E"/>
    <w:rsid w:val="00867569"/>
    <w:rsid w:val="00885C0D"/>
    <w:rsid w:val="008A750A"/>
    <w:rsid w:val="008B3970"/>
    <w:rsid w:val="008B5AE1"/>
    <w:rsid w:val="008C384C"/>
    <w:rsid w:val="008C5CE5"/>
    <w:rsid w:val="008D0F11"/>
    <w:rsid w:val="008F56C6"/>
    <w:rsid w:val="008F73B4"/>
    <w:rsid w:val="009035E8"/>
    <w:rsid w:val="00971374"/>
    <w:rsid w:val="00984C8E"/>
    <w:rsid w:val="009A4A04"/>
    <w:rsid w:val="009B55B1"/>
    <w:rsid w:val="009E39C5"/>
    <w:rsid w:val="009F60DB"/>
    <w:rsid w:val="00A07BA7"/>
    <w:rsid w:val="00A4343D"/>
    <w:rsid w:val="00A467E9"/>
    <w:rsid w:val="00A502F1"/>
    <w:rsid w:val="00A70A83"/>
    <w:rsid w:val="00A81EB3"/>
    <w:rsid w:val="00A90362"/>
    <w:rsid w:val="00AB6196"/>
    <w:rsid w:val="00AC3140"/>
    <w:rsid w:val="00B00C1D"/>
    <w:rsid w:val="00B317C0"/>
    <w:rsid w:val="00B632CC"/>
    <w:rsid w:val="00BA12F1"/>
    <w:rsid w:val="00BA439F"/>
    <w:rsid w:val="00BA6370"/>
    <w:rsid w:val="00C269D4"/>
    <w:rsid w:val="00C4160D"/>
    <w:rsid w:val="00C419C9"/>
    <w:rsid w:val="00C46302"/>
    <w:rsid w:val="00C75D1C"/>
    <w:rsid w:val="00C8406E"/>
    <w:rsid w:val="00CB030A"/>
    <w:rsid w:val="00CB2709"/>
    <w:rsid w:val="00CB6F89"/>
    <w:rsid w:val="00CD6A8A"/>
    <w:rsid w:val="00CE228C"/>
    <w:rsid w:val="00CE71D9"/>
    <w:rsid w:val="00CF545B"/>
    <w:rsid w:val="00D15053"/>
    <w:rsid w:val="00D209A7"/>
    <w:rsid w:val="00D27D69"/>
    <w:rsid w:val="00D448C2"/>
    <w:rsid w:val="00D5692C"/>
    <w:rsid w:val="00D666C3"/>
    <w:rsid w:val="00D72CA3"/>
    <w:rsid w:val="00D811AB"/>
    <w:rsid w:val="00DB69C0"/>
    <w:rsid w:val="00DF47FE"/>
    <w:rsid w:val="00E0156A"/>
    <w:rsid w:val="00E26704"/>
    <w:rsid w:val="00E31980"/>
    <w:rsid w:val="00E6423C"/>
    <w:rsid w:val="00E71483"/>
    <w:rsid w:val="00E93830"/>
    <w:rsid w:val="00E93E0E"/>
    <w:rsid w:val="00EA131D"/>
    <w:rsid w:val="00EA55FB"/>
    <w:rsid w:val="00EB1A25"/>
    <w:rsid w:val="00EB1ED3"/>
    <w:rsid w:val="00EE70B7"/>
    <w:rsid w:val="00F314B7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CE16-A07A-4B2F-9B7A-6D99ED71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29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Svatošová</cp:lastModifiedBy>
  <cp:revision>11</cp:revision>
  <cp:lastPrinted>2015-11-12T08:53:00Z</cp:lastPrinted>
  <dcterms:created xsi:type="dcterms:W3CDTF">2015-11-12T08:13:00Z</dcterms:created>
  <dcterms:modified xsi:type="dcterms:W3CDTF">2015-11-12T09:32:00Z</dcterms:modified>
</cp:coreProperties>
</file>