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A6" w:rsidRPr="000533DD" w:rsidRDefault="004E5026" w:rsidP="00B957A6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B957A6" w:rsidRPr="000533DD">
        <w:rPr>
          <w:lang w:val="cs-CZ"/>
        </w:rPr>
        <w:t xml:space="preserve">. </w:t>
      </w:r>
      <w:r>
        <w:rPr>
          <w:lang w:val="cs-CZ"/>
        </w:rPr>
        <w:t>2</w:t>
      </w:r>
      <w:r w:rsidR="00B957A6" w:rsidRPr="000533DD">
        <w:rPr>
          <w:lang w:val="cs-CZ"/>
        </w:rPr>
        <w:t>. 202</w:t>
      </w:r>
      <w:r w:rsidR="00A920D8">
        <w:rPr>
          <w:lang w:val="cs-CZ"/>
        </w:rPr>
        <w:t>5</w:t>
      </w:r>
    </w:p>
    <w:p w:rsidR="00B957A6" w:rsidRPr="00A85EF5" w:rsidRDefault="000365C1" w:rsidP="00B957A6">
      <w:pPr>
        <w:pStyle w:val="Podtitulek"/>
        <w:spacing w:before="280" w:after="0" w:line="360" w:lineRule="exact"/>
      </w:pPr>
      <w:r w:rsidRPr="00C71709">
        <w:rPr>
          <w:color w:val="BD1B21"/>
          <w:sz w:val="32"/>
          <w:szCs w:val="32"/>
        </w:rPr>
        <w:t xml:space="preserve">Stavební produkce </w:t>
      </w:r>
      <w:r w:rsidR="00AA605C">
        <w:rPr>
          <w:color w:val="BD1B21"/>
          <w:sz w:val="32"/>
          <w:szCs w:val="32"/>
        </w:rPr>
        <w:t>vzrostla o 9,7 </w:t>
      </w:r>
      <w:r w:rsidR="00C71709">
        <w:rPr>
          <w:color w:val="BD1B21"/>
          <w:sz w:val="32"/>
          <w:szCs w:val="32"/>
        </w:rPr>
        <w:t>%</w:t>
      </w:r>
    </w:p>
    <w:p w:rsidR="00B957A6" w:rsidRPr="000533DD" w:rsidRDefault="00B957A6" w:rsidP="00B957A6">
      <w:pPr>
        <w:pStyle w:val="Nadpis2"/>
        <w:spacing w:before="80" w:after="280" w:line="320" w:lineRule="exact"/>
      </w:pPr>
      <w:r w:rsidRPr="00D337E2">
        <w:t>Stavebnictví –</w:t>
      </w:r>
      <w:r>
        <w:t xml:space="preserve"> </w:t>
      </w:r>
      <w:r w:rsidR="004E5026">
        <w:t>prosinec</w:t>
      </w:r>
      <w:r w:rsidRPr="00D337E2">
        <w:t xml:space="preserve"> 202</w:t>
      </w:r>
      <w:r>
        <w:t>4</w:t>
      </w:r>
    </w:p>
    <w:p w:rsidR="00B957A6" w:rsidRDefault="00B957A6" w:rsidP="00D318CD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4E5026" w:rsidRPr="00E40673">
        <w:rPr>
          <w:rFonts w:cs="Arial"/>
        </w:rPr>
        <w:t>prosinci</w:t>
      </w:r>
      <w:r w:rsidR="004E5026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meziročně </w:t>
      </w:r>
      <w:r w:rsidR="00F44CE2">
        <w:rPr>
          <w:rFonts w:cs="Arial"/>
        </w:rPr>
        <w:t xml:space="preserve">vzrostla </w:t>
      </w:r>
      <w:r w:rsidRPr="000533DD">
        <w:rPr>
          <w:rFonts w:cs="Arial"/>
        </w:rPr>
        <w:t>o</w:t>
      </w:r>
      <w:r w:rsidR="00C71709">
        <w:rPr>
          <w:rFonts w:cs="Arial"/>
        </w:rPr>
        <w:t xml:space="preserve"> 9,7</w:t>
      </w:r>
      <w:r w:rsidR="00CC430D">
        <w:rPr>
          <w:rFonts w:cs="Arial"/>
        </w:rPr>
        <w:t> </w:t>
      </w:r>
      <w:r w:rsidRPr="000533DD">
        <w:rPr>
          <w:rFonts w:cs="Arial"/>
        </w:rPr>
        <w:t>%</w:t>
      </w:r>
      <w:r>
        <w:rPr>
          <w:rFonts w:cs="Arial"/>
        </w:rPr>
        <w:t>, m</w:t>
      </w:r>
      <w:r w:rsidRPr="000533DD">
        <w:rPr>
          <w:rFonts w:cs="Arial"/>
        </w:rPr>
        <w:t xml:space="preserve">eziměsíčně byla </w:t>
      </w:r>
      <w:r w:rsidR="00ED5C67">
        <w:rPr>
          <w:rFonts w:cs="Arial"/>
        </w:rPr>
        <w:t>vyšší</w:t>
      </w:r>
      <w:r w:rsidR="00C71709">
        <w:rPr>
          <w:rFonts w:cs="Arial"/>
        </w:rPr>
        <w:t xml:space="preserve"> o 4,5</w:t>
      </w:r>
      <w:r>
        <w:rPr>
          <w:rFonts w:cs="Arial"/>
        </w:rPr>
        <w:t> %. Orientační hodnota vydaných stavebních</w:t>
      </w:r>
      <w:r w:rsidRPr="000533DD">
        <w:rPr>
          <w:rFonts w:cs="Arial"/>
        </w:rPr>
        <w:t xml:space="preserve"> povolení </w:t>
      </w:r>
      <w:r w:rsidR="00AC04BA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AC04BA">
        <w:rPr>
          <w:rFonts w:cs="Arial"/>
        </w:rPr>
        <w:t>6</w:t>
      </w:r>
      <w:r>
        <w:rPr>
          <w:rFonts w:cs="Arial"/>
        </w:rPr>
        <w:t>,</w:t>
      </w:r>
      <w:r w:rsidR="00AC04BA">
        <w:rPr>
          <w:rFonts w:cs="Arial"/>
        </w:rPr>
        <w:t>6</w:t>
      </w:r>
      <w:r w:rsidRPr="000533DD">
        <w:rPr>
          <w:rFonts w:cs="Arial"/>
        </w:rPr>
        <w:t xml:space="preserve"> %. Meziročně bylo zahájeno </w:t>
      </w:r>
      <w:r w:rsidRPr="000B0844">
        <w:rPr>
          <w:rFonts w:cs="Arial"/>
        </w:rPr>
        <w:t xml:space="preserve">o </w:t>
      </w:r>
      <w:r w:rsidR="00AC04BA">
        <w:rPr>
          <w:rFonts w:cs="Arial"/>
        </w:rPr>
        <w:t>5</w:t>
      </w:r>
      <w:r w:rsidRPr="000B0844">
        <w:rPr>
          <w:rFonts w:cs="Arial"/>
        </w:rPr>
        <w:t>,</w:t>
      </w:r>
      <w:r w:rsidR="00AC04BA">
        <w:rPr>
          <w:rFonts w:cs="Arial"/>
        </w:rPr>
        <w:t>7</w:t>
      </w:r>
      <w:r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AC04BA">
        <w:rPr>
          <w:rFonts w:cs="Arial"/>
        </w:rPr>
        <w:t>méně</w:t>
      </w:r>
      <w:r>
        <w:rPr>
          <w:rFonts w:cs="Arial"/>
        </w:rPr>
        <w:t>, d</w:t>
      </w:r>
      <w:r w:rsidRPr="000533DD">
        <w:rPr>
          <w:rFonts w:cs="Arial"/>
        </w:rPr>
        <w:t xml:space="preserve">okončeno bylo </w:t>
      </w:r>
      <w:r w:rsidRPr="005656E4">
        <w:rPr>
          <w:rFonts w:cs="Arial"/>
        </w:rPr>
        <w:t>o </w:t>
      </w:r>
      <w:r w:rsidR="00AC04BA">
        <w:rPr>
          <w:rFonts w:cs="Arial"/>
        </w:rPr>
        <w:t>60</w:t>
      </w:r>
      <w:r w:rsidRPr="005656E4">
        <w:rPr>
          <w:rFonts w:cs="Arial"/>
        </w:rPr>
        <w:t>,</w:t>
      </w:r>
      <w:r w:rsidR="00AC04BA">
        <w:rPr>
          <w:rFonts w:cs="Arial"/>
        </w:rPr>
        <w:t>1</w:t>
      </w:r>
      <w:r w:rsidRPr="009567CE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7679F5">
        <w:rPr>
          <w:rFonts w:cs="Arial"/>
        </w:rPr>
        <w:t>méně</w:t>
      </w:r>
      <w:r w:rsidRPr="000533DD">
        <w:rPr>
          <w:rFonts w:cs="Arial"/>
        </w:rPr>
        <w:t>.</w:t>
      </w:r>
    </w:p>
    <w:p w:rsidR="00B957A6" w:rsidRPr="00042771" w:rsidRDefault="00AA605C" w:rsidP="00D318CD">
      <w:pPr>
        <w:spacing w:before="120"/>
        <w:rPr>
          <w:rFonts w:cs="Arial"/>
          <w:szCs w:val="20"/>
        </w:rPr>
      </w:pPr>
      <w:r w:rsidRPr="004B47C1">
        <w:rPr>
          <w:rFonts w:cs="Arial"/>
          <w:i/>
          <w:szCs w:val="20"/>
        </w:rPr>
        <w:t xml:space="preserve">„V prosinci </w:t>
      </w:r>
      <w:r>
        <w:rPr>
          <w:rFonts w:cs="Arial"/>
          <w:i/>
          <w:szCs w:val="20"/>
        </w:rPr>
        <w:t>se stavebnictví dařilo, produkce vzrostla meziročně i meziměsíčně a v růstu bylo jak pozemní, tak inženýrské stavitelství</w:t>
      </w:r>
      <w:r w:rsidRPr="004B47C1">
        <w:rPr>
          <w:rFonts w:cs="Arial"/>
          <w:i/>
          <w:szCs w:val="20"/>
        </w:rPr>
        <w:t>,“</w:t>
      </w:r>
      <w:r w:rsidRPr="004B47C1">
        <w:rPr>
          <w:rFonts w:cs="Arial"/>
          <w:szCs w:val="20"/>
        </w:rPr>
        <w:t xml:space="preserve"> říká Radek Matějka, ředitel odboru statistiky zemědělství a lesnictví, průmyslu, stavebnictví a energetiky</w:t>
      </w:r>
      <w:r>
        <w:rPr>
          <w:rFonts w:cs="Arial"/>
          <w:szCs w:val="20"/>
        </w:rPr>
        <w:t xml:space="preserve"> ČSÚ</w:t>
      </w:r>
      <w:r w:rsidRPr="004B47C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B957A6" w:rsidRPr="000E37B1">
        <w:rPr>
          <w:rFonts w:cs="Arial"/>
          <w:szCs w:val="20"/>
        </w:rPr>
        <w:t xml:space="preserve">Stavební produkce byla </w:t>
      </w:r>
      <w:r w:rsidR="00621825" w:rsidRPr="00A63DAF">
        <w:rPr>
          <w:rFonts w:cs="Arial"/>
          <w:szCs w:val="20"/>
        </w:rPr>
        <w:t>v </w:t>
      </w:r>
      <w:r w:rsidR="00AD6286">
        <w:rPr>
          <w:rFonts w:cs="Arial"/>
          <w:szCs w:val="20"/>
        </w:rPr>
        <w:t>prosinci</w:t>
      </w:r>
      <w:r w:rsidR="00621825" w:rsidRPr="000E37B1">
        <w:rPr>
          <w:rFonts w:cs="Arial"/>
          <w:szCs w:val="20"/>
        </w:rPr>
        <w:t xml:space="preserve"> </w:t>
      </w:r>
      <w:r w:rsidR="00B957A6" w:rsidRPr="000E37B1">
        <w:rPr>
          <w:rFonts w:cs="Arial"/>
          <w:szCs w:val="20"/>
        </w:rPr>
        <w:t xml:space="preserve">meziměsíčně </w:t>
      </w:r>
      <w:r w:rsidR="00ED5C67">
        <w:rPr>
          <w:rFonts w:cs="Arial"/>
          <w:szCs w:val="20"/>
        </w:rPr>
        <w:t>vyšší</w:t>
      </w:r>
      <w:r w:rsidR="00B957A6" w:rsidRPr="000E37B1">
        <w:rPr>
          <w:rFonts w:cs="Arial"/>
          <w:szCs w:val="20"/>
        </w:rPr>
        <w:t xml:space="preserve"> o</w:t>
      </w:r>
      <w:r w:rsidR="009E11B0">
        <w:rPr>
          <w:rFonts w:cs="Arial"/>
          <w:szCs w:val="20"/>
        </w:rPr>
        <w:t xml:space="preserve"> 4,5 </w:t>
      </w:r>
      <w:r w:rsidR="00B957A6" w:rsidRPr="00042771">
        <w:rPr>
          <w:rFonts w:cs="Arial"/>
          <w:szCs w:val="20"/>
        </w:rPr>
        <w:t>%</w:t>
      </w:r>
      <w:r w:rsidR="00D67912">
        <w:rPr>
          <w:rFonts w:cs="Arial"/>
          <w:szCs w:val="20"/>
        </w:rPr>
        <w:t xml:space="preserve">. </w:t>
      </w:r>
      <w:r w:rsidR="00AD6286">
        <w:rPr>
          <w:rFonts w:cs="Arial"/>
          <w:szCs w:val="20"/>
        </w:rPr>
        <w:t xml:space="preserve">Meziročně </w:t>
      </w:r>
      <w:r w:rsidR="00C71709">
        <w:rPr>
          <w:rFonts w:cs="Arial"/>
          <w:szCs w:val="20"/>
        </w:rPr>
        <w:t>vzrostla</w:t>
      </w:r>
      <w:r w:rsidR="00AD6286">
        <w:rPr>
          <w:rFonts w:cs="Arial"/>
          <w:szCs w:val="20"/>
        </w:rPr>
        <w:t xml:space="preserve"> o </w:t>
      </w:r>
      <w:r w:rsidR="009E11B0">
        <w:rPr>
          <w:rFonts w:cs="Arial"/>
          <w:szCs w:val="20"/>
        </w:rPr>
        <w:t>9,7 </w:t>
      </w:r>
      <w:r w:rsidR="00C71709">
        <w:rPr>
          <w:rFonts w:cs="Arial"/>
          <w:szCs w:val="20"/>
        </w:rPr>
        <w:t>%.</w:t>
      </w:r>
      <w:r w:rsidR="00AD6286">
        <w:rPr>
          <w:rFonts w:cs="Arial"/>
          <w:szCs w:val="20"/>
        </w:rPr>
        <w:t xml:space="preserve"> </w:t>
      </w:r>
      <w:r w:rsidR="00FE3145" w:rsidRPr="00042771">
        <w:rPr>
          <w:rFonts w:cs="Arial"/>
          <w:szCs w:val="20"/>
        </w:rPr>
        <w:t xml:space="preserve">Produkce v pozemním stavitelství se </w:t>
      </w:r>
      <w:r w:rsidR="00C71709">
        <w:rPr>
          <w:rFonts w:cs="Arial"/>
          <w:szCs w:val="20"/>
        </w:rPr>
        <w:t>zvýšila</w:t>
      </w:r>
      <w:r w:rsidR="00FE3145" w:rsidRPr="00042771">
        <w:rPr>
          <w:rFonts w:cs="Arial"/>
          <w:szCs w:val="20"/>
        </w:rPr>
        <w:t xml:space="preserve"> o </w:t>
      </w:r>
      <w:r w:rsidR="00C71709">
        <w:rPr>
          <w:rFonts w:cs="Arial"/>
          <w:szCs w:val="20"/>
        </w:rPr>
        <w:t>7,8</w:t>
      </w:r>
      <w:r w:rsidR="00FE3145" w:rsidRPr="00042771">
        <w:rPr>
          <w:rFonts w:cs="Arial"/>
          <w:szCs w:val="20"/>
        </w:rPr>
        <w:t xml:space="preserve"> % a inženýrské stavitelství meziročně </w:t>
      </w:r>
      <w:r w:rsidR="00F44CE2">
        <w:rPr>
          <w:rFonts w:cs="Arial"/>
          <w:szCs w:val="20"/>
        </w:rPr>
        <w:t xml:space="preserve">vzrostlo </w:t>
      </w:r>
      <w:r w:rsidR="00FE3145" w:rsidRPr="00042771">
        <w:rPr>
          <w:rFonts w:cs="Arial"/>
          <w:szCs w:val="20"/>
        </w:rPr>
        <w:t>o </w:t>
      </w:r>
      <w:r w:rsidR="00C71709">
        <w:rPr>
          <w:rFonts w:cs="Arial"/>
          <w:szCs w:val="20"/>
        </w:rPr>
        <w:t>13,3</w:t>
      </w:r>
      <w:r w:rsidR="009E11B0">
        <w:rPr>
          <w:rFonts w:cs="Arial"/>
          <w:szCs w:val="20"/>
        </w:rPr>
        <w:t> </w:t>
      </w:r>
      <w:r w:rsidR="00FE3145" w:rsidRPr="00042771">
        <w:rPr>
          <w:rFonts w:cs="Arial"/>
          <w:szCs w:val="20"/>
        </w:rPr>
        <w:t>%.</w:t>
      </w:r>
      <w:r w:rsidR="002D57E5" w:rsidRPr="00042771">
        <w:rPr>
          <w:rFonts w:cs="Arial"/>
          <w:szCs w:val="20"/>
        </w:rPr>
        <w:t xml:space="preserve"> </w:t>
      </w:r>
    </w:p>
    <w:p w:rsidR="00B957A6" w:rsidRDefault="004A62FC" w:rsidP="00D318CD">
      <w:pPr>
        <w:spacing w:before="120"/>
        <w:rPr>
          <w:rFonts w:cs="Arial"/>
          <w:szCs w:val="20"/>
        </w:rPr>
      </w:pPr>
      <w:r w:rsidRPr="00042771">
        <w:rPr>
          <w:rFonts w:cs="Arial"/>
          <w:szCs w:val="20"/>
        </w:rPr>
        <w:t>Orientační hodnota staveb, na které bylo v </w:t>
      </w:r>
      <w:r w:rsidR="00AD6286">
        <w:rPr>
          <w:rFonts w:cs="Arial"/>
          <w:szCs w:val="20"/>
        </w:rPr>
        <w:t>prosinci</w:t>
      </w:r>
      <w:r w:rsidRPr="000E37B1">
        <w:rPr>
          <w:rFonts w:cs="Arial"/>
          <w:szCs w:val="20"/>
        </w:rPr>
        <w:t xml:space="preserve"> </w:t>
      </w:r>
      <w:r w:rsidRPr="00042771">
        <w:rPr>
          <w:rFonts w:cs="Arial"/>
          <w:szCs w:val="20"/>
        </w:rPr>
        <w:t xml:space="preserve">vydáno stavební povolení, dosáhla </w:t>
      </w:r>
      <w:r w:rsidR="00F705A3">
        <w:rPr>
          <w:rFonts w:cs="Arial"/>
          <w:szCs w:val="20"/>
        </w:rPr>
        <w:t>78</w:t>
      </w:r>
      <w:r w:rsidRPr="00042771">
        <w:rPr>
          <w:rFonts w:cs="Arial"/>
          <w:szCs w:val="20"/>
        </w:rPr>
        <w:t>,</w:t>
      </w:r>
      <w:r w:rsidR="00F705A3">
        <w:rPr>
          <w:rFonts w:cs="Arial"/>
          <w:szCs w:val="20"/>
        </w:rPr>
        <w:t>7</w:t>
      </w:r>
      <w:r w:rsidRPr="00042771">
        <w:rPr>
          <w:rFonts w:cs="Arial"/>
          <w:szCs w:val="20"/>
        </w:rPr>
        <w:t xml:space="preserve"> mld. Kč a meziročně </w:t>
      </w:r>
      <w:r w:rsidR="00F705A3">
        <w:rPr>
          <w:rFonts w:cs="Arial"/>
          <w:szCs w:val="20"/>
        </w:rPr>
        <w:t>klesla</w:t>
      </w:r>
      <w:r w:rsidRPr="00042771">
        <w:rPr>
          <w:rFonts w:cs="Arial"/>
          <w:i/>
          <w:szCs w:val="20"/>
        </w:rPr>
        <w:t xml:space="preserve"> </w:t>
      </w:r>
      <w:r w:rsidRPr="00042771">
        <w:rPr>
          <w:rFonts w:cs="Arial"/>
          <w:szCs w:val="20"/>
        </w:rPr>
        <w:t>o </w:t>
      </w:r>
      <w:r w:rsidR="00F705A3">
        <w:rPr>
          <w:rFonts w:cs="Arial"/>
          <w:szCs w:val="20"/>
        </w:rPr>
        <w:t>6</w:t>
      </w:r>
      <w:r w:rsidR="00072422">
        <w:rPr>
          <w:rFonts w:cs="Arial"/>
          <w:szCs w:val="20"/>
        </w:rPr>
        <w:t>,</w:t>
      </w:r>
      <w:r w:rsidR="00F705A3">
        <w:rPr>
          <w:rFonts w:cs="Arial"/>
          <w:szCs w:val="20"/>
        </w:rPr>
        <w:t>6</w:t>
      </w:r>
      <w:r w:rsidRPr="00042771">
        <w:rPr>
          <w:rFonts w:cs="Arial"/>
          <w:szCs w:val="20"/>
        </w:rPr>
        <w:t> %.</w:t>
      </w:r>
    </w:p>
    <w:p w:rsidR="00A13E58" w:rsidRDefault="00A13E58" w:rsidP="00D318CD">
      <w:pPr>
        <w:spacing w:before="120"/>
        <w:rPr>
          <w:rFonts w:cs="Arial"/>
          <w:szCs w:val="20"/>
        </w:rPr>
      </w:pPr>
      <w:r w:rsidRPr="00A63DAF">
        <w:rPr>
          <w:rFonts w:cs="Arial"/>
          <w:bCs/>
          <w:szCs w:val="20"/>
        </w:rPr>
        <w:t>V </w:t>
      </w:r>
      <w:r w:rsidR="00AD6286">
        <w:rPr>
          <w:rFonts w:cs="Arial"/>
          <w:szCs w:val="20"/>
        </w:rPr>
        <w:t>prosinci</w:t>
      </w:r>
      <w:r w:rsidRPr="00674DDA">
        <w:rPr>
          <w:rFonts w:cs="Arial"/>
          <w:bCs/>
          <w:szCs w:val="20"/>
        </w:rPr>
        <w:t xml:space="preserve"> byla zahájena výstavba </w:t>
      </w:r>
      <w:r w:rsidR="00F705A3" w:rsidRPr="00F705A3">
        <w:rPr>
          <w:rFonts w:cs="Arial"/>
          <w:szCs w:val="20"/>
        </w:rPr>
        <w:t>2</w:t>
      </w:r>
      <w:r w:rsidR="009E11B0">
        <w:rPr>
          <w:rFonts w:cs="Arial"/>
          <w:szCs w:val="20"/>
        </w:rPr>
        <w:t> </w:t>
      </w:r>
      <w:r w:rsidR="00F705A3" w:rsidRPr="00F705A3">
        <w:rPr>
          <w:rFonts w:cs="Arial"/>
          <w:szCs w:val="20"/>
        </w:rPr>
        <w:t>990</w:t>
      </w:r>
      <w:r w:rsidRPr="00674DDA">
        <w:rPr>
          <w:rFonts w:cs="Arial"/>
          <w:szCs w:val="20"/>
        </w:rPr>
        <w:t xml:space="preserve"> bytů</w:t>
      </w:r>
      <w:r w:rsidR="00C95C5C">
        <w:rPr>
          <w:rFonts w:cs="Arial"/>
          <w:szCs w:val="20"/>
        </w:rPr>
        <w:t xml:space="preserve"> a t</w:t>
      </w:r>
      <w:r w:rsidRPr="00674DDA">
        <w:rPr>
          <w:rFonts w:cs="Arial"/>
          <w:bCs/>
          <w:szCs w:val="20"/>
        </w:rPr>
        <w:t xml:space="preserve">ento počet </w:t>
      </w:r>
      <w:r>
        <w:rPr>
          <w:rFonts w:cs="Arial"/>
          <w:bCs/>
          <w:szCs w:val="20"/>
        </w:rPr>
        <w:t xml:space="preserve">meziročně </w:t>
      </w:r>
      <w:r w:rsidR="00F705A3">
        <w:rPr>
          <w:rFonts w:cs="Arial"/>
          <w:szCs w:val="20"/>
        </w:rPr>
        <w:t>klesl</w:t>
      </w:r>
      <w:r w:rsidRPr="00674DDA">
        <w:rPr>
          <w:rFonts w:cs="Arial"/>
          <w:szCs w:val="20"/>
        </w:rPr>
        <w:t xml:space="preserve"> o </w:t>
      </w:r>
      <w:r w:rsidR="00F705A3">
        <w:rPr>
          <w:rFonts w:cs="Arial"/>
          <w:szCs w:val="20"/>
        </w:rPr>
        <w:t>5</w:t>
      </w:r>
      <w:r w:rsidRPr="00674DDA">
        <w:rPr>
          <w:rFonts w:cs="Arial"/>
          <w:szCs w:val="20"/>
        </w:rPr>
        <w:t>,</w:t>
      </w:r>
      <w:r w:rsidR="00F705A3">
        <w:rPr>
          <w:rFonts w:cs="Arial"/>
          <w:szCs w:val="20"/>
        </w:rPr>
        <w:t>7</w:t>
      </w:r>
      <w:r w:rsidRPr="00674DDA">
        <w:rPr>
          <w:rFonts w:cs="Arial"/>
          <w:szCs w:val="20"/>
        </w:rPr>
        <w:t> </w:t>
      </w:r>
      <w:r w:rsidR="001D21FE">
        <w:rPr>
          <w:rFonts w:cs="Arial"/>
          <w:szCs w:val="20"/>
        </w:rPr>
        <w:t>%.</w:t>
      </w:r>
      <w:r w:rsidR="00AD6286">
        <w:rPr>
          <w:rFonts w:cs="Arial"/>
          <w:szCs w:val="20"/>
        </w:rPr>
        <w:t xml:space="preserve"> </w:t>
      </w:r>
      <w:r w:rsidR="00BD52D0">
        <w:rPr>
          <w:rFonts w:cs="Arial"/>
          <w:szCs w:val="20"/>
        </w:rPr>
        <w:t xml:space="preserve">Dokončeno bylo </w:t>
      </w:r>
      <w:r w:rsidR="00F705A3" w:rsidRPr="00F705A3">
        <w:rPr>
          <w:rFonts w:eastAsia="Times New Roman" w:cs="Arial"/>
          <w:szCs w:val="20"/>
          <w:lang w:eastAsia="cs-CZ"/>
        </w:rPr>
        <w:t>1</w:t>
      </w:r>
      <w:r w:rsidR="009E11B0">
        <w:rPr>
          <w:rFonts w:eastAsia="Times New Roman" w:cs="Arial"/>
          <w:szCs w:val="20"/>
          <w:lang w:eastAsia="cs-CZ"/>
        </w:rPr>
        <w:t> </w:t>
      </w:r>
      <w:r w:rsidR="00F705A3" w:rsidRPr="00F705A3">
        <w:rPr>
          <w:rFonts w:eastAsia="Times New Roman" w:cs="Arial"/>
          <w:szCs w:val="20"/>
          <w:lang w:eastAsia="cs-CZ"/>
        </w:rPr>
        <w:t>934</w:t>
      </w:r>
      <w:r w:rsidR="00BD52D0">
        <w:rPr>
          <w:rFonts w:eastAsia="Times New Roman" w:cs="Arial"/>
          <w:szCs w:val="20"/>
          <w:lang w:eastAsia="cs-CZ"/>
        </w:rPr>
        <w:t xml:space="preserve"> </w:t>
      </w:r>
      <w:r w:rsidR="00BD52D0">
        <w:rPr>
          <w:rFonts w:cs="Arial"/>
          <w:szCs w:val="20"/>
        </w:rPr>
        <w:t>bytů</w:t>
      </w:r>
      <w:r w:rsidR="00BD52D0">
        <w:rPr>
          <w:rFonts w:cs="Arial"/>
          <w:bCs/>
          <w:szCs w:val="20"/>
        </w:rPr>
        <w:t>, což znamenalo meziroční pokles</w:t>
      </w:r>
      <w:r w:rsidR="00BD52D0">
        <w:rPr>
          <w:rFonts w:cs="Arial"/>
          <w:szCs w:val="20"/>
        </w:rPr>
        <w:t xml:space="preserve"> o </w:t>
      </w:r>
      <w:r w:rsidR="009E11B0">
        <w:rPr>
          <w:rFonts w:cs="Arial"/>
          <w:szCs w:val="20"/>
        </w:rPr>
        <w:t>60,1 </w:t>
      </w:r>
      <w:r w:rsidR="00BD52D0">
        <w:rPr>
          <w:rFonts w:cs="Arial"/>
          <w:szCs w:val="20"/>
        </w:rPr>
        <w:t>%</w:t>
      </w:r>
      <w:r w:rsidR="00BD52D0" w:rsidRPr="00A00324">
        <w:rPr>
          <w:rFonts w:cs="Arial"/>
          <w:szCs w:val="20"/>
        </w:rPr>
        <w:t>.</w:t>
      </w:r>
      <w:r w:rsidR="00D318CD">
        <w:rPr>
          <w:rFonts w:cs="Arial"/>
          <w:szCs w:val="20"/>
        </w:rPr>
        <w:t xml:space="preserve"> </w:t>
      </w:r>
      <w:r w:rsidR="00D318CD" w:rsidRPr="00D318CD">
        <w:rPr>
          <w:rFonts w:cs="Arial"/>
          <w:i/>
          <w:szCs w:val="20"/>
        </w:rPr>
        <w:t>„Výrazný pokles počtu dokončených bytů v prosinci byl zaznamenán v rodinných i bytových domech a kromě nízkého počtu bytů za ním stála také vysoká srovnávací základna,“</w:t>
      </w:r>
      <w:r w:rsidR="00D318CD" w:rsidRPr="00D318CD">
        <w:rPr>
          <w:rFonts w:cs="Arial"/>
          <w:szCs w:val="20"/>
        </w:rPr>
        <w:t xml:space="preserve"> říká Petra Cuřínová, vedoucí oddělení statistiky stavebnictví a bytové výstavby ČSÚ</w:t>
      </w:r>
      <w:r w:rsidR="00D318CD">
        <w:rPr>
          <w:rFonts w:cs="Arial"/>
          <w:szCs w:val="20"/>
        </w:rPr>
        <w:t>.</w:t>
      </w:r>
    </w:p>
    <w:p w:rsidR="00B957A6" w:rsidRDefault="00B957A6" w:rsidP="00D318CD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="001D21FE" w:rsidRPr="00B443A9">
        <w:rPr>
          <w:rFonts w:cs="Arial"/>
          <w:szCs w:val="20"/>
        </w:rPr>
        <w:t>listopad</w:t>
      </w:r>
      <w:r w:rsidR="001D21FE" w:rsidRPr="00B443A9">
        <w:rPr>
          <w:rFonts w:cs="Arial"/>
          <w:bCs/>
          <w:szCs w:val="20"/>
        </w:rPr>
        <w:t>u</w:t>
      </w:r>
      <w:r w:rsidRPr="002F2C21">
        <w:rPr>
          <w:rFonts w:cs="Arial"/>
          <w:bCs/>
          <w:szCs w:val="20"/>
        </w:rPr>
        <w:t xml:space="preserve"> 202</w:t>
      </w:r>
      <w:r>
        <w:rPr>
          <w:rFonts w:cs="Arial"/>
          <w:bCs/>
          <w:szCs w:val="20"/>
        </w:rPr>
        <w:t>4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C71709">
        <w:rPr>
          <w:rFonts w:cs="Arial"/>
          <w:szCs w:val="20"/>
        </w:rPr>
        <w:t>vzrostla</w:t>
      </w:r>
      <w:r w:rsidR="00F44CE2">
        <w:rPr>
          <w:rFonts w:cs="Arial"/>
          <w:szCs w:val="20"/>
        </w:rPr>
        <w:t xml:space="preserve"> o </w:t>
      </w:r>
      <w:r w:rsidR="00C71709">
        <w:rPr>
          <w:rFonts w:cs="Arial"/>
          <w:szCs w:val="20"/>
        </w:rPr>
        <w:t>0,9</w:t>
      </w:r>
      <w:r w:rsidR="009E11B0">
        <w:rPr>
          <w:rFonts w:cs="Arial"/>
          <w:szCs w:val="20"/>
        </w:rPr>
        <w:t> </w:t>
      </w:r>
      <w:r w:rsidRPr="002F2C21">
        <w:rPr>
          <w:rFonts w:cs="Arial"/>
          <w:szCs w:val="20"/>
        </w:rPr>
        <w:t>%.</w:t>
      </w:r>
      <w:r w:rsidR="006865C2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 xml:space="preserve">Údaje za </w:t>
      </w:r>
      <w:r w:rsidR="001D21FE" w:rsidRPr="00E65DFB">
        <w:t>prosinec</w:t>
      </w:r>
      <w:r w:rsidRPr="002F2C21">
        <w:rPr>
          <w:rFonts w:cs="Arial"/>
          <w:szCs w:val="20"/>
        </w:rPr>
        <w:t xml:space="preserve"> 202</w:t>
      </w:r>
      <w:r>
        <w:rPr>
          <w:rFonts w:cs="Arial"/>
          <w:szCs w:val="20"/>
        </w:rPr>
        <w:t>4</w:t>
      </w:r>
      <w:r w:rsidRPr="002F2C21">
        <w:rPr>
          <w:rFonts w:cs="Arial"/>
          <w:szCs w:val="20"/>
        </w:rPr>
        <w:t xml:space="preserve">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</w:t>
      </w:r>
      <w:r w:rsidRPr="00C71709">
        <w:rPr>
          <w:rFonts w:cs="Arial"/>
          <w:szCs w:val="20"/>
        </w:rPr>
        <w:t xml:space="preserve">dne </w:t>
      </w:r>
      <w:r w:rsidR="00F44CE2" w:rsidRPr="00C71709">
        <w:rPr>
          <w:rFonts w:cs="Arial"/>
          <w:szCs w:val="20"/>
        </w:rPr>
        <w:t>20</w:t>
      </w:r>
      <w:r w:rsidRPr="00C71709">
        <w:rPr>
          <w:rFonts w:cs="Arial"/>
          <w:szCs w:val="20"/>
        </w:rPr>
        <w:t>. </w:t>
      </w:r>
      <w:r w:rsidR="00C71709" w:rsidRPr="00C71709">
        <w:rPr>
          <w:rFonts w:cs="Arial"/>
          <w:szCs w:val="20"/>
        </w:rPr>
        <w:t>2</w:t>
      </w:r>
      <w:r w:rsidRPr="00C71709">
        <w:rPr>
          <w:rFonts w:cs="Arial"/>
          <w:szCs w:val="20"/>
        </w:rPr>
        <w:t>.</w:t>
      </w:r>
      <w:r w:rsidRPr="00AF0101">
        <w:rPr>
          <w:rFonts w:cs="Arial"/>
          <w:szCs w:val="20"/>
        </w:rPr>
        <w:t> 202</w:t>
      </w:r>
      <w:r w:rsidR="000F28D0">
        <w:rPr>
          <w:rFonts w:cs="Arial"/>
          <w:szCs w:val="20"/>
        </w:rPr>
        <w:t>5</w:t>
      </w:r>
      <w:r w:rsidRPr="00AF0101">
        <w:rPr>
          <w:rFonts w:cs="Arial"/>
          <w:szCs w:val="20"/>
        </w:rPr>
        <w:t>.</w:t>
      </w:r>
    </w:p>
    <w:p w:rsidR="001D21FE" w:rsidRDefault="001D21FE" w:rsidP="00D318CD">
      <w:pPr>
        <w:spacing w:before="120"/>
        <w:rPr>
          <w:rFonts w:cs="Arial"/>
          <w:szCs w:val="20"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 xml:space="preserve">o vývoji ve stavebnictví </w:t>
      </w:r>
      <w:r w:rsidRPr="00DA6FE5">
        <w:rPr>
          <w:szCs w:val="20"/>
        </w:rPr>
        <w:t>naleznete v </w:t>
      </w:r>
      <w:hyperlink r:id="rId10" w:history="1">
        <w:r w:rsidRPr="00DA0A33">
          <w:rPr>
            <w:rStyle w:val="Hypertextovodkaz"/>
          </w:rPr>
          <w:t>doplňující informaci k RI stavebnictví</w:t>
        </w:r>
      </w:hyperlink>
      <w:bookmarkStart w:id="0" w:name="_GoBack"/>
      <w:bookmarkEnd w:id="0"/>
      <w:r w:rsidRPr="00DA6FE5">
        <w:t>.</w:t>
      </w:r>
    </w:p>
    <w:p w:rsidR="00B957A6" w:rsidRPr="00C52044" w:rsidRDefault="00B957A6" w:rsidP="00D318CD">
      <w:pPr>
        <w:pStyle w:val="Poznmky0"/>
        <w:pBdr>
          <w:top w:val="single" w:sz="4" w:space="1" w:color="auto"/>
        </w:pBdr>
        <w:spacing w:before="0" w:line="240" w:lineRule="auto"/>
      </w:pPr>
      <w:r w:rsidRPr="00C52044">
        <w:t>Poznámky:</w:t>
      </w:r>
    </w:p>
    <w:p w:rsidR="00B957A6" w:rsidRDefault="00B957A6" w:rsidP="00D318CD">
      <w:pPr>
        <w:pStyle w:val="Poznmky0"/>
        <w:pBdr>
          <w:top w:val="none" w:sz="0" w:space="0" w:color="auto"/>
        </w:pBdr>
        <w:spacing w:before="0" w:line="240" w:lineRule="auto"/>
        <w:rPr>
          <w:iCs/>
        </w:rPr>
      </w:pPr>
      <w:r w:rsidRPr="004E2B8D">
        <w:rPr>
          <w:iCs/>
        </w:rPr>
        <w:t>Meziroční</w:t>
      </w:r>
      <w:r w:rsidRPr="00C52044">
        <w:rPr>
          <w:iCs/>
        </w:rPr>
        <w:t xml:space="preserve"> vývoj stavební produkce je publikován po očištění o vliv počtu pracovních dnů. Meziměsíční tempa jsou očištěna také o vliv sezónnosti.</w:t>
      </w:r>
    </w:p>
    <w:p w:rsidR="00B957A6" w:rsidRDefault="00B957A6" w:rsidP="00D318CD">
      <w:pPr>
        <w:pStyle w:val="Poznmky0"/>
        <w:pBdr>
          <w:top w:val="none" w:sz="0" w:space="0" w:color="auto"/>
        </w:pBdr>
        <w:spacing w:before="0" w:line="240" w:lineRule="auto"/>
        <w:rPr>
          <w:iCs/>
        </w:rPr>
      </w:pPr>
      <w:r>
        <w:rPr>
          <w:iCs/>
        </w:rPr>
        <w:t>Metodika:</w:t>
      </w:r>
      <w:r w:rsidR="00E57983">
        <w:rPr>
          <w:iCs/>
        </w:rPr>
        <w:t xml:space="preserve"> </w:t>
      </w:r>
      <w:hyperlink r:id="rId11" w:history="1">
        <w:r w:rsidR="00E57983" w:rsidRPr="005D08F8">
          <w:rPr>
            <w:rStyle w:val="Hypertextovodkaz"/>
            <w:iCs/>
          </w:rPr>
          <w:t>https://csu.gov.cz/stavebnictvi_metodika</w:t>
        </w:r>
      </w:hyperlink>
      <w:r w:rsidR="00E57983">
        <w:rPr>
          <w:iCs/>
        </w:rPr>
        <w:t xml:space="preserve"> 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2" w:history="1">
        <w:r w:rsidR="00E57983" w:rsidRPr="005D08F8">
          <w:rPr>
            <w:rStyle w:val="Hypertextovodkaz"/>
            <w:rFonts w:cs="Arial"/>
            <w:i/>
          </w:rPr>
          <w:t>radek.matejka@csu.gov.cz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</w:r>
      <w:r w:rsidR="000D408F" w:rsidRPr="00627B07">
        <w:rPr>
          <w:i/>
        </w:rPr>
        <w:t xml:space="preserve">Ing. Petra Cuřínová, vedoucí oddělení statistiky stavebnictví a bytové výstavby, tel.: 737280494, e-mail: </w:t>
      </w:r>
      <w:hyperlink r:id="rId13" w:history="1">
        <w:r w:rsidR="000D408F" w:rsidRPr="005D08F8">
          <w:rPr>
            <w:rStyle w:val="Hypertextovodkaz"/>
            <w:rFonts w:cs="Arial"/>
            <w:i/>
          </w:rPr>
          <w:t>petra.curinova@csu.gov.cz</w:t>
        </w:r>
      </w:hyperlink>
      <w:r w:rsidR="001E7AB8">
        <w:rPr>
          <w:rFonts w:ascii="ArialMT" w:hAnsi="ArialMT"/>
          <w:i/>
        </w:rPr>
        <w:t xml:space="preserve"> </w:t>
      </w:r>
      <w:r w:rsidRPr="00627B07">
        <w:rPr>
          <w:rFonts w:ascii="ArialMT" w:hAnsi="ArialMT"/>
          <w:i/>
        </w:rPr>
        <w:t xml:space="preserve"> 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C71709">
        <w:rPr>
          <w:i/>
        </w:rPr>
        <w:t>31</w:t>
      </w:r>
      <w:r w:rsidRPr="00627B07">
        <w:rPr>
          <w:i/>
        </w:rPr>
        <w:t xml:space="preserve">. </w:t>
      </w:r>
      <w:r w:rsidR="00415DBF">
        <w:rPr>
          <w:i/>
        </w:rPr>
        <w:t>1</w:t>
      </w:r>
      <w:r w:rsidRPr="00627B07">
        <w:rPr>
          <w:i/>
        </w:rPr>
        <w:t>. 202</w:t>
      </w:r>
      <w:r w:rsidR="000F28D0">
        <w:rPr>
          <w:i/>
        </w:rPr>
        <w:t>5</w:t>
      </w:r>
    </w:p>
    <w:p w:rsidR="00E57983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4" w:history="1">
        <w:r w:rsidR="00E57983" w:rsidRPr="005D08F8">
          <w:rPr>
            <w:rStyle w:val="Hypertextovodkaz"/>
            <w:rFonts w:cs="Arial"/>
            <w:i/>
          </w:rPr>
          <w:t>https://csu.gov.cz/produkty/sta_cr</w:t>
        </w:r>
      </w:hyperlink>
      <w:r w:rsidR="00E57983">
        <w:rPr>
          <w:rFonts w:cs="Arial"/>
          <w:i/>
        </w:rPr>
        <w:t xml:space="preserve"> </w:t>
      </w:r>
    </w:p>
    <w:p w:rsidR="00B957A6" w:rsidRPr="00627B07" w:rsidRDefault="00E13FA7" w:rsidP="00D318CD">
      <w:pPr>
        <w:pStyle w:val="Poznmky"/>
        <w:pBdr>
          <w:top w:val="none" w:sz="0" w:space="0" w:color="auto"/>
        </w:pBdr>
        <w:spacing w:before="0" w:line="240" w:lineRule="auto"/>
        <w:ind w:left="2694"/>
        <w:jc w:val="both"/>
        <w:rPr>
          <w:i/>
        </w:rPr>
      </w:pPr>
      <w:hyperlink r:id="rId15" w:history="1">
        <w:r w:rsidR="00E57983" w:rsidRPr="005D08F8">
          <w:rPr>
            <w:rStyle w:val="Hypertextovodkaz"/>
            <w:i/>
          </w:rPr>
          <w:t>https://csu.gov.cz/produkty/bvz_cr</w:t>
        </w:r>
      </w:hyperlink>
      <w:r w:rsidR="00E57983">
        <w:rPr>
          <w:i/>
        </w:rPr>
        <w:t xml:space="preserve"> </w:t>
      </w:r>
    </w:p>
    <w:p w:rsidR="00B957A6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6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B957A6" w:rsidRPr="00627B07" w:rsidRDefault="00B957A6" w:rsidP="00D318CD">
      <w:pPr>
        <w:pStyle w:val="Poznmky"/>
        <w:pBdr>
          <w:top w:val="none" w:sz="0" w:space="0" w:color="auto"/>
        </w:pBdr>
        <w:spacing w:before="0" w:line="240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1D21FE">
        <w:rPr>
          <w:i/>
        </w:rPr>
        <w:t>12</w:t>
      </w:r>
      <w:r w:rsidRPr="00627B07">
        <w:rPr>
          <w:i/>
        </w:rPr>
        <w:t xml:space="preserve">. </w:t>
      </w:r>
      <w:r w:rsidR="001D21FE">
        <w:rPr>
          <w:i/>
        </w:rPr>
        <w:t>3</w:t>
      </w:r>
      <w:r w:rsidRPr="00627B07">
        <w:rPr>
          <w:i/>
        </w:rPr>
        <w:t>. 202</w:t>
      </w:r>
      <w:r w:rsidR="00A13E58">
        <w:rPr>
          <w:i/>
        </w:rPr>
        <w:t>5</w:t>
      </w:r>
    </w:p>
    <w:p w:rsidR="00B957A6" w:rsidRDefault="00B957A6" w:rsidP="00D318CD">
      <w:pPr>
        <w:pStyle w:val="Poznmkykontaktytext"/>
        <w:spacing w:line="240" w:lineRule="auto"/>
        <w:rPr>
          <w:i w:val="0"/>
          <w:iCs w:val="0"/>
          <w:color w:val="auto"/>
          <w:sz w:val="20"/>
          <w:szCs w:val="20"/>
        </w:rPr>
      </w:pPr>
    </w:p>
    <w:p w:rsidR="00B957A6" w:rsidRDefault="00B957A6" w:rsidP="00D318CD">
      <w:pPr>
        <w:pStyle w:val="Poznmkykontaktytext"/>
        <w:spacing w:line="240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iCs w:val="0"/>
          <w:color w:val="auto"/>
          <w:sz w:val="20"/>
          <w:szCs w:val="20"/>
        </w:rPr>
        <w:t>Přílohy:</w:t>
      </w:r>
    </w:p>
    <w:p w:rsidR="001D21FE" w:rsidRDefault="001D21FE" w:rsidP="00D318CD">
      <w:pPr>
        <w:pStyle w:val="Poznmkykontaktytext"/>
        <w:spacing w:line="240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sz w:val="20"/>
          <w:szCs w:val="20"/>
        </w:rPr>
        <w:t>Doplňující informac</w:t>
      </w:r>
      <w:r>
        <w:rPr>
          <w:i w:val="0"/>
          <w:sz w:val="20"/>
          <w:szCs w:val="20"/>
        </w:rPr>
        <w:t>e</w:t>
      </w:r>
      <w:r w:rsidRPr="004006FE">
        <w:rPr>
          <w:i w:val="0"/>
          <w:sz w:val="20"/>
          <w:szCs w:val="20"/>
        </w:rPr>
        <w:t xml:space="preserve"> k RI stavebnictví</w:t>
      </w:r>
    </w:p>
    <w:p w:rsidR="00B957A6" w:rsidRDefault="00B957A6" w:rsidP="00D318CD">
      <w:pPr>
        <w:pStyle w:val="Zkladntext3"/>
        <w:rPr>
          <w:lang w:eastAsia="en-US"/>
        </w:rPr>
      </w:pPr>
      <w:r>
        <w:rPr>
          <w:lang w:eastAsia="en-US"/>
        </w:rPr>
        <w:t>Tab. 1 Vybrané ukazatele za stavebnictví</w:t>
      </w:r>
      <w:r w:rsidRPr="004006FE">
        <w:rPr>
          <w:lang w:eastAsia="en-US"/>
        </w:rPr>
        <w:t xml:space="preserve"> (meziroční indexy, měsíc)</w:t>
      </w:r>
    </w:p>
    <w:p w:rsidR="001D21FE" w:rsidRDefault="001D21FE" w:rsidP="00D318CD">
      <w:pPr>
        <w:pStyle w:val="Zkladntext3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</w:t>
      </w:r>
      <w:r w:rsidRPr="00D91FAA">
        <w:rPr>
          <w:lang w:eastAsia="en-US"/>
        </w:rPr>
        <w:t>meziroční indexy</w:t>
      </w:r>
      <w:r>
        <w:rPr>
          <w:rFonts w:eastAsia="Calibri"/>
          <w:lang w:eastAsia="en-US"/>
        </w:rPr>
        <w:t>, čtvrtletí)</w:t>
      </w:r>
    </w:p>
    <w:p w:rsidR="001D21FE" w:rsidRDefault="001D21FE" w:rsidP="00D318CD">
      <w:pPr>
        <w:pStyle w:val="Zkladntext3"/>
        <w:rPr>
          <w:lang w:eastAsia="en-US"/>
        </w:rPr>
      </w:pPr>
      <w:r>
        <w:rPr>
          <w:iCs/>
        </w:rPr>
        <w:t>Tab. 3 Index stavební produkce, stavební zakázky, stavební povolení a bytová výstavba (meziroční indexy, rok)</w:t>
      </w:r>
    </w:p>
    <w:p w:rsidR="00B957A6" w:rsidRPr="004006FE" w:rsidRDefault="00B957A6" w:rsidP="00D318CD">
      <w:pPr>
        <w:pStyle w:val="Zkladntext2"/>
        <w:spacing w:after="0" w:line="240" w:lineRule="auto"/>
        <w:rPr>
          <w:szCs w:val="20"/>
        </w:rPr>
      </w:pPr>
      <w:r w:rsidRPr="004006FE">
        <w:rPr>
          <w:szCs w:val="20"/>
        </w:rPr>
        <w:lastRenderedPageBreak/>
        <w:t>Graf 1 Index stavební produkce (meziroční indexy)</w:t>
      </w:r>
    </w:p>
    <w:p w:rsidR="00B957A6" w:rsidRPr="004006FE" w:rsidRDefault="00B957A6" w:rsidP="00D318CD">
      <w:pPr>
        <w:pStyle w:val="Zkladntext2"/>
        <w:spacing w:after="0" w:line="240" w:lineRule="auto"/>
        <w:rPr>
          <w:szCs w:val="20"/>
        </w:rPr>
      </w:pPr>
      <w:r w:rsidRPr="004006FE">
        <w:rPr>
          <w:szCs w:val="20"/>
        </w:rPr>
        <w:t>Graf 2 Index stavební produkce (bazické indexy)</w:t>
      </w:r>
    </w:p>
    <w:p w:rsidR="00D209A7" w:rsidRPr="00B957A6" w:rsidRDefault="00B957A6" w:rsidP="00D318CD">
      <w:pPr>
        <w:spacing w:line="240" w:lineRule="auto"/>
      </w:pPr>
      <w:r w:rsidRPr="004006FE">
        <w:rPr>
          <w:szCs w:val="20"/>
        </w:rPr>
        <w:t>Graf 3 Index stavební produkce – mezinárodní porovnání (bazické indexy)</w:t>
      </w:r>
    </w:p>
    <w:sectPr w:rsidR="00D209A7" w:rsidRPr="00B957A6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A7" w:rsidRDefault="00E13FA7" w:rsidP="00BA6370">
      <w:r>
        <w:separator/>
      </w:r>
    </w:p>
  </w:endnote>
  <w:endnote w:type="continuationSeparator" w:id="0">
    <w:p w:rsidR="00E13FA7" w:rsidRDefault="00E13FA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A0A3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A0A3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437C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A7" w:rsidRDefault="00E13FA7" w:rsidP="00BA6370">
      <w:r>
        <w:separator/>
      </w:r>
    </w:p>
  </w:footnote>
  <w:footnote w:type="continuationSeparator" w:id="0">
    <w:p w:rsidR="00E13FA7" w:rsidRDefault="00E13FA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B6F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A"/>
    <w:rsid w:val="0000189B"/>
    <w:rsid w:val="00005858"/>
    <w:rsid w:val="00025CF6"/>
    <w:rsid w:val="000365C1"/>
    <w:rsid w:val="00042771"/>
    <w:rsid w:val="00043BF4"/>
    <w:rsid w:val="0005348D"/>
    <w:rsid w:val="0006266B"/>
    <w:rsid w:val="000634B1"/>
    <w:rsid w:val="00072422"/>
    <w:rsid w:val="00073569"/>
    <w:rsid w:val="00077869"/>
    <w:rsid w:val="000843A5"/>
    <w:rsid w:val="0008501C"/>
    <w:rsid w:val="00086943"/>
    <w:rsid w:val="00086EAE"/>
    <w:rsid w:val="000910DA"/>
    <w:rsid w:val="00096D6C"/>
    <w:rsid w:val="000A04A1"/>
    <w:rsid w:val="000B6F63"/>
    <w:rsid w:val="000C0AAD"/>
    <w:rsid w:val="000D093F"/>
    <w:rsid w:val="000D408F"/>
    <w:rsid w:val="000E37B1"/>
    <w:rsid w:val="000E43CC"/>
    <w:rsid w:val="000F175A"/>
    <w:rsid w:val="000F28D0"/>
    <w:rsid w:val="00111493"/>
    <w:rsid w:val="00136105"/>
    <w:rsid w:val="001404AB"/>
    <w:rsid w:val="001511B3"/>
    <w:rsid w:val="0017231D"/>
    <w:rsid w:val="00172CA5"/>
    <w:rsid w:val="001810DC"/>
    <w:rsid w:val="001A5A9A"/>
    <w:rsid w:val="001B607F"/>
    <w:rsid w:val="001D21FE"/>
    <w:rsid w:val="001D369A"/>
    <w:rsid w:val="001E34C0"/>
    <w:rsid w:val="001E7AB8"/>
    <w:rsid w:val="001F08B3"/>
    <w:rsid w:val="001F2FE0"/>
    <w:rsid w:val="00200854"/>
    <w:rsid w:val="002070FB"/>
    <w:rsid w:val="00213729"/>
    <w:rsid w:val="00223B68"/>
    <w:rsid w:val="00240299"/>
    <w:rsid w:val="002406FA"/>
    <w:rsid w:val="002503C3"/>
    <w:rsid w:val="0026107B"/>
    <w:rsid w:val="00264700"/>
    <w:rsid w:val="0027381F"/>
    <w:rsid w:val="00275DF8"/>
    <w:rsid w:val="0027756E"/>
    <w:rsid w:val="00283F21"/>
    <w:rsid w:val="00287228"/>
    <w:rsid w:val="002874EB"/>
    <w:rsid w:val="002B0E6E"/>
    <w:rsid w:val="002B2E47"/>
    <w:rsid w:val="002C77AA"/>
    <w:rsid w:val="002D57E5"/>
    <w:rsid w:val="002D7F4F"/>
    <w:rsid w:val="002E55F8"/>
    <w:rsid w:val="003016CE"/>
    <w:rsid w:val="003118DE"/>
    <w:rsid w:val="003123FE"/>
    <w:rsid w:val="00316415"/>
    <w:rsid w:val="00321780"/>
    <w:rsid w:val="003301A3"/>
    <w:rsid w:val="00341FD4"/>
    <w:rsid w:val="0036777B"/>
    <w:rsid w:val="00370754"/>
    <w:rsid w:val="00380D3F"/>
    <w:rsid w:val="0038282A"/>
    <w:rsid w:val="00392000"/>
    <w:rsid w:val="00397580"/>
    <w:rsid w:val="003A45C8"/>
    <w:rsid w:val="003C2DCF"/>
    <w:rsid w:val="003C4F7B"/>
    <w:rsid w:val="003C7FE7"/>
    <w:rsid w:val="003D0499"/>
    <w:rsid w:val="003D3576"/>
    <w:rsid w:val="003E6592"/>
    <w:rsid w:val="003E72F3"/>
    <w:rsid w:val="003F3291"/>
    <w:rsid w:val="003F526A"/>
    <w:rsid w:val="003F7967"/>
    <w:rsid w:val="00405244"/>
    <w:rsid w:val="00412AF8"/>
    <w:rsid w:val="004154C7"/>
    <w:rsid w:val="004155A2"/>
    <w:rsid w:val="00415DBF"/>
    <w:rsid w:val="00431F45"/>
    <w:rsid w:val="004358D9"/>
    <w:rsid w:val="0043689E"/>
    <w:rsid w:val="00436EEB"/>
    <w:rsid w:val="0044330B"/>
    <w:rsid w:val="004436EE"/>
    <w:rsid w:val="00451B7A"/>
    <w:rsid w:val="0045547F"/>
    <w:rsid w:val="0046250E"/>
    <w:rsid w:val="00471DEF"/>
    <w:rsid w:val="00472310"/>
    <w:rsid w:val="00474FC1"/>
    <w:rsid w:val="004822A8"/>
    <w:rsid w:val="004920AD"/>
    <w:rsid w:val="0049487B"/>
    <w:rsid w:val="0049528A"/>
    <w:rsid w:val="004A38CF"/>
    <w:rsid w:val="004A62FC"/>
    <w:rsid w:val="004D05B3"/>
    <w:rsid w:val="004E479E"/>
    <w:rsid w:val="004E5026"/>
    <w:rsid w:val="004F686C"/>
    <w:rsid w:val="004F78E6"/>
    <w:rsid w:val="0050420E"/>
    <w:rsid w:val="00507C1B"/>
    <w:rsid w:val="00512D99"/>
    <w:rsid w:val="00520CB9"/>
    <w:rsid w:val="00521696"/>
    <w:rsid w:val="005247B3"/>
    <w:rsid w:val="00531DBB"/>
    <w:rsid w:val="00573994"/>
    <w:rsid w:val="005A30C5"/>
    <w:rsid w:val="005A41E9"/>
    <w:rsid w:val="005C7F70"/>
    <w:rsid w:val="005D2B21"/>
    <w:rsid w:val="005D5EBB"/>
    <w:rsid w:val="005F0EAF"/>
    <w:rsid w:val="005F46DC"/>
    <w:rsid w:val="005F79FB"/>
    <w:rsid w:val="00604406"/>
    <w:rsid w:val="00605F4A"/>
    <w:rsid w:val="00607822"/>
    <w:rsid w:val="006103AA"/>
    <w:rsid w:val="00610688"/>
    <w:rsid w:val="00613BBF"/>
    <w:rsid w:val="00621825"/>
    <w:rsid w:val="00622B80"/>
    <w:rsid w:val="00622C1C"/>
    <w:rsid w:val="006254F3"/>
    <w:rsid w:val="00635062"/>
    <w:rsid w:val="0064139A"/>
    <w:rsid w:val="0066387F"/>
    <w:rsid w:val="00664CC5"/>
    <w:rsid w:val="00674DBC"/>
    <w:rsid w:val="00674DDA"/>
    <w:rsid w:val="00682184"/>
    <w:rsid w:val="0068455B"/>
    <w:rsid w:val="006865C2"/>
    <w:rsid w:val="00692211"/>
    <w:rsid w:val="006931CF"/>
    <w:rsid w:val="006952A9"/>
    <w:rsid w:val="006C5BE9"/>
    <w:rsid w:val="006D21EB"/>
    <w:rsid w:val="006E024F"/>
    <w:rsid w:val="006E4E81"/>
    <w:rsid w:val="006E6F67"/>
    <w:rsid w:val="0070419E"/>
    <w:rsid w:val="00707F7D"/>
    <w:rsid w:val="00717EC5"/>
    <w:rsid w:val="00727C3F"/>
    <w:rsid w:val="00740B79"/>
    <w:rsid w:val="0074210B"/>
    <w:rsid w:val="00754C20"/>
    <w:rsid w:val="007673D5"/>
    <w:rsid w:val="007679F5"/>
    <w:rsid w:val="00782E4F"/>
    <w:rsid w:val="00794EB8"/>
    <w:rsid w:val="007A2048"/>
    <w:rsid w:val="007A42AA"/>
    <w:rsid w:val="007A4BD7"/>
    <w:rsid w:val="007A57F2"/>
    <w:rsid w:val="007B1333"/>
    <w:rsid w:val="007B613C"/>
    <w:rsid w:val="007C1974"/>
    <w:rsid w:val="007D791F"/>
    <w:rsid w:val="007E318F"/>
    <w:rsid w:val="007F4AEB"/>
    <w:rsid w:val="007F75B2"/>
    <w:rsid w:val="00803993"/>
    <w:rsid w:val="008043C4"/>
    <w:rsid w:val="008128E1"/>
    <w:rsid w:val="00831B1B"/>
    <w:rsid w:val="00835986"/>
    <w:rsid w:val="0085464A"/>
    <w:rsid w:val="00855D2C"/>
    <w:rsid w:val="00855FB3"/>
    <w:rsid w:val="008574EA"/>
    <w:rsid w:val="00861D0E"/>
    <w:rsid w:val="008662BB"/>
    <w:rsid w:val="00867569"/>
    <w:rsid w:val="008711A2"/>
    <w:rsid w:val="008A750A"/>
    <w:rsid w:val="008B3970"/>
    <w:rsid w:val="008B74D4"/>
    <w:rsid w:val="008C068C"/>
    <w:rsid w:val="008C384C"/>
    <w:rsid w:val="008D0F11"/>
    <w:rsid w:val="008F73B4"/>
    <w:rsid w:val="00913E72"/>
    <w:rsid w:val="009651CE"/>
    <w:rsid w:val="0097608A"/>
    <w:rsid w:val="0097627D"/>
    <w:rsid w:val="00980CAB"/>
    <w:rsid w:val="009857A0"/>
    <w:rsid w:val="00986DD7"/>
    <w:rsid w:val="009B1D90"/>
    <w:rsid w:val="009B205A"/>
    <w:rsid w:val="009B55B1"/>
    <w:rsid w:val="009B62A7"/>
    <w:rsid w:val="009C40A4"/>
    <w:rsid w:val="009E11B0"/>
    <w:rsid w:val="00A00324"/>
    <w:rsid w:val="00A0762A"/>
    <w:rsid w:val="00A1095E"/>
    <w:rsid w:val="00A13E58"/>
    <w:rsid w:val="00A4343D"/>
    <w:rsid w:val="00A46A60"/>
    <w:rsid w:val="00A502F1"/>
    <w:rsid w:val="00A53308"/>
    <w:rsid w:val="00A63DAF"/>
    <w:rsid w:val="00A64E4A"/>
    <w:rsid w:val="00A67D4D"/>
    <w:rsid w:val="00A70A83"/>
    <w:rsid w:val="00A73FAE"/>
    <w:rsid w:val="00A80EBF"/>
    <w:rsid w:val="00A8139C"/>
    <w:rsid w:val="00A81EB3"/>
    <w:rsid w:val="00A87355"/>
    <w:rsid w:val="00A920D8"/>
    <w:rsid w:val="00A950A0"/>
    <w:rsid w:val="00A955BC"/>
    <w:rsid w:val="00AA5017"/>
    <w:rsid w:val="00AA605C"/>
    <w:rsid w:val="00AB3410"/>
    <w:rsid w:val="00AC04BA"/>
    <w:rsid w:val="00AD16C2"/>
    <w:rsid w:val="00AD6286"/>
    <w:rsid w:val="00AE3FA8"/>
    <w:rsid w:val="00AE613C"/>
    <w:rsid w:val="00AF0101"/>
    <w:rsid w:val="00AF5C67"/>
    <w:rsid w:val="00B00C1D"/>
    <w:rsid w:val="00B25D02"/>
    <w:rsid w:val="00B44D7F"/>
    <w:rsid w:val="00B5497F"/>
    <w:rsid w:val="00B55375"/>
    <w:rsid w:val="00B62B41"/>
    <w:rsid w:val="00B632CC"/>
    <w:rsid w:val="00B957A6"/>
    <w:rsid w:val="00BA12F1"/>
    <w:rsid w:val="00BA439F"/>
    <w:rsid w:val="00BA6370"/>
    <w:rsid w:val="00BB7C81"/>
    <w:rsid w:val="00BD52D0"/>
    <w:rsid w:val="00BE4399"/>
    <w:rsid w:val="00BE600B"/>
    <w:rsid w:val="00C16676"/>
    <w:rsid w:val="00C269D4"/>
    <w:rsid w:val="00C35900"/>
    <w:rsid w:val="00C37ADB"/>
    <w:rsid w:val="00C4160D"/>
    <w:rsid w:val="00C651DF"/>
    <w:rsid w:val="00C65432"/>
    <w:rsid w:val="00C71709"/>
    <w:rsid w:val="00C8406E"/>
    <w:rsid w:val="00C95C5C"/>
    <w:rsid w:val="00CB2709"/>
    <w:rsid w:val="00CB6F89"/>
    <w:rsid w:val="00CC0AE9"/>
    <w:rsid w:val="00CC430D"/>
    <w:rsid w:val="00CC4A6F"/>
    <w:rsid w:val="00CD618A"/>
    <w:rsid w:val="00CE13A2"/>
    <w:rsid w:val="00CE228C"/>
    <w:rsid w:val="00CE7046"/>
    <w:rsid w:val="00CE71D9"/>
    <w:rsid w:val="00CF53CB"/>
    <w:rsid w:val="00CF545B"/>
    <w:rsid w:val="00D129B9"/>
    <w:rsid w:val="00D209A7"/>
    <w:rsid w:val="00D27D69"/>
    <w:rsid w:val="00D318CD"/>
    <w:rsid w:val="00D329B1"/>
    <w:rsid w:val="00D33658"/>
    <w:rsid w:val="00D3597A"/>
    <w:rsid w:val="00D448C2"/>
    <w:rsid w:val="00D47D86"/>
    <w:rsid w:val="00D509CB"/>
    <w:rsid w:val="00D6204F"/>
    <w:rsid w:val="00D6385D"/>
    <w:rsid w:val="00D666C3"/>
    <w:rsid w:val="00D67912"/>
    <w:rsid w:val="00D67AAE"/>
    <w:rsid w:val="00D70E77"/>
    <w:rsid w:val="00D7105E"/>
    <w:rsid w:val="00D76F1C"/>
    <w:rsid w:val="00D81899"/>
    <w:rsid w:val="00D91238"/>
    <w:rsid w:val="00D9189F"/>
    <w:rsid w:val="00D953D8"/>
    <w:rsid w:val="00DA0A33"/>
    <w:rsid w:val="00DF4663"/>
    <w:rsid w:val="00DF47FE"/>
    <w:rsid w:val="00E0156A"/>
    <w:rsid w:val="00E13FA7"/>
    <w:rsid w:val="00E256C0"/>
    <w:rsid w:val="00E26704"/>
    <w:rsid w:val="00E31980"/>
    <w:rsid w:val="00E36742"/>
    <w:rsid w:val="00E53E33"/>
    <w:rsid w:val="00E57983"/>
    <w:rsid w:val="00E641C4"/>
    <w:rsid w:val="00E6423C"/>
    <w:rsid w:val="00E81B10"/>
    <w:rsid w:val="00E93259"/>
    <w:rsid w:val="00E93830"/>
    <w:rsid w:val="00E93E0E"/>
    <w:rsid w:val="00EB1ED3"/>
    <w:rsid w:val="00ED5C67"/>
    <w:rsid w:val="00EE06C0"/>
    <w:rsid w:val="00EE5789"/>
    <w:rsid w:val="00EF4C14"/>
    <w:rsid w:val="00EF7D57"/>
    <w:rsid w:val="00F00AE6"/>
    <w:rsid w:val="00F21977"/>
    <w:rsid w:val="00F27DA8"/>
    <w:rsid w:val="00F422DF"/>
    <w:rsid w:val="00F44CE2"/>
    <w:rsid w:val="00F61722"/>
    <w:rsid w:val="00F705A3"/>
    <w:rsid w:val="00F75F2A"/>
    <w:rsid w:val="00F76D39"/>
    <w:rsid w:val="00F841DB"/>
    <w:rsid w:val="00FA7D70"/>
    <w:rsid w:val="00FB687C"/>
    <w:rsid w:val="00FB6DD4"/>
    <w:rsid w:val="00FE3145"/>
    <w:rsid w:val="00FF16BC"/>
    <w:rsid w:val="00FF60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D7367DA9-AFD6-4C33-8395-784312E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957A6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B957A6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B957A6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B957A6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B957A6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B957A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957A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curinova@cs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su.gov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short-term-business-statistics/public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stavebnictvi_metodika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bvz_cr" TargetMode="External"/><Relationship Id="rId10" Type="http://schemas.openxmlformats.org/officeDocument/2006/relationships/hyperlink" Target="https://csu.gov.cz/docs/107532/4c47c78d-5398-23d8-39a9-8a22cc9cafc6/csta020625_komentar.pdf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su.gov.cz/produkty/sta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skova1595\Documents\u\RI24\05\csta07082024__RI_CZ_GOV_TEX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4ADBE4-A131-4E52-943A-898ED451B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CEC76-59A8-47A5-BFA2-A1F12B45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csta07082024__RI_CZ_GOV_TEXT.dotx</Template>
  <TotalTime>391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Drahomíra</dc:creator>
  <cp:lastModifiedBy>Míšková Denisa</cp:lastModifiedBy>
  <cp:revision>86</cp:revision>
  <dcterms:created xsi:type="dcterms:W3CDTF">2024-09-04T04:57:00Z</dcterms:created>
  <dcterms:modified xsi:type="dcterms:W3CDTF">2025-02-05T12:39:00Z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