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E384B" w14:textId="147ADE8C" w:rsidR="00580269" w:rsidRPr="00580269" w:rsidRDefault="00580269" w:rsidP="00580269">
      <w:pPr>
        <w:jc w:val="left"/>
        <w:rPr>
          <w:rFonts w:asciiTheme="majorHAnsi" w:eastAsiaTheme="majorEastAsia" w:hAnsiTheme="majorHAnsi" w:cstheme="majorBidi"/>
          <w:b/>
          <w:bCs/>
          <w:color w:val="D70C0F"/>
          <w:sz w:val="40"/>
          <w:szCs w:val="40"/>
        </w:rPr>
      </w:pPr>
      <w:r w:rsidRPr="00580269">
        <w:rPr>
          <w:rFonts w:asciiTheme="majorHAnsi" w:eastAsiaTheme="majorEastAsia" w:hAnsiTheme="majorHAnsi" w:cstheme="majorBidi"/>
          <w:b/>
          <w:bCs/>
          <w:color w:val="D70C0F"/>
          <w:sz w:val="40"/>
          <w:szCs w:val="40"/>
        </w:rPr>
        <w:t>HDP vzrostl mezičtvrtletně o 0,</w:t>
      </w:r>
      <w:r w:rsidR="0022586D">
        <w:rPr>
          <w:rFonts w:asciiTheme="majorHAnsi" w:eastAsiaTheme="majorEastAsia" w:hAnsiTheme="majorHAnsi" w:cstheme="majorBidi"/>
          <w:b/>
          <w:bCs/>
          <w:color w:val="D70C0F"/>
          <w:sz w:val="40"/>
          <w:szCs w:val="40"/>
        </w:rPr>
        <w:t>4</w:t>
      </w:r>
      <w:r w:rsidRPr="00580269">
        <w:rPr>
          <w:rFonts w:asciiTheme="majorHAnsi" w:eastAsiaTheme="majorEastAsia" w:hAnsiTheme="majorHAnsi" w:cstheme="majorBidi"/>
          <w:b/>
          <w:bCs/>
          <w:color w:val="D70C0F"/>
          <w:sz w:val="40"/>
          <w:szCs w:val="40"/>
        </w:rPr>
        <w:t xml:space="preserve"> %</w:t>
      </w:r>
    </w:p>
    <w:p w14:paraId="43FC1D60" w14:textId="660ED04E" w:rsidR="00F21B6A" w:rsidRDefault="00BF78F1" w:rsidP="00200551">
      <w:pPr>
        <w:jc w:val="left"/>
      </w:pPr>
      <w:sdt>
        <w:sdtPr>
          <w:id w:val="902409853"/>
          <w:placeholder>
            <w:docPart w:val="98A9CA17C7144F2AB9468813E160297E"/>
          </w:placeholder>
          <w:date w:fullDate="2026-07-30T00:00:00Z">
            <w:dateFormat w:val="dd. MM. yyyy"/>
            <w:lid w:val="cs-CZ"/>
            <w:storeMappedDataAs w:val="dateTime"/>
            <w:calendar w:val="gregorian"/>
          </w:date>
        </w:sdtPr>
        <w:sdtEndPr/>
        <w:sdtContent>
          <w:r w:rsidR="0022586D">
            <w:t>30. 07. 2026</w:t>
          </w:r>
        </w:sdtContent>
      </w:sdt>
    </w:p>
    <w:p w14:paraId="22918FA5" w14:textId="5A2670F2" w:rsidR="00580269" w:rsidRPr="00580269" w:rsidRDefault="00580269" w:rsidP="00580269">
      <w:pPr>
        <w:pStyle w:val="Nadpis2"/>
      </w:pPr>
      <w:r w:rsidRPr="00580269">
        <w:t xml:space="preserve">Předběžný odhad HDP – </w:t>
      </w:r>
      <w:r w:rsidR="0022586D">
        <w:t>2</w:t>
      </w:r>
      <w:r w:rsidRPr="00580269">
        <w:t>. čtvrtletí 2026</w:t>
      </w:r>
    </w:p>
    <w:p w14:paraId="69B3F8FF" w14:textId="78252A7B" w:rsidR="00580269" w:rsidRPr="00580269" w:rsidRDefault="00580269" w:rsidP="00C8051E">
      <w:pPr>
        <w:pStyle w:val="Perex"/>
      </w:pPr>
      <w:r w:rsidRPr="00580269">
        <w:t>Podle předběžného odhadu vzrostl hrubý domácí produkt v</w:t>
      </w:r>
      <w:r w:rsidR="00540564">
        <w:t>e</w:t>
      </w:r>
      <w:r w:rsidRPr="00580269">
        <w:t xml:space="preserve"> </w:t>
      </w:r>
      <w:r w:rsidR="0022586D">
        <w:t>2</w:t>
      </w:r>
      <w:r w:rsidRPr="00580269">
        <w:t>. čtvrtletí mezičtvrtletně o</w:t>
      </w:r>
      <w:r w:rsidR="007B10A5">
        <w:t xml:space="preserve"> </w:t>
      </w:r>
      <w:r w:rsidRPr="00580269">
        <w:t>0,</w:t>
      </w:r>
      <w:r w:rsidR="0022586D">
        <w:t>4</w:t>
      </w:r>
      <w:r w:rsidR="007B10A5">
        <w:t xml:space="preserve"> </w:t>
      </w:r>
      <w:r w:rsidRPr="00580269">
        <w:t>% a</w:t>
      </w:r>
      <w:r w:rsidR="007B10A5">
        <w:t xml:space="preserve"> </w:t>
      </w:r>
      <w:r w:rsidRPr="00580269">
        <w:t>meziročně o 2,</w:t>
      </w:r>
      <w:r w:rsidR="0022586D">
        <w:t>0</w:t>
      </w:r>
      <w:r w:rsidR="007B10A5">
        <w:t xml:space="preserve"> </w:t>
      </w:r>
      <w:r w:rsidRPr="00580269">
        <w:t>%.</w:t>
      </w:r>
    </w:p>
    <w:p w14:paraId="03AE3174" w14:textId="2156684A" w:rsidR="00580269" w:rsidRDefault="00580269" w:rsidP="00C8051E">
      <w:pPr>
        <w:jc w:val="left"/>
        <w:rPr>
          <w:bCs/>
        </w:rPr>
      </w:pPr>
      <w:r w:rsidRPr="00580269">
        <w:t>Hrubý domácí produkt (HDP) očištěný o</w:t>
      </w:r>
      <w:r w:rsidR="007B10A5">
        <w:t xml:space="preserve"> </w:t>
      </w:r>
      <w:r w:rsidRPr="00580269">
        <w:t>cenové vlivy a sezónnost</w:t>
      </w:r>
      <w:r w:rsidRPr="00580269">
        <w:rPr>
          <w:vertAlign w:val="superscript"/>
        </w:rPr>
        <w:footnoteReference w:id="1"/>
      </w:r>
      <w:r w:rsidRPr="00580269">
        <w:t xml:space="preserve"> byl</w:t>
      </w:r>
      <w:r w:rsidRPr="00580269">
        <w:rPr>
          <w:bCs/>
        </w:rPr>
        <w:t xml:space="preserve"> v</w:t>
      </w:r>
      <w:r w:rsidR="00540564">
        <w:rPr>
          <w:bCs/>
        </w:rPr>
        <w:t>e</w:t>
      </w:r>
      <w:r w:rsidR="007B10A5">
        <w:rPr>
          <w:bCs/>
        </w:rPr>
        <w:t xml:space="preserve"> </w:t>
      </w:r>
      <w:r w:rsidR="00540564">
        <w:rPr>
          <w:bCs/>
        </w:rPr>
        <w:t>2</w:t>
      </w:r>
      <w:r w:rsidRPr="00580269">
        <w:rPr>
          <w:bCs/>
        </w:rPr>
        <w:t>.</w:t>
      </w:r>
      <w:r w:rsidR="007B10A5">
        <w:rPr>
          <w:bCs/>
        </w:rPr>
        <w:t xml:space="preserve"> </w:t>
      </w:r>
      <w:r w:rsidRPr="00580269">
        <w:rPr>
          <w:bCs/>
        </w:rPr>
        <w:t>čtvrtletí podle</w:t>
      </w:r>
      <w:r w:rsidR="00540564">
        <w:rPr>
          <w:bCs/>
        </w:rPr>
        <w:t xml:space="preserve"> </w:t>
      </w:r>
      <w:r w:rsidRPr="00580269">
        <w:rPr>
          <w:bCs/>
        </w:rPr>
        <w:t>předběžného odhadu o 0,</w:t>
      </w:r>
      <w:r w:rsidR="00540564">
        <w:rPr>
          <w:bCs/>
        </w:rPr>
        <w:t>4</w:t>
      </w:r>
      <w:r w:rsidRPr="00580269">
        <w:rPr>
          <w:bCs/>
        </w:rPr>
        <w:t xml:space="preserve"> % vyšší než v předchozím čtvrtletí a v porovnání se</w:t>
      </w:r>
      <w:r w:rsidR="007B10A5">
        <w:rPr>
          <w:bCs/>
        </w:rPr>
        <w:t xml:space="preserve"> </w:t>
      </w:r>
      <w:r w:rsidRPr="00580269">
        <w:rPr>
          <w:bCs/>
        </w:rPr>
        <w:t>stejným čtvrtletím předchozího roku vzrostl o</w:t>
      </w:r>
      <w:r w:rsidR="007B10A5">
        <w:rPr>
          <w:bCs/>
        </w:rPr>
        <w:t xml:space="preserve"> </w:t>
      </w:r>
      <w:r w:rsidRPr="00580269">
        <w:rPr>
          <w:bCs/>
        </w:rPr>
        <w:t>2,</w:t>
      </w:r>
      <w:r w:rsidR="00540564">
        <w:rPr>
          <w:bCs/>
        </w:rPr>
        <w:t>0</w:t>
      </w:r>
      <w:r w:rsidR="007B10A5">
        <w:rPr>
          <w:bCs/>
        </w:rPr>
        <w:t xml:space="preserve"> </w:t>
      </w:r>
      <w:r w:rsidRPr="00580269">
        <w:rPr>
          <w:bCs/>
        </w:rPr>
        <w:t>%.</w:t>
      </w:r>
    </w:p>
    <w:p w14:paraId="20319514" w14:textId="77777777" w:rsidR="002C5D33" w:rsidRPr="00580269" w:rsidRDefault="002C5D33" w:rsidP="00540564">
      <w:pPr>
        <w:rPr>
          <w:bCs/>
        </w:rPr>
      </w:pPr>
    </w:p>
    <w:p w14:paraId="7A43EC01" w14:textId="3BB60CB8" w:rsidR="00580269" w:rsidRDefault="002D5F22" w:rsidP="00580269">
      <w:pPr>
        <w:jc w:val="left"/>
        <w:rPr>
          <w:bCs/>
        </w:rPr>
      </w:pPr>
      <w:r>
        <w:rPr>
          <w:noProof/>
        </w:rPr>
        <w:drawing>
          <wp:inline distT="0" distB="0" distL="0" distR="0" wp14:anchorId="33D5D1C2" wp14:editId="0DD8BAB8">
            <wp:extent cx="5760085" cy="2929890"/>
            <wp:effectExtent l="0" t="0" r="12065" b="3810"/>
            <wp:docPr id="1217531296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54D5880D" w14:textId="77777777" w:rsidR="002C5D33" w:rsidRPr="00580269" w:rsidRDefault="002C5D33" w:rsidP="00580269">
      <w:pPr>
        <w:jc w:val="left"/>
        <w:rPr>
          <w:bCs/>
        </w:rPr>
      </w:pPr>
    </w:p>
    <w:p w14:paraId="1B8BE732" w14:textId="510BF39A" w:rsidR="00580269" w:rsidRPr="00580269" w:rsidRDefault="00580269" w:rsidP="00C8051E">
      <w:pPr>
        <w:jc w:val="left"/>
        <w:rPr>
          <w:bCs/>
        </w:rPr>
      </w:pPr>
      <w:r w:rsidRPr="00580269">
        <w:rPr>
          <w:bCs/>
        </w:rPr>
        <w:t>Mezičtvrtletní růst HDP byl pozitivně ovlivněn rostoucí</w:t>
      </w:r>
      <w:r w:rsidR="00DC7792">
        <w:rPr>
          <w:bCs/>
        </w:rPr>
        <w:t>mi výdaji na konečnou spotřebu a saldem zahraničního obchodu</w:t>
      </w:r>
      <w:r w:rsidRPr="00580269">
        <w:rPr>
          <w:bCs/>
        </w:rPr>
        <w:t>. Negativní vliv měl</w:t>
      </w:r>
      <w:r w:rsidR="00DC7792">
        <w:rPr>
          <w:bCs/>
        </w:rPr>
        <w:t>a tvorba hrubého kapitálu</w:t>
      </w:r>
      <w:r w:rsidRPr="00580269">
        <w:rPr>
          <w:bCs/>
        </w:rPr>
        <w:t>.</w:t>
      </w:r>
    </w:p>
    <w:p w14:paraId="37B987FF" w14:textId="65F3326D" w:rsidR="00580269" w:rsidRPr="00580269" w:rsidRDefault="00580269" w:rsidP="00C8051E">
      <w:pPr>
        <w:jc w:val="left"/>
        <w:rPr>
          <w:bCs/>
        </w:rPr>
      </w:pPr>
      <w:r w:rsidRPr="00580269">
        <w:rPr>
          <w:bCs/>
        </w:rPr>
        <w:t>„</w:t>
      </w:r>
      <w:r w:rsidR="00754861" w:rsidRPr="00754861">
        <w:rPr>
          <w:bCs/>
          <w:i/>
          <w:iCs/>
        </w:rPr>
        <w:t>Meziroční růst HDP o 2,0 % byl podpořen zejména vyššími výdaji na konečnou spotřebu domácností a rostoucí zahraniční poptávko</w:t>
      </w:r>
      <w:r w:rsidR="00754861">
        <w:rPr>
          <w:bCs/>
          <w:i/>
          <w:iCs/>
        </w:rPr>
        <w:t>u</w:t>
      </w:r>
      <w:r w:rsidRPr="00580269">
        <w:rPr>
          <w:bCs/>
          <w:i/>
        </w:rPr>
        <w:t>,“</w:t>
      </w:r>
      <w:r w:rsidRPr="00580269">
        <w:rPr>
          <w:bCs/>
        </w:rPr>
        <w:t xml:space="preserve"> sdělil Vladimír Kermiet, ředitel odboru národních účtů ČSÚ.</w:t>
      </w:r>
    </w:p>
    <w:p w14:paraId="2E7ACA96" w14:textId="37BBB1BC" w:rsidR="00A132C3" w:rsidRPr="00A132C3" w:rsidRDefault="00A132C3" w:rsidP="00C8051E">
      <w:pPr>
        <w:jc w:val="left"/>
        <w:rPr>
          <w:bCs/>
        </w:rPr>
      </w:pPr>
      <w:r w:rsidRPr="00A132C3">
        <w:rPr>
          <w:bCs/>
        </w:rPr>
        <w:t>Vývoj hrubé přidané hodnoty v</w:t>
      </w:r>
      <w:r w:rsidR="007B10A5">
        <w:rPr>
          <w:bCs/>
        </w:rPr>
        <w:t xml:space="preserve"> </w:t>
      </w:r>
      <w:r w:rsidRPr="00A132C3">
        <w:rPr>
          <w:bCs/>
        </w:rPr>
        <w:t>mezičtvrtletním srovnání pozitivně ovlivnil</w:t>
      </w:r>
      <w:r w:rsidR="00811D46">
        <w:rPr>
          <w:bCs/>
        </w:rPr>
        <w:t xml:space="preserve"> především průmysl. Dařilo se </w:t>
      </w:r>
      <w:r w:rsidR="0066215A">
        <w:rPr>
          <w:bCs/>
        </w:rPr>
        <w:t xml:space="preserve">také </w:t>
      </w:r>
      <w:r w:rsidRPr="00A132C3">
        <w:rPr>
          <w:bCs/>
        </w:rPr>
        <w:t>většin</w:t>
      </w:r>
      <w:r w:rsidR="00811D46">
        <w:rPr>
          <w:bCs/>
        </w:rPr>
        <w:t>ě</w:t>
      </w:r>
      <w:r w:rsidRPr="00A132C3">
        <w:rPr>
          <w:bCs/>
        </w:rPr>
        <w:t xml:space="preserve"> odvětví služeb. K meziročnímu růstu hrubé přidané hodnoty nejvíce přispěl průmysl</w:t>
      </w:r>
      <w:r w:rsidR="00811D46">
        <w:rPr>
          <w:bCs/>
        </w:rPr>
        <w:t>,</w:t>
      </w:r>
      <w:r w:rsidRPr="00A132C3">
        <w:rPr>
          <w:bCs/>
        </w:rPr>
        <w:t xml:space="preserve"> skupina odvětví obchodu, dopravy, ubytování a pohostinství</w:t>
      </w:r>
      <w:r w:rsidR="00811D46">
        <w:rPr>
          <w:bCs/>
        </w:rPr>
        <w:t xml:space="preserve"> a informační a komunikační činnosti.</w:t>
      </w:r>
    </w:p>
    <w:p w14:paraId="109E674F" w14:textId="6AC198B6" w:rsidR="00A132C3" w:rsidRPr="00A132C3" w:rsidRDefault="00A132C3" w:rsidP="00C8051E">
      <w:pPr>
        <w:jc w:val="left"/>
        <w:rPr>
          <w:bCs/>
        </w:rPr>
      </w:pPr>
      <w:r w:rsidRPr="00A132C3">
        <w:rPr>
          <w:bCs/>
        </w:rPr>
        <w:t>Zaměstnanost</w:t>
      </w:r>
      <w:r w:rsidRPr="00A132C3">
        <w:rPr>
          <w:bCs/>
          <w:vertAlign w:val="superscript"/>
        </w:rPr>
        <w:footnoteReference w:id="2"/>
      </w:r>
      <w:r w:rsidRPr="00A132C3">
        <w:rPr>
          <w:bCs/>
        </w:rPr>
        <w:t xml:space="preserve"> </w:t>
      </w:r>
      <w:r w:rsidR="00982CA2">
        <w:rPr>
          <w:bCs/>
        </w:rPr>
        <w:t xml:space="preserve">vzrostla </w:t>
      </w:r>
      <w:r w:rsidRPr="00A132C3">
        <w:rPr>
          <w:bCs/>
        </w:rPr>
        <w:t>mezičtvrtletně</w:t>
      </w:r>
      <w:r w:rsidR="00982CA2">
        <w:rPr>
          <w:bCs/>
        </w:rPr>
        <w:t xml:space="preserve"> o 0,2 %</w:t>
      </w:r>
      <w:r w:rsidRPr="00A132C3">
        <w:rPr>
          <w:bCs/>
        </w:rPr>
        <w:t xml:space="preserve"> a </w:t>
      </w:r>
      <w:r w:rsidR="00982CA2">
        <w:rPr>
          <w:bCs/>
        </w:rPr>
        <w:t>meziročně</w:t>
      </w:r>
      <w:r w:rsidR="007B10A5">
        <w:rPr>
          <w:bCs/>
        </w:rPr>
        <w:t xml:space="preserve"> </w:t>
      </w:r>
      <w:r w:rsidRPr="00A132C3">
        <w:rPr>
          <w:bCs/>
        </w:rPr>
        <w:t>o</w:t>
      </w:r>
      <w:r w:rsidR="007B10A5">
        <w:rPr>
          <w:bCs/>
        </w:rPr>
        <w:t xml:space="preserve"> </w:t>
      </w:r>
      <w:r w:rsidRPr="00A132C3">
        <w:rPr>
          <w:bCs/>
        </w:rPr>
        <w:t>0,</w:t>
      </w:r>
      <w:r w:rsidR="00982CA2">
        <w:rPr>
          <w:bCs/>
        </w:rPr>
        <w:t>9</w:t>
      </w:r>
      <w:r w:rsidR="007B10A5">
        <w:rPr>
          <w:bCs/>
        </w:rPr>
        <w:t xml:space="preserve"> </w:t>
      </w:r>
      <w:r w:rsidRPr="00A132C3">
        <w:rPr>
          <w:bCs/>
        </w:rPr>
        <w:t>%.</w:t>
      </w:r>
    </w:p>
    <w:p w14:paraId="569AF6EB" w14:textId="77777777" w:rsidR="00580269" w:rsidRDefault="00580269" w:rsidP="00580269">
      <w:pPr>
        <w:pStyle w:val="Poznmky"/>
        <w:tabs>
          <w:tab w:val="left" w:pos="284"/>
        </w:tabs>
        <w:spacing w:before="600"/>
        <w:ind w:left="4253" w:hanging="4253"/>
        <w:rPr>
          <w:i w:val="0"/>
        </w:rPr>
      </w:pPr>
      <w:r>
        <w:lastRenderedPageBreak/>
        <w:t>Zodpovědný vedoucí pracovník</w:t>
      </w:r>
      <w:r w:rsidRPr="00304ECA">
        <w:t>:</w:t>
      </w:r>
      <w:r w:rsidRPr="00304ECA">
        <w:tab/>
      </w:r>
      <w:r>
        <w:t>Ing. Vladimír Kermiet</w:t>
      </w:r>
      <w:r w:rsidRPr="00304ECA">
        <w:t xml:space="preserve">, ředitel </w:t>
      </w:r>
      <w:r>
        <w:t>o</w:t>
      </w:r>
      <w:r w:rsidRPr="00304ECA">
        <w:t xml:space="preserve">dboru národních </w:t>
      </w:r>
      <w:r>
        <w:t>účtů, tel. </w:t>
      </w:r>
      <w:r w:rsidRPr="00304ECA">
        <w:t>274 05</w:t>
      </w:r>
      <w:r>
        <w:t>4 247</w:t>
      </w:r>
      <w:r w:rsidRPr="00304ECA">
        <w:t>,</w:t>
      </w:r>
      <w:r>
        <w:t xml:space="preserve"> e</w:t>
      </w:r>
      <w:r>
        <w:noBreakHyphen/>
        <w:t>mail: </w:t>
      </w:r>
      <w:hyperlink r:id="rId12" w:history="1">
        <w:r w:rsidRPr="000707CE">
          <w:rPr>
            <w:rStyle w:val="Hypertextovodkaz"/>
          </w:rPr>
          <w:t>vladimir.kermiet@csu.gov.cz</w:t>
        </w:r>
      </w:hyperlink>
    </w:p>
    <w:p w14:paraId="11FF68B2" w14:textId="77777777" w:rsidR="00580269" w:rsidRDefault="00580269" w:rsidP="00580269">
      <w:pPr>
        <w:pStyle w:val="Poznamkytexty"/>
        <w:ind w:left="4253" w:hanging="4253"/>
        <w:jc w:val="left"/>
      </w:pPr>
      <w:r>
        <w:t>Kontaktní osoba:</w:t>
      </w:r>
      <w:r>
        <w:tab/>
        <w:t>Ing. Jan Benedikt</w:t>
      </w:r>
      <w:r w:rsidRPr="00315471">
        <w:t xml:space="preserve">, </w:t>
      </w:r>
      <w:r>
        <w:t xml:space="preserve">vedoucí oddělení čtvrtletních odhadů, </w:t>
      </w:r>
      <w:r w:rsidRPr="00315471">
        <w:t>tel.</w:t>
      </w:r>
      <w:r>
        <w:t> </w:t>
      </w:r>
      <w:r w:rsidRPr="00315471">
        <w:t>274 052 750, e</w:t>
      </w:r>
      <w:r w:rsidRPr="00315471">
        <w:noBreakHyphen/>
        <w:t>mail:  </w:t>
      </w:r>
      <w:hyperlink r:id="rId13" w:history="1">
        <w:r>
          <w:rPr>
            <w:rStyle w:val="Hypertextovodkaz"/>
          </w:rPr>
          <w:t>jan.benedikt@csu.gov.cz</w:t>
        </w:r>
      </w:hyperlink>
    </w:p>
    <w:p w14:paraId="0E60278B" w14:textId="7F0E6F0A" w:rsidR="00580269" w:rsidRDefault="00580269" w:rsidP="00580269">
      <w:pPr>
        <w:pStyle w:val="Poznamkytexty"/>
        <w:ind w:left="4253" w:hanging="4253"/>
      </w:pPr>
      <w:r>
        <w:t>Aktuálnost použitých datových zdrojů</w:t>
      </w:r>
      <w:r w:rsidRPr="00B13ABB">
        <w:t>:</w:t>
      </w:r>
      <w:r w:rsidRPr="00B13ABB">
        <w:tab/>
      </w:r>
      <w:r>
        <w:t>2</w:t>
      </w:r>
      <w:r w:rsidR="008D3D81">
        <w:t>3</w:t>
      </w:r>
      <w:r>
        <w:t xml:space="preserve">. </w:t>
      </w:r>
      <w:r w:rsidR="008D3D81">
        <w:t>července</w:t>
      </w:r>
      <w:r>
        <w:t xml:space="preserve"> 2026</w:t>
      </w:r>
    </w:p>
    <w:p w14:paraId="19D9BFCA" w14:textId="77777777" w:rsidR="00580269" w:rsidRPr="00D9330E" w:rsidRDefault="00580269" w:rsidP="00580269">
      <w:pPr>
        <w:pStyle w:val="Poznamkytexty"/>
        <w:ind w:left="4253" w:hanging="4253"/>
        <w:rPr>
          <w:color w:val="auto"/>
        </w:rPr>
      </w:pPr>
      <w:r>
        <w:t>Internetové stránky ČSÚ</w:t>
      </w:r>
      <w:r w:rsidRPr="00B13ABB">
        <w:t>:</w:t>
      </w:r>
      <w:r w:rsidRPr="00B13ABB">
        <w:tab/>
      </w:r>
      <w:hyperlink r:id="rId14" w:history="1">
        <w:r>
          <w:rPr>
            <w:rStyle w:val="Hypertextovodkaz"/>
          </w:rPr>
          <w:t>https://csu.gov.cz/ctvrtletni-odhady-hdp</w:t>
        </w:r>
      </w:hyperlink>
      <w:r>
        <w:rPr>
          <w:color w:val="auto"/>
        </w:rPr>
        <w:t xml:space="preserve"> </w:t>
      </w:r>
    </w:p>
    <w:p w14:paraId="519F5603" w14:textId="3257D494" w:rsidR="00580269" w:rsidRPr="004920AD" w:rsidRDefault="00580269" w:rsidP="00580269">
      <w:pPr>
        <w:pStyle w:val="Poznamkytexty"/>
        <w:ind w:left="4253" w:hanging="4253"/>
        <w:jc w:val="left"/>
      </w:pPr>
      <w:r>
        <w:t>Termín zveřejnění další RI:</w:t>
      </w:r>
      <w:r>
        <w:tab/>
        <w:t>2</w:t>
      </w:r>
      <w:r w:rsidR="008D3D81">
        <w:t>8</w:t>
      </w:r>
      <w:r>
        <w:t xml:space="preserve">. </w:t>
      </w:r>
      <w:r w:rsidR="008D3D81">
        <w:t>srpna</w:t>
      </w:r>
      <w:r>
        <w:t xml:space="preserve"> 2026 </w:t>
      </w:r>
      <w:r>
        <w:br/>
        <w:t xml:space="preserve">(Tvorba a užití HDP za </w:t>
      </w:r>
      <w:r w:rsidR="008D3D81">
        <w:t>2</w:t>
      </w:r>
      <w:r>
        <w:t>. čtvrtletí 2026)</w:t>
      </w:r>
    </w:p>
    <w:p w14:paraId="4711C349" w14:textId="76C0B601" w:rsidR="00070445" w:rsidRDefault="00070445">
      <w:pPr>
        <w:rPr>
          <w:i/>
          <w:sz w:val="18"/>
        </w:rPr>
      </w:pPr>
    </w:p>
    <w:sectPr w:rsidR="00070445" w:rsidSect="00BE2E0B">
      <w:headerReference w:type="default" r:id="rId15"/>
      <w:footerReference w:type="default" r:id="rId16"/>
      <w:pgSz w:w="11906" w:h="16838" w:code="9"/>
      <w:pgMar w:top="2268" w:right="1361" w:bottom="1531" w:left="1474" w:header="60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29C49F" w14:textId="77777777" w:rsidR="00BF78F1" w:rsidRDefault="00BF78F1" w:rsidP="004A01A7">
      <w:pPr>
        <w:spacing w:after="0" w:line="240" w:lineRule="auto"/>
      </w:pPr>
      <w:r>
        <w:separator/>
      </w:r>
    </w:p>
  </w:endnote>
  <w:endnote w:type="continuationSeparator" w:id="0">
    <w:p w14:paraId="35B28480" w14:textId="77777777" w:rsidR="00BF78F1" w:rsidRDefault="00BF78F1" w:rsidP="004A0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ADC06" w14:textId="77777777" w:rsidR="006A57CC" w:rsidRDefault="006A57CC" w:rsidP="00F21B6A">
    <w:pPr>
      <w:pStyle w:val="Zpat"/>
    </w:pPr>
    <w:r w:rsidRPr="006A57CC">
      <w:t>Český statistický úřad</w:t>
    </w:r>
  </w:p>
  <w:p w14:paraId="7E57B382" w14:textId="77777777" w:rsidR="00F21B6A" w:rsidRDefault="00CB5768" w:rsidP="00F21B6A">
    <w:pPr>
      <w:pStyle w:val="Zpat"/>
    </w:pPr>
    <w:r w:rsidRPr="00CB5768">
      <w:t>Oddělení informačních služeb – ústředí</w:t>
    </w:r>
    <w:r w:rsidR="00F21B6A">
      <w:tab/>
    </w:r>
    <w:r w:rsidR="00F21B6A">
      <w:tab/>
    </w:r>
    <w:r w:rsidR="00F21B6A" w:rsidRPr="008B0E87">
      <w:rPr>
        <w:spacing w:val="20"/>
      </w:rPr>
      <w:fldChar w:fldCharType="begin"/>
    </w:r>
    <w:r w:rsidR="00F21B6A" w:rsidRPr="008B0E87">
      <w:rPr>
        <w:spacing w:val="20"/>
      </w:rPr>
      <w:instrText>PAGE</w:instrText>
    </w:r>
    <w:r w:rsidR="00F21B6A" w:rsidRPr="008B0E87">
      <w:rPr>
        <w:spacing w:val="20"/>
      </w:rPr>
      <w:fldChar w:fldCharType="separate"/>
    </w:r>
    <w:r w:rsidR="00F21B6A">
      <w:rPr>
        <w:spacing w:val="20"/>
      </w:rPr>
      <w:t>1</w:t>
    </w:r>
    <w:r w:rsidR="00F21B6A" w:rsidRPr="008B0E87">
      <w:rPr>
        <w:spacing w:val="20"/>
      </w:rPr>
      <w:fldChar w:fldCharType="end"/>
    </w:r>
    <w:r w:rsidR="00F21B6A" w:rsidRPr="008B0E87">
      <w:rPr>
        <w:spacing w:val="20"/>
      </w:rPr>
      <w:t>/</w:t>
    </w:r>
    <w:r w:rsidR="00F21B6A" w:rsidRPr="008B0E87">
      <w:rPr>
        <w:spacing w:val="20"/>
      </w:rPr>
      <w:fldChar w:fldCharType="begin"/>
    </w:r>
    <w:r w:rsidR="00F21B6A" w:rsidRPr="008B0E87">
      <w:rPr>
        <w:spacing w:val="20"/>
      </w:rPr>
      <w:instrText>NUMPAGES</w:instrText>
    </w:r>
    <w:r w:rsidR="00F21B6A" w:rsidRPr="008B0E87">
      <w:rPr>
        <w:spacing w:val="20"/>
      </w:rPr>
      <w:fldChar w:fldCharType="separate"/>
    </w:r>
    <w:r w:rsidR="00F21B6A">
      <w:rPr>
        <w:spacing w:val="20"/>
      </w:rPr>
      <w:t>6</w:t>
    </w:r>
    <w:r w:rsidR="00F21B6A" w:rsidRPr="008B0E87">
      <w:rPr>
        <w:spacing w:val="20"/>
      </w:rPr>
      <w:fldChar w:fldCharType="end"/>
    </w:r>
  </w:p>
  <w:p w14:paraId="058E808F" w14:textId="77777777" w:rsidR="00F21B6A" w:rsidRDefault="006A57CC" w:rsidP="00F21B6A">
    <w:pPr>
      <w:pStyle w:val="Zpat"/>
      <w:tabs>
        <w:tab w:val="left" w:pos="4440"/>
      </w:tabs>
    </w:pPr>
    <w:r w:rsidRPr="006A57CC">
      <w:t>Na padesátém 3268/81, 100 82 Praha 10</w:t>
    </w:r>
    <w:r w:rsidR="00F21B6A">
      <w:tab/>
    </w:r>
    <w:r w:rsidR="00F21B6A">
      <w:tab/>
    </w:r>
    <w:r w:rsidR="00F21B6A">
      <w:tab/>
    </w:r>
  </w:p>
  <w:p w14:paraId="46E6AB04" w14:textId="77777777" w:rsidR="004A01A7" w:rsidRPr="00F21B6A" w:rsidRDefault="00CB5768" w:rsidP="00F21B6A">
    <w:pPr>
      <w:pStyle w:val="Zpat"/>
    </w:pPr>
    <w:r w:rsidRPr="00CB5768">
      <w:t>T: +420 274 056 789, E: infoservis@csu.gov.cz</w:t>
    </w:r>
    <w:r w:rsidR="00F21B6A">
      <w:tab/>
    </w:r>
    <w:r w:rsidR="00F21B6A">
      <w:tab/>
    </w:r>
    <w:hyperlink r:id="rId1" w:history="1">
      <w:r w:rsidR="006A57CC">
        <w:t>csu.gov.cz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BAC010" w14:textId="77777777" w:rsidR="00BF78F1" w:rsidRDefault="00BF78F1" w:rsidP="004A01A7">
      <w:pPr>
        <w:spacing w:after="0" w:line="240" w:lineRule="auto"/>
      </w:pPr>
      <w:r>
        <w:t>_________________________________________________________________________________</w:t>
      </w:r>
    </w:p>
  </w:footnote>
  <w:footnote w:type="continuationSeparator" w:id="0">
    <w:p w14:paraId="0F754CDC" w14:textId="77777777" w:rsidR="00BF78F1" w:rsidRDefault="00BF78F1" w:rsidP="004A01A7">
      <w:pPr>
        <w:spacing w:after="0" w:line="240" w:lineRule="auto"/>
      </w:pPr>
      <w:r>
        <w:continuationSeparator/>
      </w:r>
    </w:p>
  </w:footnote>
  <w:footnote w:id="1">
    <w:p w14:paraId="0A9AF9C2" w14:textId="77777777" w:rsidR="00580269" w:rsidRPr="00943006" w:rsidRDefault="00580269" w:rsidP="00580269">
      <w:pPr>
        <w:pStyle w:val="Textpoznpodarou"/>
        <w:spacing w:before="60"/>
        <w:rPr>
          <w:i/>
          <w:sz w:val="18"/>
          <w:szCs w:val="18"/>
        </w:rPr>
      </w:pPr>
      <w:r w:rsidRPr="00943006">
        <w:rPr>
          <w:rStyle w:val="Znakapoznpodarou"/>
          <w:rFonts w:ascii="Arial" w:hAnsi="Arial" w:cs="Arial"/>
          <w:i/>
          <w:sz w:val="18"/>
          <w:szCs w:val="18"/>
        </w:rPr>
        <w:footnoteRef/>
      </w:r>
      <w:r w:rsidRPr="00943006"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>Všechny u</w:t>
      </w:r>
      <w:r w:rsidRPr="00943006">
        <w:rPr>
          <w:rFonts w:ascii="Arial" w:hAnsi="Arial" w:cs="Arial"/>
          <w:i/>
          <w:sz w:val="18"/>
          <w:szCs w:val="18"/>
        </w:rPr>
        <w:t xml:space="preserve">váděné údaje </w:t>
      </w:r>
      <w:r>
        <w:rPr>
          <w:rFonts w:ascii="Arial" w:hAnsi="Arial" w:cs="Arial"/>
          <w:i/>
          <w:sz w:val="18"/>
          <w:szCs w:val="18"/>
        </w:rPr>
        <w:t xml:space="preserve">jsou </w:t>
      </w:r>
      <w:r w:rsidRPr="00943006">
        <w:rPr>
          <w:rFonts w:ascii="Arial" w:hAnsi="Arial" w:cs="Arial"/>
          <w:i/>
          <w:sz w:val="18"/>
          <w:szCs w:val="18"/>
        </w:rPr>
        <w:t xml:space="preserve">očištěny o sezónní vlivy a nestejný počet pracovních dní. </w:t>
      </w:r>
    </w:p>
  </w:footnote>
  <w:footnote w:id="2">
    <w:p w14:paraId="27EDF015" w14:textId="77777777" w:rsidR="00A132C3" w:rsidRPr="00943006" w:rsidRDefault="00A132C3" w:rsidP="00A132C3">
      <w:pPr>
        <w:pStyle w:val="Textpoznpodarou"/>
        <w:spacing w:before="60"/>
        <w:rPr>
          <w:rFonts w:ascii="Arial" w:hAnsi="Arial" w:cs="Arial"/>
          <w:i/>
          <w:sz w:val="18"/>
          <w:szCs w:val="18"/>
        </w:rPr>
      </w:pPr>
      <w:r w:rsidRPr="00943006">
        <w:rPr>
          <w:rStyle w:val="Znakapoznpodarou"/>
          <w:rFonts w:ascii="Arial" w:hAnsi="Arial" w:cs="Arial"/>
          <w:i/>
          <w:sz w:val="18"/>
          <w:szCs w:val="18"/>
        </w:rPr>
        <w:footnoteRef/>
      </w:r>
      <w:r w:rsidRPr="00943006">
        <w:rPr>
          <w:i/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>V</w:t>
      </w:r>
      <w:r w:rsidRPr="00943006">
        <w:rPr>
          <w:rFonts w:ascii="Arial" w:hAnsi="Arial" w:cs="Arial"/>
          <w:i/>
          <w:sz w:val="18"/>
          <w:szCs w:val="18"/>
        </w:rPr>
        <w:t> pojetí národních účtů.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ulkaJVS4-bezohranien"/>
      <w:tblW w:w="4253" w:type="dxa"/>
      <w:jc w:val="right"/>
      <w:tblLayout w:type="fixed"/>
      <w:tblLook w:val="04A0" w:firstRow="1" w:lastRow="0" w:firstColumn="1" w:lastColumn="0" w:noHBand="0" w:noVBand="1"/>
    </w:tblPr>
    <w:tblGrid>
      <w:gridCol w:w="4253"/>
    </w:tblGrid>
    <w:tr w:rsidR="003208E6" w14:paraId="08007BFC" w14:textId="77777777" w:rsidTr="00F21B6A">
      <w:trPr>
        <w:jc w:val="right"/>
      </w:trPr>
      <w:tc>
        <w:tcPr>
          <w:tcW w:w="4253" w:type="dxa"/>
        </w:tcPr>
        <w:p w14:paraId="649A2168" w14:textId="77777777" w:rsidR="003208E6" w:rsidRDefault="001510FA" w:rsidP="00C063DD">
          <w:pPr>
            <w:pStyle w:val="Nadpis3"/>
            <w:spacing w:before="0"/>
            <w:jc w:val="right"/>
          </w:pPr>
          <w:r w:rsidRPr="001510FA">
            <w:t>Rychlá informace</w:t>
          </w:r>
        </w:p>
      </w:tc>
    </w:tr>
  </w:tbl>
  <w:p w14:paraId="15A126ED" w14:textId="1323CB13" w:rsidR="004A01A7" w:rsidRDefault="00811964" w:rsidP="00550B36">
    <w:pPr>
      <w:pStyle w:val="Zhlav"/>
    </w:pPr>
    <w:r w:rsidRPr="0024515A">
      <w:rPr>
        <w:noProof/>
        <w:color w:val="000000" w:themeColor="text1"/>
      </w:rPr>
      <w:drawing>
        <wp:anchor distT="0" distB="0" distL="114300" distR="114300" simplePos="0" relativeHeight="251659264" behindDoc="0" locked="0" layoutInCell="1" allowOverlap="1" wp14:anchorId="64A68708" wp14:editId="19AABCC2">
          <wp:simplePos x="0" y="0"/>
          <wp:positionH relativeFrom="page">
            <wp:posOffset>485775</wp:posOffset>
          </wp:positionH>
          <wp:positionV relativeFrom="page">
            <wp:posOffset>360045</wp:posOffset>
          </wp:positionV>
          <wp:extent cx="1602000" cy="792000"/>
          <wp:effectExtent l="0" t="0" r="0" b="8255"/>
          <wp:wrapNone/>
          <wp:docPr id="20934161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341612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20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9117C"/>
    <w:multiLevelType w:val="multilevel"/>
    <w:tmpl w:val="3BE66384"/>
    <w:numStyleLink w:val="Stylseznamu-odrky"/>
  </w:abstractNum>
  <w:abstractNum w:abstractNumId="1" w15:restartNumberingAfterBreak="0">
    <w:nsid w:val="174263CB"/>
    <w:multiLevelType w:val="multilevel"/>
    <w:tmpl w:val="3BE66384"/>
    <w:numStyleLink w:val="Stylseznamu-odrky"/>
  </w:abstractNum>
  <w:abstractNum w:abstractNumId="2" w15:restartNumberingAfterBreak="0">
    <w:nsid w:val="17E43046"/>
    <w:multiLevelType w:val="multilevel"/>
    <w:tmpl w:val="B87A9D68"/>
    <w:styleLink w:val="Stylseznamu-odstavceslovan"/>
    <w:lvl w:ilvl="0">
      <w:start w:val="1"/>
      <w:numFmt w:val="decimal"/>
      <w:pStyle w:val="Seznamslovan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Seznamslovan2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Seznamslovan3"/>
      <w:lvlText w:val="%1.%2.%3."/>
      <w:lvlJc w:val="left"/>
      <w:pPr>
        <w:ind w:left="1134" w:hanging="737"/>
      </w:pPr>
      <w:rPr>
        <w:rFonts w:hint="default"/>
      </w:rPr>
    </w:lvl>
    <w:lvl w:ilvl="3">
      <w:start w:val="1"/>
      <w:numFmt w:val="decimal"/>
      <w:pStyle w:val="Seznamslovan4"/>
      <w:lvlText w:val="%1.%2.%3.%4."/>
      <w:lvlJc w:val="left"/>
      <w:pPr>
        <w:ind w:left="1304" w:hanging="907"/>
      </w:pPr>
      <w:rPr>
        <w:rFonts w:hint="default"/>
      </w:rPr>
    </w:lvl>
    <w:lvl w:ilvl="4">
      <w:start w:val="1"/>
      <w:numFmt w:val="decimal"/>
      <w:pStyle w:val="Seznamslovan5"/>
      <w:lvlText w:val="%1.%2.%3.%4.%5."/>
      <w:lvlJc w:val="left"/>
      <w:pPr>
        <w:ind w:left="1474" w:hanging="1077"/>
      </w:pPr>
      <w:rPr>
        <w:rFonts w:hint="default"/>
      </w:rPr>
    </w:lvl>
    <w:lvl w:ilvl="5">
      <w:start w:val="1"/>
      <w:numFmt w:val="decimal"/>
      <w:pStyle w:val="Seznamslovan6"/>
      <w:lvlText w:val="%1.%2.%3.%4.%5.%6."/>
      <w:lvlJc w:val="left"/>
      <w:pPr>
        <w:ind w:left="1644" w:hanging="1247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BCC2635"/>
    <w:multiLevelType w:val="multilevel"/>
    <w:tmpl w:val="B87A9D68"/>
    <w:numStyleLink w:val="Stylseznamu-odstavceslovan"/>
  </w:abstractNum>
  <w:abstractNum w:abstractNumId="4" w15:restartNumberingAfterBreak="0">
    <w:nsid w:val="23AA7C6F"/>
    <w:multiLevelType w:val="multilevel"/>
    <w:tmpl w:val="3BE66384"/>
    <w:numStyleLink w:val="Stylseznamu-odrky"/>
  </w:abstractNum>
  <w:abstractNum w:abstractNumId="5" w15:restartNumberingAfterBreak="0">
    <w:nsid w:val="3EAA4253"/>
    <w:multiLevelType w:val="multilevel"/>
    <w:tmpl w:val="3BE66384"/>
    <w:numStyleLink w:val="Stylseznamu-odrky"/>
  </w:abstractNum>
  <w:abstractNum w:abstractNumId="6" w15:restartNumberingAfterBreak="0">
    <w:nsid w:val="507C7313"/>
    <w:multiLevelType w:val="multilevel"/>
    <w:tmpl w:val="B87A9D68"/>
    <w:numStyleLink w:val="Stylseznamu-odstavceslovan"/>
  </w:abstractNum>
  <w:abstractNum w:abstractNumId="7" w15:restartNumberingAfterBreak="0">
    <w:nsid w:val="528219F0"/>
    <w:multiLevelType w:val="multilevel"/>
    <w:tmpl w:val="599C2AC6"/>
    <w:numStyleLink w:val="Stylseznamu-nadpisyslovan"/>
  </w:abstractNum>
  <w:abstractNum w:abstractNumId="8" w15:restartNumberingAfterBreak="0">
    <w:nsid w:val="55427B69"/>
    <w:multiLevelType w:val="multilevel"/>
    <w:tmpl w:val="599C2AC6"/>
    <w:numStyleLink w:val="Stylseznamu-nadpisyslovan"/>
  </w:abstractNum>
  <w:abstractNum w:abstractNumId="9" w15:restartNumberingAfterBreak="0">
    <w:nsid w:val="56960494"/>
    <w:multiLevelType w:val="multilevel"/>
    <w:tmpl w:val="3BE66384"/>
    <w:numStyleLink w:val="Stylseznamu-odrky"/>
  </w:abstractNum>
  <w:abstractNum w:abstractNumId="10" w15:restartNumberingAfterBreak="0">
    <w:nsid w:val="57355857"/>
    <w:multiLevelType w:val="multilevel"/>
    <w:tmpl w:val="599C2AC6"/>
    <w:styleLink w:val="Stylseznamu-nadpisyslovan"/>
    <w:lvl w:ilvl="0">
      <w:start w:val="1"/>
      <w:numFmt w:val="decimal"/>
      <w:pStyle w:val="Nadpis1slovan"/>
      <w:lvlText w:val="%1.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Nadpis2slovan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Nadpis3slovan"/>
      <w:lvlText w:val="%1.%2.%3."/>
      <w:lvlJc w:val="left"/>
      <w:pPr>
        <w:ind w:left="822" w:hanging="822"/>
      </w:pPr>
      <w:rPr>
        <w:rFonts w:hint="default"/>
      </w:rPr>
    </w:lvl>
    <w:lvl w:ilvl="3">
      <w:start w:val="1"/>
      <w:numFmt w:val="decimal"/>
      <w:pStyle w:val="Nadpis4slovan"/>
      <w:lvlText w:val="%1.%2.%3.%4."/>
      <w:lvlJc w:val="left"/>
      <w:pPr>
        <w:ind w:left="936" w:hanging="936"/>
      </w:pPr>
      <w:rPr>
        <w:rFonts w:hint="default"/>
      </w:rPr>
    </w:lvl>
    <w:lvl w:ilvl="4">
      <w:start w:val="1"/>
      <w:numFmt w:val="decimal"/>
      <w:pStyle w:val="Nadpis5slovan"/>
      <w:lvlText w:val="%1.%2.%3.%4.%5."/>
      <w:lvlJc w:val="left"/>
      <w:pPr>
        <w:ind w:left="1049" w:hanging="1049"/>
      </w:pPr>
      <w:rPr>
        <w:rFonts w:hint="default"/>
      </w:rPr>
    </w:lvl>
    <w:lvl w:ilvl="5">
      <w:start w:val="1"/>
      <w:numFmt w:val="decimal"/>
      <w:pStyle w:val="Nadpis6slovan"/>
      <w:lvlText w:val="%1.%2.%3.%4.%5.%6."/>
      <w:lvlJc w:val="left"/>
      <w:pPr>
        <w:ind w:left="1162" w:hanging="1162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5A0E0C17"/>
    <w:multiLevelType w:val="multilevel"/>
    <w:tmpl w:val="599C2AC6"/>
    <w:numStyleLink w:val="Stylseznamu-nadpisyslovan"/>
  </w:abstractNum>
  <w:abstractNum w:abstractNumId="12" w15:restartNumberingAfterBreak="0">
    <w:nsid w:val="5B8C6215"/>
    <w:multiLevelType w:val="multilevel"/>
    <w:tmpl w:val="3BE66384"/>
    <w:styleLink w:val="Stylseznamu-odrky"/>
    <w:lvl w:ilvl="0">
      <w:start w:val="1"/>
      <w:numFmt w:val="bullet"/>
      <w:pStyle w:val="Odrka1"/>
      <w:lvlText w:val="■"/>
      <w:lvlJc w:val="left"/>
      <w:pPr>
        <w:ind w:left="227" w:hanging="227"/>
      </w:pPr>
      <w:rPr>
        <w:rFonts w:ascii="Arial" w:hAnsi="Arial" w:hint="default"/>
      </w:rPr>
    </w:lvl>
    <w:lvl w:ilvl="1">
      <w:start w:val="1"/>
      <w:numFmt w:val="bullet"/>
      <w:pStyle w:val="Odrka2"/>
      <w:lvlText w:val="▪"/>
      <w:lvlJc w:val="left"/>
      <w:pPr>
        <w:tabs>
          <w:tab w:val="num" w:pos="1418"/>
        </w:tabs>
        <w:ind w:left="907" w:hanging="198"/>
      </w:pPr>
      <w:rPr>
        <w:rFonts w:ascii="Arial" w:hAnsi="Arial" w:hint="default"/>
      </w:rPr>
    </w:lvl>
    <w:lvl w:ilvl="2">
      <w:start w:val="1"/>
      <w:numFmt w:val="bullet"/>
      <w:pStyle w:val="Odrka3"/>
      <w:lvlText w:val="■"/>
      <w:lvlJc w:val="left"/>
      <w:pPr>
        <w:tabs>
          <w:tab w:val="num" w:pos="2126"/>
        </w:tabs>
        <w:ind w:left="1644" w:hanging="226"/>
      </w:pPr>
      <w:rPr>
        <w:rFonts w:ascii="Arial" w:hAnsi="Arial" w:hint="default"/>
        <w:color w:val="A7A9B3" w:themeColor="background2"/>
      </w:rPr>
    </w:lvl>
    <w:lvl w:ilvl="3">
      <w:start w:val="1"/>
      <w:numFmt w:val="bullet"/>
      <w:pStyle w:val="Odrka4"/>
      <w:lvlText w:val="▪"/>
      <w:lvlJc w:val="left"/>
      <w:pPr>
        <w:tabs>
          <w:tab w:val="num" w:pos="2835"/>
        </w:tabs>
        <w:ind w:left="2325" w:hanging="199"/>
      </w:pPr>
      <w:rPr>
        <w:rFonts w:ascii="Arial" w:hAnsi="Arial" w:hint="default"/>
        <w:color w:val="A7A9B3" w:themeColor="background2"/>
      </w:rPr>
    </w:lvl>
    <w:lvl w:ilvl="4">
      <w:start w:val="1"/>
      <w:numFmt w:val="bullet"/>
      <w:pStyle w:val="Odrka5"/>
      <w:lvlText w:val="–"/>
      <w:lvlJc w:val="left"/>
      <w:pPr>
        <w:tabs>
          <w:tab w:val="num" w:pos="3544"/>
        </w:tabs>
        <w:ind w:left="3062" w:hanging="227"/>
      </w:pPr>
      <w:rPr>
        <w:rFonts w:ascii="Arial" w:hAnsi="Arial" w:hint="default"/>
        <w:color w:val="auto"/>
      </w:rPr>
    </w:lvl>
    <w:lvl w:ilvl="5">
      <w:start w:val="1"/>
      <w:numFmt w:val="bullet"/>
      <w:pStyle w:val="Odrka6"/>
      <w:lvlText w:val="·"/>
      <w:lvlJc w:val="left"/>
      <w:pPr>
        <w:ind w:left="3714" w:hanging="170"/>
      </w:pPr>
      <w:rPr>
        <w:rFonts w:ascii="Arial" w:hAnsi="Arial" w:hint="default"/>
        <w:color w:val="auto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69B93953"/>
    <w:multiLevelType w:val="multilevel"/>
    <w:tmpl w:val="599C2AC6"/>
    <w:numStyleLink w:val="Stylseznamu-nadpisyslovan"/>
  </w:abstractNum>
  <w:abstractNum w:abstractNumId="14" w15:restartNumberingAfterBreak="0">
    <w:nsid w:val="74052CCF"/>
    <w:multiLevelType w:val="multilevel"/>
    <w:tmpl w:val="3BE66384"/>
    <w:numStyleLink w:val="Stylseznamu-odrky"/>
  </w:abstractNum>
  <w:abstractNum w:abstractNumId="15" w15:restartNumberingAfterBreak="0">
    <w:nsid w:val="7B356AC3"/>
    <w:multiLevelType w:val="multilevel"/>
    <w:tmpl w:val="B87A9D68"/>
    <w:numStyleLink w:val="Stylseznamu-odstavceslovan"/>
  </w:abstractNum>
  <w:abstractNum w:abstractNumId="16" w15:restartNumberingAfterBreak="0">
    <w:nsid w:val="7CA64431"/>
    <w:multiLevelType w:val="multilevel"/>
    <w:tmpl w:val="3BE66384"/>
    <w:numStyleLink w:val="Stylseznamu-odrky"/>
  </w:abstractNum>
  <w:abstractNum w:abstractNumId="17" w15:restartNumberingAfterBreak="0">
    <w:nsid w:val="7F397BA4"/>
    <w:multiLevelType w:val="multilevel"/>
    <w:tmpl w:val="599C2AC6"/>
    <w:numStyleLink w:val="Stylseznamu-nadpisyslovan"/>
  </w:abstractNum>
  <w:abstractNum w:abstractNumId="18" w15:restartNumberingAfterBreak="0">
    <w:nsid w:val="7F5003B6"/>
    <w:multiLevelType w:val="hybridMultilevel"/>
    <w:tmpl w:val="38BC06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9535713">
    <w:abstractNumId w:val="18"/>
  </w:num>
  <w:num w:numId="2" w16cid:durableId="304243697">
    <w:abstractNumId w:val="10"/>
  </w:num>
  <w:num w:numId="3" w16cid:durableId="20265888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74304396">
    <w:abstractNumId w:val="7"/>
  </w:num>
  <w:num w:numId="5" w16cid:durableId="1339186929">
    <w:abstractNumId w:val="17"/>
  </w:num>
  <w:num w:numId="6" w16cid:durableId="1737124859">
    <w:abstractNumId w:val="11"/>
  </w:num>
  <w:num w:numId="7" w16cid:durableId="200482209">
    <w:abstractNumId w:val="8"/>
  </w:num>
  <w:num w:numId="8" w16cid:durableId="2111312322">
    <w:abstractNumId w:val="2"/>
  </w:num>
  <w:num w:numId="9" w16cid:durableId="2848970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6001881">
    <w:abstractNumId w:val="3"/>
  </w:num>
  <w:num w:numId="11" w16cid:durableId="627398554">
    <w:abstractNumId w:val="15"/>
  </w:num>
  <w:num w:numId="12" w16cid:durableId="1445079522">
    <w:abstractNumId w:val="12"/>
  </w:num>
  <w:num w:numId="13" w16cid:durableId="879823075">
    <w:abstractNumId w:val="1"/>
  </w:num>
  <w:num w:numId="14" w16cid:durableId="796529861">
    <w:abstractNumId w:val="16"/>
  </w:num>
  <w:num w:numId="15" w16cid:durableId="165413013">
    <w:abstractNumId w:val="14"/>
  </w:num>
  <w:num w:numId="16" w16cid:durableId="608591211">
    <w:abstractNumId w:val="0"/>
  </w:num>
  <w:num w:numId="17" w16cid:durableId="1669139136">
    <w:abstractNumId w:val="4"/>
  </w:num>
  <w:num w:numId="18" w16cid:durableId="2135248819">
    <w:abstractNumId w:val="5"/>
  </w:num>
  <w:num w:numId="19" w16cid:durableId="831679160">
    <w:abstractNumId w:val="9"/>
  </w:num>
  <w:num w:numId="20" w16cid:durableId="374815673">
    <w:abstractNumId w:val="13"/>
  </w:num>
  <w:num w:numId="21" w16cid:durableId="800330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269"/>
    <w:rsid w:val="000106FE"/>
    <w:rsid w:val="000120B4"/>
    <w:rsid w:val="0002560E"/>
    <w:rsid w:val="00032CCE"/>
    <w:rsid w:val="00035F16"/>
    <w:rsid w:val="00043335"/>
    <w:rsid w:val="00054392"/>
    <w:rsid w:val="0005510C"/>
    <w:rsid w:val="00062565"/>
    <w:rsid w:val="00070445"/>
    <w:rsid w:val="00071F0F"/>
    <w:rsid w:val="00083A55"/>
    <w:rsid w:val="00085436"/>
    <w:rsid w:val="00090918"/>
    <w:rsid w:val="000968A9"/>
    <w:rsid w:val="000A1765"/>
    <w:rsid w:val="000A57D7"/>
    <w:rsid w:val="000B3168"/>
    <w:rsid w:val="000B4F0B"/>
    <w:rsid w:val="000C11F2"/>
    <w:rsid w:val="000C2452"/>
    <w:rsid w:val="000C67FA"/>
    <w:rsid w:val="000C68F4"/>
    <w:rsid w:val="000D2954"/>
    <w:rsid w:val="000D5C58"/>
    <w:rsid w:val="000E00C3"/>
    <w:rsid w:val="000E3099"/>
    <w:rsid w:val="000F141D"/>
    <w:rsid w:val="000F2DAF"/>
    <w:rsid w:val="000F5A54"/>
    <w:rsid w:val="00102994"/>
    <w:rsid w:val="0010606B"/>
    <w:rsid w:val="00134D21"/>
    <w:rsid w:val="00134F2B"/>
    <w:rsid w:val="00135EBB"/>
    <w:rsid w:val="001363A5"/>
    <w:rsid w:val="00137B85"/>
    <w:rsid w:val="00140402"/>
    <w:rsid w:val="00141449"/>
    <w:rsid w:val="00146A2A"/>
    <w:rsid w:val="00150150"/>
    <w:rsid w:val="0015074B"/>
    <w:rsid w:val="001510FA"/>
    <w:rsid w:val="00160FEB"/>
    <w:rsid w:val="00164790"/>
    <w:rsid w:val="001712FE"/>
    <w:rsid w:val="00171B3E"/>
    <w:rsid w:val="00175680"/>
    <w:rsid w:val="001909FA"/>
    <w:rsid w:val="0019514E"/>
    <w:rsid w:val="001D52C5"/>
    <w:rsid w:val="001D719A"/>
    <w:rsid w:val="001E0520"/>
    <w:rsid w:val="001E1B82"/>
    <w:rsid w:val="001E417F"/>
    <w:rsid w:val="001E513B"/>
    <w:rsid w:val="001E691A"/>
    <w:rsid w:val="001F493F"/>
    <w:rsid w:val="002000F6"/>
    <w:rsid w:val="00200551"/>
    <w:rsid w:val="002013B0"/>
    <w:rsid w:val="0020716F"/>
    <w:rsid w:val="00216463"/>
    <w:rsid w:val="00222610"/>
    <w:rsid w:val="002232E9"/>
    <w:rsid w:val="002234D1"/>
    <w:rsid w:val="0022586D"/>
    <w:rsid w:val="0023306D"/>
    <w:rsid w:val="002363CA"/>
    <w:rsid w:val="0024676C"/>
    <w:rsid w:val="00260DCA"/>
    <w:rsid w:val="00271786"/>
    <w:rsid w:val="00275B42"/>
    <w:rsid w:val="00280346"/>
    <w:rsid w:val="00280D21"/>
    <w:rsid w:val="0028101B"/>
    <w:rsid w:val="002826B4"/>
    <w:rsid w:val="00293F29"/>
    <w:rsid w:val="00297C33"/>
    <w:rsid w:val="002B0FF2"/>
    <w:rsid w:val="002C4C20"/>
    <w:rsid w:val="002C5D33"/>
    <w:rsid w:val="002D11B9"/>
    <w:rsid w:val="002D5F22"/>
    <w:rsid w:val="002D796B"/>
    <w:rsid w:val="002F7004"/>
    <w:rsid w:val="0030061B"/>
    <w:rsid w:val="00303A0E"/>
    <w:rsid w:val="00307360"/>
    <w:rsid w:val="003206E7"/>
    <w:rsid w:val="003208E6"/>
    <w:rsid w:val="0032285E"/>
    <w:rsid w:val="003351B8"/>
    <w:rsid w:val="00342E5E"/>
    <w:rsid w:val="003540FA"/>
    <w:rsid w:val="00356332"/>
    <w:rsid w:val="00363815"/>
    <w:rsid w:val="003654CD"/>
    <w:rsid w:val="00370110"/>
    <w:rsid w:val="00372598"/>
    <w:rsid w:val="00392F53"/>
    <w:rsid w:val="00393EC0"/>
    <w:rsid w:val="003A2A49"/>
    <w:rsid w:val="003A3966"/>
    <w:rsid w:val="003A4770"/>
    <w:rsid w:val="003A7E6A"/>
    <w:rsid w:val="003B582A"/>
    <w:rsid w:val="003C027F"/>
    <w:rsid w:val="003C07AC"/>
    <w:rsid w:val="003C3F6A"/>
    <w:rsid w:val="003D2BE1"/>
    <w:rsid w:val="003D639F"/>
    <w:rsid w:val="003E0572"/>
    <w:rsid w:val="003E3910"/>
    <w:rsid w:val="003E6369"/>
    <w:rsid w:val="003E6397"/>
    <w:rsid w:val="003F36C7"/>
    <w:rsid w:val="003F54C8"/>
    <w:rsid w:val="003F69B1"/>
    <w:rsid w:val="004027D2"/>
    <w:rsid w:val="0040303E"/>
    <w:rsid w:val="00407B47"/>
    <w:rsid w:val="004136C9"/>
    <w:rsid w:val="00420F82"/>
    <w:rsid w:val="00421717"/>
    <w:rsid w:val="00426C60"/>
    <w:rsid w:val="00427375"/>
    <w:rsid w:val="00430BB6"/>
    <w:rsid w:val="0043243E"/>
    <w:rsid w:val="00433E54"/>
    <w:rsid w:val="00436EC2"/>
    <w:rsid w:val="00450156"/>
    <w:rsid w:val="00454DC7"/>
    <w:rsid w:val="004573FA"/>
    <w:rsid w:val="004607B2"/>
    <w:rsid w:val="00463047"/>
    <w:rsid w:val="0046727D"/>
    <w:rsid w:val="004723B2"/>
    <w:rsid w:val="00493ED9"/>
    <w:rsid w:val="004977D7"/>
    <w:rsid w:val="004A01A7"/>
    <w:rsid w:val="004A09C5"/>
    <w:rsid w:val="004A38DD"/>
    <w:rsid w:val="004B4A94"/>
    <w:rsid w:val="004C7DCA"/>
    <w:rsid w:val="004E7E0E"/>
    <w:rsid w:val="00500A63"/>
    <w:rsid w:val="005035FE"/>
    <w:rsid w:val="00521746"/>
    <w:rsid w:val="00534403"/>
    <w:rsid w:val="00540564"/>
    <w:rsid w:val="00542A56"/>
    <w:rsid w:val="00542CA8"/>
    <w:rsid w:val="00550B36"/>
    <w:rsid w:val="00553ACE"/>
    <w:rsid w:val="00554067"/>
    <w:rsid w:val="005548CD"/>
    <w:rsid w:val="00554FC7"/>
    <w:rsid w:val="0055531A"/>
    <w:rsid w:val="00560EC8"/>
    <w:rsid w:val="00563A5F"/>
    <w:rsid w:val="00563FE8"/>
    <w:rsid w:val="0056491C"/>
    <w:rsid w:val="00564F2B"/>
    <w:rsid w:val="005801BB"/>
    <w:rsid w:val="00580269"/>
    <w:rsid w:val="005865A4"/>
    <w:rsid w:val="00586756"/>
    <w:rsid w:val="0058729F"/>
    <w:rsid w:val="00593FA2"/>
    <w:rsid w:val="005970F5"/>
    <w:rsid w:val="005A012C"/>
    <w:rsid w:val="005A4EC9"/>
    <w:rsid w:val="005A60C3"/>
    <w:rsid w:val="005C14EB"/>
    <w:rsid w:val="005C29C9"/>
    <w:rsid w:val="005C781E"/>
    <w:rsid w:val="00601C8A"/>
    <w:rsid w:val="00601DFE"/>
    <w:rsid w:val="006051FE"/>
    <w:rsid w:val="00606CF5"/>
    <w:rsid w:val="00607675"/>
    <w:rsid w:val="006114C3"/>
    <w:rsid w:val="006120D2"/>
    <w:rsid w:val="00626A46"/>
    <w:rsid w:val="00626A74"/>
    <w:rsid w:val="0062750B"/>
    <w:rsid w:val="00637E8B"/>
    <w:rsid w:val="00640E73"/>
    <w:rsid w:val="0064237D"/>
    <w:rsid w:val="00647757"/>
    <w:rsid w:val="00650D3D"/>
    <w:rsid w:val="0066215A"/>
    <w:rsid w:val="0067042F"/>
    <w:rsid w:val="006950C1"/>
    <w:rsid w:val="0069631F"/>
    <w:rsid w:val="006A4940"/>
    <w:rsid w:val="006A57CC"/>
    <w:rsid w:val="006C0860"/>
    <w:rsid w:val="006E7273"/>
    <w:rsid w:val="006F4755"/>
    <w:rsid w:val="006F51DB"/>
    <w:rsid w:val="00702BED"/>
    <w:rsid w:val="007049E6"/>
    <w:rsid w:val="00713213"/>
    <w:rsid w:val="007141CA"/>
    <w:rsid w:val="0071455E"/>
    <w:rsid w:val="00716575"/>
    <w:rsid w:val="00716F0E"/>
    <w:rsid w:val="00724E67"/>
    <w:rsid w:val="0073040F"/>
    <w:rsid w:val="007371E0"/>
    <w:rsid w:val="00751EB2"/>
    <w:rsid w:val="00754861"/>
    <w:rsid w:val="00765263"/>
    <w:rsid w:val="0077375C"/>
    <w:rsid w:val="00773B0B"/>
    <w:rsid w:val="00787190"/>
    <w:rsid w:val="007B10A5"/>
    <w:rsid w:val="007C117D"/>
    <w:rsid w:val="007D6A0E"/>
    <w:rsid w:val="007D6F07"/>
    <w:rsid w:val="00801CDD"/>
    <w:rsid w:val="00811964"/>
    <w:rsid w:val="00811D46"/>
    <w:rsid w:val="00817789"/>
    <w:rsid w:val="0082790E"/>
    <w:rsid w:val="008340C9"/>
    <w:rsid w:val="00834A49"/>
    <w:rsid w:val="00837E45"/>
    <w:rsid w:val="0084277E"/>
    <w:rsid w:val="00851074"/>
    <w:rsid w:val="008541DA"/>
    <w:rsid w:val="00870D3E"/>
    <w:rsid w:val="00877CF1"/>
    <w:rsid w:val="00881BA3"/>
    <w:rsid w:val="00884306"/>
    <w:rsid w:val="00886C22"/>
    <w:rsid w:val="00887956"/>
    <w:rsid w:val="008965C8"/>
    <w:rsid w:val="008A4895"/>
    <w:rsid w:val="008B0E87"/>
    <w:rsid w:val="008C4A49"/>
    <w:rsid w:val="008D3D81"/>
    <w:rsid w:val="008D405D"/>
    <w:rsid w:val="008D5575"/>
    <w:rsid w:val="008F125B"/>
    <w:rsid w:val="008F533C"/>
    <w:rsid w:val="009149E6"/>
    <w:rsid w:val="00916E60"/>
    <w:rsid w:val="00917C90"/>
    <w:rsid w:val="00945FB9"/>
    <w:rsid w:val="009475A7"/>
    <w:rsid w:val="00951930"/>
    <w:rsid w:val="009610E2"/>
    <w:rsid w:val="0096469E"/>
    <w:rsid w:val="0097303D"/>
    <w:rsid w:val="00982CA2"/>
    <w:rsid w:val="00983393"/>
    <w:rsid w:val="00984352"/>
    <w:rsid w:val="00985819"/>
    <w:rsid w:val="00985E6B"/>
    <w:rsid w:val="009A389D"/>
    <w:rsid w:val="009B032C"/>
    <w:rsid w:val="009B0804"/>
    <w:rsid w:val="009C081A"/>
    <w:rsid w:val="009C0BC3"/>
    <w:rsid w:val="009C31A6"/>
    <w:rsid w:val="009D72AA"/>
    <w:rsid w:val="009E4B81"/>
    <w:rsid w:val="009F3E9D"/>
    <w:rsid w:val="00A132C3"/>
    <w:rsid w:val="00A15A28"/>
    <w:rsid w:val="00A274A1"/>
    <w:rsid w:val="00A3283F"/>
    <w:rsid w:val="00A47859"/>
    <w:rsid w:val="00A55A71"/>
    <w:rsid w:val="00A6268F"/>
    <w:rsid w:val="00A7786D"/>
    <w:rsid w:val="00A851CE"/>
    <w:rsid w:val="00A90CC7"/>
    <w:rsid w:val="00A91166"/>
    <w:rsid w:val="00A91452"/>
    <w:rsid w:val="00A95D0B"/>
    <w:rsid w:val="00AA0C58"/>
    <w:rsid w:val="00AA1D72"/>
    <w:rsid w:val="00AB4BE7"/>
    <w:rsid w:val="00AB5479"/>
    <w:rsid w:val="00AB7649"/>
    <w:rsid w:val="00AC0BF4"/>
    <w:rsid w:val="00AD40DD"/>
    <w:rsid w:val="00AE1317"/>
    <w:rsid w:val="00AE6440"/>
    <w:rsid w:val="00AF06B0"/>
    <w:rsid w:val="00AF3319"/>
    <w:rsid w:val="00AF39AC"/>
    <w:rsid w:val="00AF6E9E"/>
    <w:rsid w:val="00B0330A"/>
    <w:rsid w:val="00B07208"/>
    <w:rsid w:val="00B2195A"/>
    <w:rsid w:val="00B31BB1"/>
    <w:rsid w:val="00B40D87"/>
    <w:rsid w:val="00B43D9B"/>
    <w:rsid w:val="00B47092"/>
    <w:rsid w:val="00B51C8F"/>
    <w:rsid w:val="00B602D0"/>
    <w:rsid w:val="00B62344"/>
    <w:rsid w:val="00B70022"/>
    <w:rsid w:val="00B7165F"/>
    <w:rsid w:val="00B733E5"/>
    <w:rsid w:val="00B759AD"/>
    <w:rsid w:val="00B8724F"/>
    <w:rsid w:val="00B90BD8"/>
    <w:rsid w:val="00B96F18"/>
    <w:rsid w:val="00BA64C3"/>
    <w:rsid w:val="00BA6934"/>
    <w:rsid w:val="00BB2466"/>
    <w:rsid w:val="00BB2B9A"/>
    <w:rsid w:val="00BB6195"/>
    <w:rsid w:val="00BB6635"/>
    <w:rsid w:val="00BC23FF"/>
    <w:rsid w:val="00BC5C99"/>
    <w:rsid w:val="00BD27B2"/>
    <w:rsid w:val="00BE2E0B"/>
    <w:rsid w:val="00BE3BE4"/>
    <w:rsid w:val="00BE5550"/>
    <w:rsid w:val="00BF58C9"/>
    <w:rsid w:val="00BF78F1"/>
    <w:rsid w:val="00C044C1"/>
    <w:rsid w:val="00C063DD"/>
    <w:rsid w:val="00C12B28"/>
    <w:rsid w:val="00C15C5E"/>
    <w:rsid w:val="00C206E5"/>
    <w:rsid w:val="00C21594"/>
    <w:rsid w:val="00C240F6"/>
    <w:rsid w:val="00C27B17"/>
    <w:rsid w:val="00C30639"/>
    <w:rsid w:val="00C311A5"/>
    <w:rsid w:val="00C4391D"/>
    <w:rsid w:val="00C47D31"/>
    <w:rsid w:val="00C5077B"/>
    <w:rsid w:val="00C559EC"/>
    <w:rsid w:val="00C5725B"/>
    <w:rsid w:val="00C61C26"/>
    <w:rsid w:val="00C678BE"/>
    <w:rsid w:val="00C744B6"/>
    <w:rsid w:val="00C744B7"/>
    <w:rsid w:val="00C74A09"/>
    <w:rsid w:val="00C8051E"/>
    <w:rsid w:val="00CA3ABB"/>
    <w:rsid w:val="00CB1B52"/>
    <w:rsid w:val="00CB1E4F"/>
    <w:rsid w:val="00CB5768"/>
    <w:rsid w:val="00CB6B2A"/>
    <w:rsid w:val="00CC0409"/>
    <w:rsid w:val="00CC309B"/>
    <w:rsid w:val="00CC35A2"/>
    <w:rsid w:val="00CC7927"/>
    <w:rsid w:val="00CD0856"/>
    <w:rsid w:val="00CD784B"/>
    <w:rsid w:val="00CE0BC6"/>
    <w:rsid w:val="00CF6697"/>
    <w:rsid w:val="00D066AA"/>
    <w:rsid w:val="00D12AC4"/>
    <w:rsid w:val="00D14629"/>
    <w:rsid w:val="00D15B3B"/>
    <w:rsid w:val="00D20AC3"/>
    <w:rsid w:val="00D32E9C"/>
    <w:rsid w:val="00D50FAD"/>
    <w:rsid w:val="00D63056"/>
    <w:rsid w:val="00D70040"/>
    <w:rsid w:val="00D7143F"/>
    <w:rsid w:val="00D94E2D"/>
    <w:rsid w:val="00DA0AF4"/>
    <w:rsid w:val="00DA10DB"/>
    <w:rsid w:val="00DA19A7"/>
    <w:rsid w:val="00DC0514"/>
    <w:rsid w:val="00DC7792"/>
    <w:rsid w:val="00DD3D93"/>
    <w:rsid w:val="00DD4E3E"/>
    <w:rsid w:val="00DD6689"/>
    <w:rsid w:val="00DF3F66"/>
    <w:rsid w:val="00E12747"/>
    <w:rsid w:val="00E14659"/>
    <w:rsid w:val="00E24FEA"/>
    <w:rsid w:val="00E34849"/>
    <w:rsid w:val="00E414DB"/>
    <w:rsid w:val="00E456D4"/>
    <w:rsid w:val="00E47767"/>
    <w:rsid w:val="00E62893"/>
    <w:rsid w:val="00E67257"/>
    <w:rsid w:val="00E704CC"/>
    <w:rsid w:val="00E721D1"/>
    <w:rsid w:val="00E72CDB"/>
    <w:rsid w:val="00E8736C"/>
    <w:rsid w:val="00E9571D"/>
    <w:rsid w:val="00E97FB6"/>
    <w:rsid w:val="00EB5DA8"/>
    <w:rsid w:val="00EC2292"/>
    <w:rsid w:val="00ED6FEF"/>
    <w:rsid w:val="00EF1981"/>
    <w:rsid w:val="00EF4611"/>
    <w:rsid w:val="00F0418D"/>
    <w:rsid w:val="00F049CC"/>
    <w:rsid w:val="00F04EC6"/>
    <w:rsid w:val="00F152C4"/>
    <w:rsid w:val="00F21784"/>
    <w:rsid w:val="00F21B6A"/>
    <w:rsid w:val="00F26AB3"/>
    <w:rsid w:val="00F30E1E"/>
    <w:rsid w:val="00F34410"/>
    <w:rsid w:val="00F562EF"/>
    <w:rsid w:val="00F668A6"/>
    <w:rsid w:val="00F70719"/>
    <w:rsid w:val="00F70F49"/>
    <w:rsid w:val="00F718BF"/>
    <w:rsid w:val="00F837DE"/>
    <w:rsid w:val="00F9617B"/>
    <w:rsid w:val="00FA0FB3"/>
    <w:rsid w:val="00FA634C"/>
    <w:rsid w:val="00FA79CC"/>
    <w:rsid w:val="00FA7B77"/>
    <w:rsid w:val="00FB11FD"/>
    <w:rsid w:val="00FB4F1B"/>
    <w:rsid w:val="00FB57B9"/>
    <w:rsid w:val="00FC186E"/>
    <w:rsid w:val="00FD5BC4"/>
    <w:rsid w:val="00FD5BEC"/>
    <w:rsid w:val="00FD5E47"/>
    <w:rsid w:val="00FD7332"/>
    <w:rsid w:val="00FE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A507F8"/>
  <w15:chartTrackingRefBased/>
  <w15:docId w15:val="{26F04959-E84B-47D0-B288-D93CE7571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cs-CZ" w:eastAsia="en-US" w:bidi="ar-SA"/>
        <w14:ligatures w14:val="standardContextual"/>
      </w:rPr>
    </w:rPrDefault>
    <w:pPrDefault>
      <w:pPr>
        <w:spacing w:after="16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4F2B"/>
  </w:style>
  <w:style w:type="paragraph" w:styleId="Nadpis1">
    <w:name w:val="heading 1"/>
    <w:basedOn w:val="Normln"/>
    <w:next w:val="Normln"/>
    <w:link w:val="Nadpis1Char"/>
    <w:uiPriority w:val="1"/>
    <w:qFormat/>
    <w:rsid w:val="00200551"/>
    <w:pPr>
      <w:keepNext/>
      <w:keepLines/>
      <w:suppressAutoHyphens/>
      <w:spacing w:before="280"/>
      <w:jc w:val="left"/>
      <w:outlineLvl w:val="0"/>
    </w:pPr>
    <w:rPr>
      <w:rFonts w:asciiTheme="majorHAnsi" w:eastAsiaTheme="majorEastAsia" w:hAnsiTheme="majorHAnsi" w:cstheme="majorBidi"/>
      <w:b/>
      <w:bCs/>
      <w:color w:val="D70C0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1"/>
    </w:pPr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2"/>
    </w:pPr>
    <w:rPr>
      <w:rFonts w:eastAsiaTheme="majorEastAsia" w:cstheme="majorBidi"/>
      <w:b/>
      <w:bCs/>
      <w:color w:val="545860" w:themeColor="text2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3"/>
    </w:pPr>
    <w:rPr>
      <w:rFonts w:eastAsiaTheme="majorEastAsia" w:cstheme="majorBidi"/>
      <w:b/>
      <w:bCs/>
      <w:color w:val="545860" w:themeColor="text2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4"/>
    </w:pPr>
    <w:rPr>
      <w:rFonts w:eastAsiaTheme="majorEastAsia" w:cstheme="majorBidi"/>
      <w:b/>
      <w:bCs/>
      <w:color w:val="545860" w:themeColor="text2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1"/>
    <w:unhideWhenUsed/>
    <w:qFormat/>
    <w:rsid w:val="00773B0B"/>
    <w:pPr>
      <w:keepNext/>
      <w:keepLines/>
      <w:suppressAutoHyphens/>
      <w:spacing w:before="280" w:after="0"/>
      <w:jc w:val="left"/>
      <w:outlineLvl w:val="5"/>
    </w:pPr>
    <w:rPr>
      <w:rFonts w:eastAsiaTheme="majorEastAsia" w:cstheme="majorBidi"/>
      <w:b/>
      <w:bCs/>
      <w:color w:val="545860" w:themeColor="text2"/>
    </w:rPr>
  </w:style>
  <w:style w:type="paragraph" w:styleId="Nadpis7">
    <w:name w:val="heading 7"/>
    <w:basedOn w:val="Normln"/>
    <w:next w:val="Normln"/>
    <w:link w:val="Nadpis7Char"/>
    <w:uiPriority w:val="9"/>
    <w:semiHidden/>
    <w:qFormat/>
    <w:rsid w:val="00AF6E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F6E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F6E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200551"/>
    <w:rPr>
      <w:rFonts w:asciiTheme="majorHAnsi" w:eastAsiaTheme="majorEastAsia" w:hAnsiTheme="majorHAnsi" w:cstheme="majorBidi"/>
      <w:b/>
      <w:bCs/>
      <w:color w:val="D70C0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1"/>
    <w:rsid w:val="00C744B6"/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1"/>
    <w:rsid w:val="00C744B6"/>
    <w:rPr>
      <w:rFonts w:eastAsiaTheme="majorEastAsia" w:cstheme="majorBidi"/>
      <w:b/>
      <w:bCs/>
      <w:color w:val="545860" w:themeColor="text2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1"/>
    <w:rsid w:val="00C744B6"/>
    <w:rPr>
      <w:rFonts w:eastAsiaTheme="majorEastAsia" w:cstheme="majorBidi"/>
      <w:b/>
      <w:bCs/>
      <w:color w:val="545860" w:themeColor="text2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1"/>
    <w:rsid w:val="00C744B6"/>
    <w:rPr>
      <w:rFonts w:eastAsiaTheme="majorEastAsia" w:cstheme="majorBidi"/>
      <w:b/>
      <w:bCs/>
      <w:color w:val="545860" w:themeColor="text2"/>
      <w:sz w:val="22"/>
      <w:szCs w:val="22"/>
    </w:rPr>
  </w:style>
  <w:style w:type="character" w:customStyle="1" w:styleId="Nadpis6Char">
    <w:name w:val="Nadpis 6 Char"/>
    <w:basedOn w:val="Standardnpsmoodstavce"/>
    <w:link w:val="Nadpis6"/>
    <w:uiPriority w:val="1"/>
    <w:rsid w:val="00773B0B"/>
    <w:rPr>
      <w:rFonts w:eastAsiaTheme="majorEastAsia" w:cstheme="majorBidi"/>
      <w:b/>
      <w:bCs/>
      <w:color w:val="545860" w:themeColor="text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2174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F6E9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F6E9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38"/>
    <w:semiHidden/>
    <w:rsid w:val="00917C90"/>
    <w:pPr>
      <w:keepLines/>
      <w:suppressAutoHyphens/>
      <w:spacing w:after="320"/>
      <w:jc w:val="left"/>
    </w:pPr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38"/>
    <w:semiHidden/>
    <w:rsid w:val="00DD3D93"/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38"/>
    <w:semiHidden/>
    <w:rsid w:val="00917C90"/>
    <w:pPr>
      <w:keepLines/>
      <w:numPr>
        <w:ilvl w:val="1"/>
      </w:numPr>
      <w:suppressAutoHyphens/>
      <w:jc w:val="left"/>
    </w:pPr>
    <w:rPr>
      <w:rFonts w:eastAsiaTheme="majorEastAsia" w:cstheme="majorBidi"/>
      <w:color w:val="545860" w:themeColor="text2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38"/>
    <w:semiHidden/>
    <w:rsid w:val="00DD3D93"/>
    <w:rPr>
      <w:rFonts w:eastAsiaTheme="majorEastAsia" w:cstheme="majorBidi"/>
      <w:color w:val="545860" w:themeColor="text2"/>
      <w:sz w:val="28"/>
      <w:szCs w:val="28"/>
    </w:rPr>
  </w:style>
  <w:style w:type="paragraph" w:styleId="Citt">
    <w:name w:val="Quote"/>
    <w:basedOn w:val="Normln"/>
    <w:link w:val="CittChar"/>
    <w:uiPriority w:val="12"/>
    <w:qFormat/>
    <w:rsid w:val="00626A46"/>
    <w:pPr>
      <w:spacing w:before="320" w:after="320"/>
      <w:ind w:left="851" w:right="849"/>
    </w:pPr>
    <w:rPr>
      <w:i/>
      <w:iCs/>
    </w:rPr>
  </w:style>
  <w:style w:type="character" w:customStyle="1" w:styleId="CittChar">
    <w:name w:val="Citát Char"/>
    <w:basedOn w:val="Standardnpsmoodstavce"/>
    <w:link w:val="Citt"/>
    <w:uiPriority w:val="12"/>
    <w:rsid w:val="00521746"/>
    <w:rPr>
      <w:i/>
      <w:iCs/>
    </w:rPr>
  </w:style>
  <w:style w:type="paragraph" w:styleId="Odstavecseseznamem">
    <w:name w:val="List Paragraph"/>
    <w:basedOn w:val="Normln"/>
    <w:uiPriority w:val="38"/>
    <w:semiHidden/>
    <w:rsid w:val="00AF6E9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semiHidden/>
    <w:qFormat/>
    <w:rsid w:val="00917C90"/>
    <w:rPr>
      <w:b/>
      <w:i/>
      <w:iCs/>
      <w:color w:val="00459B" w:themeColor="accent1"/>
    </w:rPr>
  </w:style>
  <w:style w:type="paragraph" w:styleId="Vrazncitt">
    <w:name w:val="Intense Quote"/>
    <w:basedOn w:val="Bezmezer"/>
    <w:link w:val="VrazncittChar"/>
    <w:uiPriority w:val="30"/>
    <w:semiHidden/>
    <w:qFormat/>
    <w:rsid w:val="00917C90"/>
    <w:pPr>
      <w:pBdr>
        <w:top w:val="single" w:sz="4" w:space="10" w:color="00459B" w:themeColor="accent1"/>
        <w:bottom w:val="single" w:sz="4" w:space="10" w:color="00459B" w:themeColor="accent1"/>
      </w:pBdr>
      <w:spacing w:before="320" w:after="320"/>
      <w:ind w:left="851" w:right="851"/>
    </w:pPr>
    <w:rPr>
      <w:i/>
      <w:iCs/>
      <w:color w:val="00459B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semiHidden/>
    <w:rsid w:val="00586756"/>
    <w:rPr>
      <w:i/>
      <w:iCs/>
      <w:color w:val="00459B" w:themeColor="accent1"/>
    </w:rPr>
  </w:style>
  <w:style w:type="character" w:styleId="Odkazintenzivn">
    <w:name w:val="Intense Reference"/>
    <w:basedOn w:val="Standardnpsmoodstavce"/>
    <w:uiPriority w:val="10"/>
    <w:qFormat/>
    <w:rsid w:val="004573FA"/>
    <w:rPr>
      <w:b/>
      <w:bCs/>
      <w:caps/>
      <w:spacing w:val="5"/>
    </w:rPr>
  </w:style>
  <w:style w:type="paragraph" w:styleId="Zhlav">
    <w:name w:val="header"/>
    <w:basedOn w:val="Normln"/>
    <w:link w:val="ZhlavChar"/>
    <w:uiPriority w:val="99"/>
    <w:unhideWhenUsed/>
    <w:rsid w:val="003540FA"/>
    <w:pPr>
      <w:tabs>
        <w:tab w:val="center" w:pos="4536"/>
        <w:tab w:val="right" w:pos="9072"/>
      </w:tabs>
      <w:suppressAutoHyphens/>
      <w:spacing w:after="40" w:line="240" w:lineRule="auto"/>
      <w:jc w:val="right"/>
    </w:pPr>
    <w:rPr>
      <w:color w:val="545860" w:themeColor="accent6"/>
    </w:rPr>
  </w:style>
  <w:style w:type="character" w:customStyle="1" w:styleId="ZhlavChar">
    <w:name w:val="Záhlaví Char"/>
    <w:basedOn w:val="Standardnpsmoodstavce"/>
    <w:link w:val="Zhlav"/>
    <w:uiPriority w:val="99"/>
    <w:rsid w:val="003540FA"/>
    <w:rPr>
      <w:color w:val="545860" w:themeColor="accent6"/>
    </w:rPr>
  </w:style>
  <w:style w:type="paragraph" w:styleId="Zpat">
    <w:name w:val="footer"/>
    <w:basedOn w:val="Normln"/>
    <w:link w:val="ZpatChar"/>
    <w:uiPriority w:val="99"/>
    <w:unhideWhenUsed/>
    <w:rsid w:val="00AF06B0"/>
    <w:pPr>
      <w:tabs>
        <w:tab w:val="center" w:pos="4536"/>
        <w:tab w:val="right" w:pos="9072"/>
      </w:tabs>
      <w:spacing w:before="240" w:after="0" w:line="240" w:lineRule="auto"/>
      <w:contextualSpacing/>
    </w:pPr>
    <w:rPr>
      <w:color w:val="888B95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AF06B0"/>
    <w:rPr>
      <w:color w:val="888B95"/>
      <w:sz w:val="16"/>
    </w:rPr>
  </w:style>
  <w:style w:type="table" w:styleId="Mkatabulky">
    <w:name w:val="Table Grid"/>
    <w:basedOn w:val="Normlntabulka"/>
    <w:uiPriority w:val="39"/>
    <w:rsid w:val="00FA7B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odndaje">
    <w:name w:val="Úvodní údaje"/>
    <w:basedOn w:val="Normln"/>
    <w:uiPriority w:val="29"/>
    <w:qFormat/>
    <w:rsid w:val="00B62344"/>
    <w:pPr>
      <w:spacing w:after="0"/>
      <w:jc w:val="left"/>
    </w:pPr>
    <w:rPr>
      <w:color w:val="545860" w:themeColor="accent6"/>
    </w:rPr>
  </w:style>
  <w:style w:type="table" w:customStyle="1" w:styleId="TabulkaJVS5-navodndaje">
    <w:name w:val="Tabulka JVS 5 - na úvodní údaje"/>
    <w:basedOn w:val="Normlntabulka"/>
    <w:uiPriority w:val="99"/>
    <w:rsid w:val="00407B47"/>
    <w:pPr>
      <w:spacing w:after="0"/>
      <w:jc w:val="left"/>
    </w:pPr>
    <w:rPr>
      <w:color w:val="545860" w:themeColor="text2"/>
    </w:rPr>
    <w:tblPr>
      <w:tblCellMar>
        <w:left w:w="0" w:type="dxa"/>
        <w:right w:w="0" w:type="dxa"/>
      </w:tblCellMar>
    </w:tblPr>
  </w:style>
  <w:style w:type="character" w:styleId="Odkaznavysvtlivky">
    <w:name w:val="endnote reference"/>
    <w:basedOn w:val="Standardnpsmoodstavce"/>
    <w:uiPriority w:val="99"/>
    <w:semiHidden/>
    <w:unhideWhenUsed/>
    <w:rsid w:val="002363CA"/>
    <w:rPr>
      <w:vertAlign w:val="superscript"/>
    </w:rPr>
  </w:style>
  <w:style w:type="paragraph" w:customStyle="1" w:styleId="Ministr-funkce">
    <w:name w:val="Ministr - funkce"/>
    <w:basedOn w:val="Normln"/>
    <w:next w:val="Normln"/>
    <w:uiPriority w:val="20"/>
    <w:qFormat/>
    <w:rsid w:val="008F533C"/>
    <w:pPr>
      <w:spacing w:after="600"/>
      <w:contextualSpacing/>
      <w:jc w:val="left"/>
    </w:pPr>
    <w:rPr>
      <w:color w:val="545860" w:themeColor="accent6"/>
      <w:sz w:val="24"/>
      <w:szCs w:val="24"/>
    </w:rPr>
  </w:style>
  <w:style w:type="paragraph" w:customStyle="1" w:styleId="Ministr-jmno">
    <w:name w:val="Ministr - jméno"/>
    <w:basedOn w:val="Normln"/>
    <w:next w:val="Ministr-funkce"/>
    <w:uiPriority w:val="19"/>
    <w:qFormat/>
    <w:rsid w:val="008F533C"/>
    <w:pPr>
      <w:spacing w:before="600" w:after="0"/>
      <w:contextualSpacing/>
      <w:jc w:val="left"/>
    </w:pPr>
    <w:rPr>
      <w:b/>
      <w:bCs/>
      <w:color w:val="545860" w:themeColor="accent6"/>
      <w:sz w:val="28"/>
      <w:szCs w:val="28"/>
    </w:rPr>
  </w:style>
  <w:style w:type="character" w:styleId="Siln">
    <w:name w:val="Strong"/>
    <w:basedOn w:val="Standardnpsmoodstavce"/>
    <w:uiPriority w:val="6"/>
    <w:qFormat/>
    <w:rsid w:val="004573FA"/>
    <w:rPr>
      <w:b/>
      <w:bCs/>
    </w:rPr>
  </w:style>
  <w:style w:type="character" w:styleId="Odkazjemn">
    <w:name w:val="Subtle Reference"/>
    <w:basedOn w:val="Standardnpsmoodstavce"/>
    <w:uiPriority w:val="9"/>
    <w:qFormat/>
    <w:rsid w:val="004573FA"/>
    <w:rPr>
      <w:caps/>
    </w:rPr>
  </w:style>
  <w:style w:type="character" w:styleId="Hypertextovodkaz">
    <w:name w:val="Hyperlink"/>
    <w:basedOn w:val="Standardnpsmoodstavce"/>
    <w:uiPriority w:val="99"/>
    <w:unhideWhenUsed/>
    <w:rsid w:val="004573FA"/>
    <w:rPr>
      <w:color w:val="00459B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573FA"/>
    <w:rPr>
      <w:color w:val="605E5C"/>
      <w:shd w:val="clear" w:color="auto" w:fill="E1DFDD"/>
    </w:rPr>
  </w:style>
  <w:style w:type="character" w:styleId="Nzevknihy">
    <w:name w:val="Book Title"/>
    <w:basedOn w:val="Standardnpsmoodstavce"/>
    <w:uiPriority w:val="11"/>
    <w:qFormat/>
    <w:rsid w:val="004573FA"/>
    <w:rPr>
      <w:b/>
      <w:bCs/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106FE"/>
    <w:pPr>
      <w:spacing w:after="40" w:line="240" w:lineRule="auto"/>
      <w:jc w:val="left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106FE"/>
    <w:rPr>
      <w:sz w:val="16"/>
    </w:rPr>
  </w:style>
  <w:style w:type="character" w:styleId="Znakapoznpodarou">
    <w:name w:val="footnote reference"/>
    <w:basedOn w:val="Standardnpsmoodstavce"/>
    <w:semiHidden/>
    <w:unhideWhenUsed/>
    <w:rsid w:val="00D066AA"/>
    <w:rPr>
      <w:vertAlign w:val="superscript"/>
    </w:rPr>
  </w:style>
  <w:style w:type="character" w:styleId="Zdraznn">
    <w:name w:val="Emphasis"/>
    <w:basedOn w:val="Standardnpsmoodstavce"/>
    <w:uiPriority w:val="5"/>
    <w:qFormat/>
    <w:rsid w:val="00164790"/>
    <w:rPr>
      <w:i w:val="0"/>
      <w:iCs/>
      <w:u w:val="single"/>
    </w:rPr>
  </w:style>
  <w:style w:type="character" w:styleId="Zdraznnjemn">
    <w:name w:val="Subtle Emphasis"/>
    <w:basedOn w:val="Standardnpsmoodstavce"/>
    <w:uiPriority w:val="5"/>
    <w:qFormat/>
    <w:rsid w:val="00164790"/>
    <w:rPr>
      <w:i/>
      <w:iCs/>
    </w:rPr>
  </w:style>
  <w:style w:type="table" w:customStyle="1" w:styleId="TabulkaJVS1-ed">
    <w:name w:val="Tabulka JVS 1 - šed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393B41"/>
        <w:left w:val="single" w:sz="4" w:space="0" w:color="393B41"/>
        <w:bottom w:val="single" w:sz="4" w:space="0" w:color="393B41"/>
        <w:right w:val="single" w:sz="4" w:space="0" w:color="393B41"/>
        <w:insideH w:val="single" w:sz="4" w:space="0" w:color="393B41"/>
        <w:insideV w:val="single" w:sz="4" w:space="0" w:color="393B41"/>
      </w:tblBorders>
      <w:tblCellMar>
        <w:top w:w="57" w:type="dxa"/>
        <w:bottom w:w="57" w:type="dxa"/>
      </w:tblCellMar>
    </w:tblPr>
    <w:tblStylePr w:type="firstRow">
      <w:rPr>
        <w:b w:val="0"/>
        <w:i w:val="0"/>
        <w:color w:val="FFFFFF" w:themeColor="background1"/>
      </w:rPr>
      <w:tblPr/>
      <w:tcPr>
        <w:tcBorders>
          <w:top w:val="single" w:sz="4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  <w:shd w:val="clear" w:color="auto" w:fill="393B41"/>
      </w:tcPr>
    </w:tblStylePr>
    <w:tblStylePr w:type="lastRow">
      <w:tblPr/>
      <w:tcPr>
        <w:tcBorders>
          <w:top w:val="single" w:sz="12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</w:tcPr>
    </w:tblStylePr>
  </w:style>
  <w:style w:type="table" w:customStyle="1" w:styleId="TabulkaJVS2-modr">
    <w:name w:val="Tabulka JVS 2 - modr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00459B" w:themeColor="accent1"/>
        <w:left w:val="single" w:sz="4" w:space="0" w:color="00459B" w:themeColor="accent1"/>
        <w:bottom w:val="single" w:sz="4" w:space="0" w:color="00459B" w:themeColor="accent1"/>
        <w:right w:val="single" w:sz="4" w:space="0" w:color="00459B" w:themeColor="accent1"/>
        <w:insideH w:val="single" w:sz="4" w:space="0" w:color="00459B" w:themeColor="accent1"/>
        <w:insideV w:val="single" w:sz="4" w:space="0" w:color="00459B" w:themeColor="accent1"/>
      </w:tblBorders>
      <w:tblCellMar>
        <w:top w:w="57" w:type="dxa"/>
        <w:bottom w:w="57" w:type="dxa"/>
      </w:tblCellMar>
    </w:tblPr>
    <w:tblStylePr w:type="firstRow">
      <w:tblPr/>
      <w:tcPr>
        <w:tcBorders>
          <w:top w:val="single" w:sz="4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single" w:sz="4" w:space="0" w:color="00459B" w:themeColor="accent1"/>
          <w:insideV w:val="single" w:sz="4" w:space="0" w:color="00459B" w:themeColor="accent1"/>
          <w:tl2br w:val="nil"/>
          <w:tr2bl w:val="nil"/>
        </w:tcBorders>
        <w:shd w:val="clear" w:color="auto" w:fill="00459B" w:themeFill="accent1"/>
      </w:tcPr>
    </w:tblStylePr>
    <w:tblStylePr w:type="lastRow">
      <w:tblPr/>
      <w:tcPr>
        <w:tcBorders>
          <w:top w:val="single" w:sz="12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nil"/>
          <w:insideV w:val="single" w:sz="4" w:space="0" w:color="00459B" w:themeColor="accent1"/>
          <w:tl2br w:val="nil"/>
          <w:tr2bl w:val="nil"/>
        </w:tcBorders>
      </w:tcPr>
    </w:tblStylePr>
  </w:style>
  <w:style w:type="table" w:customStyle="1" w:styleId="TabulkaJVS3-bl">
    <w:name w:val="Tabulka JVS 3 - bíl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A7A9B3" w:themeColor="background2"/>
        <w:left w:val="single" w:sz="4" w:space="0" w:color="A7A9B3" w:themeColor="background2"/>
        <w:bottom w:val="single" w:sz="4" w:space="0" w:color="A7A9B3" w:themeColor="background2"/>
        <w:right w:val="single" w:sz="4" w:space="0" w:color="A7A9B3" w:themeColor="background2"/>
        <w:insideH w:val="single" w:sz="4" w:space="0" w:color="A7A9B3" w:themeColor="background2"/>
        <w:insideV w:val="single" w:sz="4" w:space="0" w:color="A7A9B3" w:themeColor="background2"/>
      </w:tblBorders>
      <w:tblCellMar>
        <w:top w:w="57" w:type="dxa"/>
        <w:bottom w:w="57" w:type="dxa"/>
      </w:tblCellMar>
    </w:tblPr>
    <w:tblStylePr w:type="lastRow">
      <w:tblPr/>
      <w:tcPr>
        <w:tcBorders>
          <w:top w:val="single" w:sz="12" w:space="0" w:color="A7A9B3" w:themeColor="background2"/>
          <w:left w:val="single" w:sz="4" w:space="0" w:color="A7A9B3" w:themeColor="background2"/>
          <w:bottom w:val="single" w:sz="4" w:space="0" w:color="A7A9B3" w:themeColor="background2"/>
          <w:right w:val="single" w:sz="4" w:space="0" w:color="A7A9B3" w:themeColor="background2"/>
          <w:insideH w:val="nil"/>
          <w:insideV w:val="single" w:sz="4" w:space="0" w:color="A7A9B3" w:themeColor="background2"/>
          <w:tl2br w:val="nil"/>
          <w:tr2bl w:val="nil"/>
        </w:tcBorders>
      </w:tcPr>
    </w:tblStylePr>
  </w:style>
  <w:style w:type="table" w:customStyle="1" w:styleId="TabulkaJVS4-bezohranien">
    <w:name w:val="Tabulka JVS 4 - bez ohraničení"/>
    <w:basedOn w:val="Normlntabulka"/>
    <w:uiPriority w:val="99"/>
    <w:rsid w:val="005C29C9"/>
    <w:pPr>
      <w:jc w:val="left"/>
    </w:pPr>
    <w:tblPr>
      <w:tblCellMar>
        <w:left w:w="0" w:type="dxa"/>
        <w:right w:w="0" w:type="dxa"/>
      </w:tblCellMar>
    </w:tblPr>
  </w:style>
  <w:style w:type="table" w:styleId="Svtltabulkasmkou1zvraznn1">
    <w:name w:val="Grid Table 1 Light Accent 1"/>
    <w:basedOn w:val="Normlntabulka"/>
    <w:uiPriority w:val="46"/>
    <w:rsid w:val="00F562EF"/>
    <w:pPr>
      <w:spacing w:after="0" w:line="240" w:lineRule="auto"/>
    </w:pPr>
    <w:tblPr>
      <w:tblStyleRowBandSize w:val="1"/>
      <w:tblStyleColBandSize w:val="1"/>
      <w:tblBorders>
        <w:top w:val="single" w:sz="4" w:space="0" w:color="71AFFF" w:themeColor="accent1" w:themeTint="66"/>
        <w:left w:val="single" w:sz="4" w:space="0" w:color="71AFFF" w:themeColor="accent1" w:themeTint="66"/>
        <w:bottom w:val="single" w:sz="4" w:space="0" w:color="71AFFF" w:themeColor="accent1" w:themeTint="66"/>
        <w:right w:val="single" w:sz="4" w:space="0" w:color="71AFFF" w:themeColor="accent1" w:themeTint="66"/>
        <w:insideH w:val="single" w:sz="4" w:space="0" w:color="71AFFF" w:themeColor="accent1" w:themeTint="66"/>
        <w:insideV w:val="single" w:sz="4" w:space="0" w:color="71A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A88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A88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adpis1slovan">
    <w:name w:val="Nadpis 1 číslovaný"/>
    <w:basedOn w:val="Seznamslovan5"/>
    <w:next w:val="Normln"/>
    <w:uiPriority w:val="3"/>
    <w:qFormat/>
    <w:rsid w:val="00542CA8"/>
    <w:pPr>
      <w:keepNext/>
      <w:keepLines/>
      <w:numPr>
        <w:ilvl w:val="0"/>
        <w:numId w:val="20"/>
      </w:numPr>
      <w:suppressAutoHyphens/>
      <w:spacing w:before="640"/>
      <w:jc w:val="left"/>
    </w:pPr>
    <w:rPr>
      <w:b/>
      <w:color w:val="545860" w:themeColor="text2"/>
      <w:sz w:val="40"/>
    </w:rPr>
  </w:style>
  <w:style w:type="paragraph" w:customStyle="1" w:styleId="Nadpis2slovan">
    <w:name w:val="Nadpis 2 číslovaný"/>
    <w:basedOn w:val="Normln"/>
    <w:next w:val="Normln"/>
    <w:uiPriority w:val="3"/>
    <w:qFormat/>
    <w:rsid w:val="00542CA8"/>
    <w:pPr>
      <w:numPr>
        <w:ilvl w:val="1"/>
        <w:numId w:val="20"/>
      </w:numPr>
      <w:suppressAutoHyphens/>
      <w:spacing w:before="320"/>
      <w:jc w:val="left"/>
    </w:pPr>
    <w:rPr>
      <w:b/>
      <w:color w:val="545860" w:themeColor="text2"/>
      <w:sz w:val="32"/>
    </w:rPr>
  </w:style>
  <w:style w:type="paragraph" w:customStyle="1" w:styleId="Nadpis3slovan">
    <w:name w:val="Nadpis 3 číslovaný"/>
    <w:basedOn w:val="Normln"/>
    <w:next w:val="Normln"/>
    <w:uiPriority w:val="3"/>
    <w:qFormat/>
    <w:rsid w:val="00542CA8"/>
    <w:pPr>
      <w:keepNext/>
      <w:keepLines/>
      <w:numPr>
        <w:ilvl w:val="2"/>
        <w:numId w:val="20"/>
      </w:numPr>
      <w:suppressAutoHyphens/>
      <w:spacing w:before="320"/>
      <w:jc w:val="left"/>
    </w:pPr>
    <w:rPr>
      <w:b/>
      <w:color w:val="545860" w:themeColor="text2"/>
      <w:sz w:val="28"/>
    </w:rPr>
  </w:style>
  <w:style w:type="paragraph" w:customStyle="1" w:styleId="Nadpis4slovan">
    <w:name w:val="Nadpis 4 číslovaný"/>
    <w:basedOn w:val="Normln"/>
    <w:next w:val="Normln"/>
    <w:uiPriority w:val="3"/>
    <w:qFormat/>
    <w:rsid w:val="00542CA8"/>
    <w:pPr>
      <w:keepNext/>
      <w:keepLines/>
      <w:numPr>
        <w:ilvl w:val="3"/>
        <w:numId w:val="20"/>
      </w:numPr>
      <w:suppressAutoHyphens/>
      <w:spacing w:before="320"/>
      <w:jc w:val="left"/>
    </w:pPr>
    <w:rPr>
      <w:b/>
      <w:color w:val="545860" w:themeColor="text2"/>
      <w:sz w:val="24"/>
    </w:rPr>
  </w:style>
  <w:style w:type="paragraph" w:customStyle="1" w:styleId="Nadpis5slovan">
    <w:name w:val="Nadpis 5 číslovaný"/>
    <w:basedOn w:val="Normln"/>
    <w:next w:val="Normln"/>
    <w:uiPriority w:val="3"/>
    <w:qFormat/>
    <w:rsid w:val="00542CA8"/>
    <w:pPr>
      <w:keepNext/>
      <w:keepLines/>
      <w:numPr>
        <w:ilvl w:val="4"/>
        <w:numId w:val="20"/>
      </w:numPr>
      <w:suppressAutoHyphens/>
      <w:spacing w:before="320"/>
      <w:jc w:val="left"/>
    </w:pPr>
    <w:rPr>
      <w:b/>
      <w:color w:val="545860" w:themeColor="text2"/>
      <w:sz w:val="22"/>
    </w:rPr>
  </w:style>
  <w:style w:type="paragraph" w:customStyle="1" w:styleId="Nadpis6slovan">
    <w:name w:val="Nadpis 6 číslovaný"/>
    <w:basedOn w:val="Normln"/>
    <w:next w:val="Normln"/>
    <w:uiPriority w:val="3"/>
    <w:qFormat/>
    <w:rsid w:val="00542CA8"/>
    <w:pPr>
      <w:keepNext/>
      <w:keepLines/>
      <w:numPr>
        <w:ilvl w:val="5"/>
        <w:numId w:val="20"/>
      </w:numPr>
      <w:suppressAutoHyphens/>
      <w:spacing w:before="320"/>
      <w:jc w:val="left"/>
    </w:pPr>
    <w:rPr>
      <w:b/>
      <w:color w:val="545860" w:themeColor="text2"/>
    </w:rPr>
  </w:style>
  <w:style w:type="numbering" w:customStyle="1" w:styleId="Stylseznamu-nadpisyslovan">
    <w:name w:val="Styl seznamu - nadpisy číslované"/>
    <w:uiPriority w:val="99"/>
    <w:rsid w:val="00C61C26"/>
    <w:pPr>
      <w:numPr>
        <w:numId w:val="2"/>
      </w:numPr>
    </w:pPr>
  </w:style>
  <w:style w:type="paragraph" w:styleId="Nadpisobsahu">
    <w:name w:val="TOC Heading"/>
    <w:basedOn w:val="Nadpis1"/>
    <w:next w:val="Normln"/>
    <w:uiPriority w:val="39"/>
    <w:unhideWhenUsed/>
    <w:rsid w:val="00CA3ABB"/>
    <w:pPr>
      <w:outlineLvl w:val="9"/>
    </w:pPr>
  </w:style>
  <w:style w:type="paragraph" w:styleId="Obsah1">
    <w:name w:val="toc 1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</w:pPr>
    <w:rPr>
      <w:b/>
      <w:noProof/>
    </w:rPr>
  </w:style>
  <w:style w:type="paragraph" w:styleId="Obsah2">
    <w:name w:val="toc 2"/>
    <w:basedOn w:val="Normln"/>
    <w:next w:val="Normln"/>
    <w:uiPriority w:val="39"/>
    <w:unhideWhenUsed/>
    <w:rsid w:val="00A55A71"/>
    <w:pPr>
      <w:tabs>
        <w:tab w:val="right" w:leader="dot" w:pos="9061"/>
      </w:tabs>
      <w:spacing w:after="100"/>
      <w:ind w:left="284"/>
    </w:pPr>
  </w:style>
  <w:style w:type="paragraph" w:styleId="Obsah3">
    <w:name w:val="toc 3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567"/>
    </w:pPr>
  </w:style>
  <w:style w:type="paragraph" w:styleId="Obsah4">
    <w:name w:val="toc 4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851"/>
    </w:pPr>
  </w:style>
  <w:style w:type="paragraph" w:customStyle="1" w:styleId="Seznamslovan1">
    <w:name w:val="Seznam číslovaný 1"/>
    <w:basedOn w:val="Normln"/>
    <w:uiPriority w:val="1"/>
    <w:qFormat/>
    <w:rsid w:val="00E721D1"/>
    <w:pPr>
      <w:numPr>
        <w:numId w:val="21"/>
      </w:numPr>
    </w:pPr>
  </w:style>
  <w:style w:type="paragraph" w:customStyle="1" w:styleId="Seznamslovan2">
    <w:name w:val="Seznam číslovaný 2"/>
    <w:basedOn w:val="Normln"/>
    <w:uiPriority w:val="1"/>
    <w:qFormat/>
    <w:rsid w:val="00E721D1"/>
    <w:pPr>
      <w:numPr>
        <w:ilvl w:val="1"/>
        <w:numId w:val="21"/>
      </w:numPr>
    </w:pPr>
  </w:style>
  <w:style w:type="paragraph" w:customStyle="1" w:styleId="Seznamslovan3">
    <w:name w:val="Seznam číslovaný 3"/>
    <w:basedOn w:val="Normln"/>
    <w:uiPriority w:val="1"/>
    <w:qFormat/>
    <w:rsid w:val="00E721D1"/>
    <w:pPr>
      <w:numPr>
        <w:ilvl w:val="2"/>
        <w:numId w:val="21"/>
      </w:numPr>
    </w:pPr>
  </w:style>
  <w:style w:type="paragraph" w:customStyle="1" w:styleId="Seznamslovan4">
    <w:name w:val="Seznam číslovaný 4"/>
    <w:basedOn w:val="Normln"/>
    <w:uiPriority w:val="1"/>
    <w:qFormat/>
    <w:rsid w:val="00E721D1"/>
    <w:pPr>
      <w:numPr>
        <w:ilvl w:val="3"/>
        <w:numId w:val="21"/>
      </w:numPr>
    </w:pPr>
  </w:style>
  <w:style w:type="paragraph" w:customStyle="1" w:styleId="Seznamslovan5">
    <w:name w:val="Seznam číslovaný 5"/>
    <w:basedOn w:val="Normln"/>
    <w:uiPriority w:val="1"/>
    <w:qFormat/>
    <w:rsid w:val="00E721D1"/>
    <w:pPr>
      <w:numPr>
        <w:ilvl w:val="4"/>
        <w:numId w:val="21"/>
      </w:numPr>
    </w:pPr>
  </w:style>
  <w:style w:type="paragraph" w:customStyle="1" w:styleId="Seznamslovan6">
    <w:name w:val="Seznam číslovaný 6"/>
    <w:basedOn w:val="Normln"/>
    <w:uiPriority w:val="1"/>
    <w:qFormat/>
    <w:rsid w:val="00E721D1"/>
    <w:pPr>
      <w:numPr>
        <w:ilvl w:val="5"/>
        <w:numId w:val="21"/>
      </w:numPr>
    </w:pPr>
  </w:style>
  <w:style w:type="numbering" w:customStyle="1" w:styleId="Stylseznamu-odstavceslovan">
    <w:name w:val="Styl seznamu - odstavce číslované"/>
    <w:uiPriority w:val="99"/>
    <w:rsid w:val="00E721D1"/>
    <w:pPr>
      <w:numPr>
        <w:numId w:val="8"/>
      </w:numPr>
    </w:pPr>
  </w:style>
  <w:style w:type="paragraph" w:customStyle="1" w:styleId="Perex">
    <w:name w:val="Perex"/>
    <w:basedOn w:val="Normln"/>
    <w:next w:val="Normln"/>
    <w:uiPriority w:val="21"/>
    <w:qFormat/>
    <w:rsid w:val="006A57CC"/>
    <w:pPr>
      <w:spacing w:after="360"/>
      <w:jc w:val="left"/>
    </w:pPr>
    <w:rPr>
      <w:b/>
      <w:color w:val="545860" w:themeColor="accent6"/>
    </w:rPr>
  </w:style>
  <w:style w:type="paragraph" w:customStyle="1" w:styleId="Odrka1">
    <w:name w:val="Odrážka 1"/>
    <w:basedOn w:val="Normln"/>
    <w:uiPriority w:val="2"/>
    <w:qFormat/>
    <w:rsid w:val="002D796B"/>
    <w:pPr>
      <w:numPr>
        <w:numId w:val="19"/>
      </w:numPr>
    </w:pPr>
  </w:style>
  <w:style w:type="paragraph" w:customStyle="1" w:styleId="Odrka2">
    <w:name w:val="Odrážka 2"/>
    <w:basedOn w:val="Normln"/>
    <w:uiPriority w:val="2"/>
    <w:qFormat/>
    <w:rsid w:val="002D796B"/>
    <w:pPr>
      <w:numPr>
        <w:ilvl w:val="1"/>
        <w:numId w:val="19"/>
      </w:numPr>
      <w:tabs>
        <w:tab w:val="clear" w:pos="1418"/>
      </w:tabs>
    </w:pPr>
  </w:style>
  <w:style w:type="paragraph" w:customStyle="1" w:styleId="Odrka3">
    <w:name w:val="Odrážka 3"/>
    <w:basedOn w:val="Normln"/>
    <w:uiPriority w:val="2"/>
    <w:qFormat/>
    <w:rsid w:val="002D796B"/>
    <w:pPr>
      <w:numPr>
        <w:ilvl w:val="2"/>
        <w:numId w:val="19"/>
      </w:numPr>
      <w:tabs>
        <w:tab w:val="clear" w:pos="2126"/>
      </w:tabs>
      <w:ind w:left="1645" w:hanging="227"/>
    </w:pPr>
  </w:style>
  <w:style w:type="paragraph" w:customStyle="1" w:styleId="Odrka4">
    <w:name w:val="Odrážka 4"/>
    <w:basedOn w:val="Normln"/>
    <w:uiPriority w:val="2"/>
    <w:qFormat/>
    <w:rsid w:val="002D796B"/>
    <w:pPr>
      <w:numPr>
        <w:ilvl w:val="3"/>
        <w:numId w:val="19"/>
      </w:numPr>
      <w:tabs>
        <w:tab w:val="clear" w:pos="2835"/>
      </w:tabs>
      <w:ind w:left="2324" w:hanging="198"/>
    </w:pPr>
  </w:style>
  <w:style w:type="paragraph" w:customStyle="1" w:styleId="Odrka5">
    <w:name w:val="Odrážka 5"/>
    <w:basedOn w:val="Normln"/>
    <w:uiPriority w:val="2"/>
    <w:qFormat/>
    <w:rsid w:val="002D796B"/>
    <w:pPr>
      <w:numPr>
        <w:ilvl w:val="4"/>
        <w:numId w:val="19"/>
      </w:numPr>
      <w:tabs>
        <w:tab w:val="clear" w:pos="3544"/>
      </w:tabs>
    </w:pPr>
  </w:style>
  <w:style w:type="paragraph" w:customStyle="1" w:styleId="Odrka6">
    <w:name w:val="Odrážka 6"/>
    <w:basedOn w:val="Normln"/>
    <w:uiPriority w:val="2"/>
    <w:qFormat/>
    <w:rsid w:val="002D796B"/>
    <w:pPr>
      <w:numPr>
        <w:ilvl w:val="5"/>
        <w:numId w:val="19"/>
      </w:numPr>
    </w:pPr>
  </w:style>
  <w:style w:type="numbering" w:customStyle="1" w:styleId="Stylseznamu-odrky">
    <w:name w:val="Styl seznamu - odrážky"/>
    <w:uiPriority w:val="99"/>
    <w:rsid w:val="008D5575"/>
    <w:pPr>
      <w:numPr>
        <w:numId w:val="12"/>
      </w:numPr>
    </w:pPr>
  </w:style>
  <w:style w:type="paragraph" w:customStyle="1" w:styleId="Popisekfotografie">
    <w:name w:val="Popisek fotografie"/>
    <w:basedOn w:val="Normln"/>
    <w:next w:val="Normln"/>
    <w:uiPriority w:val="25"/>
    <w:qFormat/>
    <w:rsid w:val="004E7E0E"/>
    <w:pPr>
      <w:spacing w:before="160" w:after="240"/>
    </w:pPr>
    <w:rPr>
      <w:sz w:val="16"/>
    </w:rPr>
  </w:style>
  <w:style w:type="paragraph" w:styleId="Titulek">
    <w:name w:val="caption"/>
    <w:basedOn w:val="Normln"/>
    <w:next w:val="Normln"/>
    <w:uiPriority w:val="35"/>
    <w:unhideWhenUsed/>
    <w:rsid w:val="00032CCE"/>
    <w:pPr>
      <w:spacing w:before="160" w:after="240"/>
    </w:pPr>
    <w:rPr>
      <w:iCs/>
      <w:sz w:val="16"/>
      <w:szCs w:val="18"/>
    </w:rPr>
  </w:style>
  <w:style w:type="paragraph" w:styleId="Obsah5">
    <w:name w:val="toc 5"/>
    <w:basedOn w:val="Normln"/>
    <w:next w:val="Normln"/>
    <w:uiPriority w:val="39"/>
    <w:unhideWhenUsed/>
    <w:rsid w:val="001E513B"/>
    <w:pPr>
      <w:tabs>
        <w:tab w:val="right" w:leader="dot" w:pos="9061"/>
      </w:tabs>
      <w:spacing w:before="240" w:after="120"/>
      <w:ind w:left="284" w:hanging="284"/>
    </w:pPr>
    <w:rPr>
      <w:b/>
    </w:rPr>
  </w:style>
  <w:style w:type="paragraph" w:styleId="Obsah6">
    <w:name w:val="toc 6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738" w:hanging="454"/>
    </w:pPr>
    <w:rPr>
      <w:noProof/>
    </w:rPr>
  </w:style>
  <w:style w:type="paragraph" w:styleId="Obsah7">
    <w:name w:val="toc 7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908" w:hanging="624"/>
    </w:pPr>
    <w:rPr>
      <w:noProof/>
    </w:rPr>
  </w:style>
  <w:style w:type="paragraph" w:styleId="Obsah8">
    <w:name w:val="toc 8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1106" w:hanging="822"/>
    </w:pPr>
    <w:rPr>
      <w:noProof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106FE"/>
    <w:pPr>
      <w:spacing w:after="40" w:line="240" w:lineRule="auto"/>
    </w:pPr>
    <w:rPr>
      <w:sz w:val="16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0106FE"/>
    <w:rPr>
      <w:sz w:val="16"/>
    </w:rPr>
  </w:style>
  <w:style w:type="character" w:styleId="Zstupntext">
    <w:name w:val="Placeholder Text"/>
    <w:basedOn w:val="Standardnpsmoodstavce"/>
    <w:uiPriority w:val="99"/>
    <w:semiHidden/>
    <w:rsid w:val="00F152C4"/>
    <w:rPr>
      <w:color w:val="666666"/>
    </w:rPr>
  </w:style>
  <w:style w:type="table" w:styleId="Svtlmkatabulky">
    <w:name w:val="Grid Table Light"/>
    <w:basedOn w:val="Normlntabulka"/>
    <w:uiPriority w:val="40"/>
    <w:rsid w:val="000C67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ezmezer">
    <w:name w:val="No Spacing"/>
    <w:uiPriority w:val="1"/>
    <w:semiHidden/>
    <w:qFormat/>
    <w:rsid w:val="00586756"/>
    <w:pPr>
      <w:spacing w:after="0" w:line="240" w:lineRule="auto"/>
    </w:pPr>
  </w:style>
  <w:style w:type="paragraph" w:customStyle="1" w:styleId="Poznmky">
    <w:name w:val="Poznámky"/>
    <w:basedOn w:val="Normln"/>
    <w:qFormat/>
    <w:rsid w:val="00200551"/>
    <w:pPr>
      <w:pBdr>
        <w:top w:val="single" w:sz="4" w:space="4" w:color="auto"/>
      </w:pBdr>
      <w:spacing w:after="0"/>
      <w:jc w:val="left"/>
    </w:pPr>
    <w:rPr>
      <w:i/>
      <w:sz w:val="18"/>
    </w:rPr>
  </w:style>
  <w:style w:type="paragraph" w:customStyle="1" w:styleId="Poznamkytexty">
    <w:name w:val="Poznamky texty"/>
    <w:basedOn w:val="Poznmky"/>
    <w:qFormat/>
    <w:rsid w:val="00580269"/>
    <w:pPr>
      <w:pBdr>
        <w:top w:val="none" w:sz="0" w:space="0" w:color="auto"/>
      </w:pBdr>
      <w:spacing w:line="240" w:lineRule="exact"/>
      <w:jc w:val="both"/>
    </w:pPr>
    <w:rPr>
      <w:rFonts w:ascii="Arial" w:eastAsia="Calibri" w:hAnsi="Arial" w:cs="ArialMT"/>
      <w:color w:val="000000"/>
      <w:kern w:val="0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jan.benedikt@csu.gov.cz" TargetMode="Externa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vladimir.kermiet@csu.gov.cz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csu.gov.cz/ctvrtletni-odhady-hdp?pocet=10&amp;start=0&amp;podskupiny=051&amp;razeni=-datumVydani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csu.gov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ABFS3\BARANNU\nu\QU\HDP\VYS\RI\2026\2Q\T30\Graf_HDP_T30_&#382;iv&#283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9054117072575236E-2"/>
          <c:y val="0.14749411982623345"/>
          <c:w val="0.91732965970245384"/>
          <c:h val="0.66051334753981084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data!$D$5</c:f>
              <c:strCache>
                <c:ptCount val="1"/>
                <c:pt idx="0">
                  <c:v>Mezičtvrtletní reálná změna</c:v>
                </c:pt>
              </c:strCache>
            </c:strRef>
          </c:tx>
          <c:spPr>
            <a:solidFill>
              <a:schemeClr val="accent1"/>
            </a:solidFill>
          </c:spPr>
          <c:invertIfNegative val="0"/>
          <c:cat>
            <c:multiLvlStrRef>
              <c:f>data!$B$91:$C$128</c:f>
              <c:multiLvlStrCache>
                <c:ptCount val="38"/>
                <c:lvl>
                  <c:pt idx="0">
                    <c:v>1</c:v>
                  </c:pt>
                  <c:pt idx="1">
                    <c:v>2</c:v>
                  </c:pt>
                  <c:pt idx="2">
                    <c:v>3</c:v>
                  </c:pt>
                  <c:pt idx="3">
                    <c:v>4</c:v>
                  </c:pt>
                  <c:pt idx="4">
                    <c:v>1</c:v>
                  </c:pt>
                  <c:pt idx="5">
                    <c:v>2</c:v>
                  </c:pt>
                  <c:pt idx="6">
                    <c:v>3</c:v>
                  </c:pt>
                  <c:pt idx="7">
                    <c:v>4</c:v>
                  </c:pt>
                  <c:pt idx="8">
                    <c:v>1</c:v>
                  </c:pt>
                  <c:pt idx="9">
                    <c:v>2</c:v>
                  </c:pt>
                  <c:pt idx="10">
                    <c:v>3</c:v>
                  </c:pt>
                  <c:pt idx="11">
                    <c:v>4</c:v>
                  </c:pt>
                  <c:pt idx="12">
                    <c:v>1</c:v>
                  </c:pt>
                  <c:pt idx="13">
                    <c:v>2</c:v>
                  </c:pt>
                  <c:pt idx="14">
                    <c:v>3</c:v>
                  </c:pt>
                  <c:pt idx="15">
                    <c:v>4</c:v>
                  </c:pt>
                  <c:pt idx="16">
                    <c:v>1</c:v>
                  </c:pt>
                  <c:pt idx="17">
                    <c:v>2</c:v>
                  </c:pt>
                  <c:pt idx="18">
                    <c:v>3</c:v>
                  </c:pt>
                  <c:pt idx="19">
                    <c:v>4</c:v>
                  </c:pt>
                  <c:pt idx="20">
                    <c:v>1</c:v>
                  </c:pt>
                  <c:pt idx="21">
                    <c:v>2</c:v>
                  </c:pt>
                  <c:pt idx="22">
                    <c:v>3</c:v>
                  </c:pt>
                  <c:pt idx="23">
                    <c:v>4</c:v>
                  </c:pt>
                  <c:pt idx="24">
                    <c:v>1</c:v>
                  </c:pt>
                  <c:pt idx="25">
                    <c:v>2</c:v>
                  </c:pt>
                  <c:pt idx="26">
                    <c:v>3</c:v>
                  </c:pt>
                  <c:pt idx="27">
                    <c:v>4</c:v>
                  </c:pt>
                  <c:pt idx="28">
                    <c:v>1</c:v>
                  </c:pt>
                  <c:pt idx="29">
                    <c:v>2</c:v>
                  </c:pt>
                  <c:pt idx="30">
                    <c:v>3</c:v>
                  </c:pt>
                  <c:pt idx="31">
                    <c:v>4</c:v>
                  </c:pt>
                  <c:pt idx="32">
                    <c:v>1</c:v>
                  </c:pt>
                  <c:pt idx="33">
                    <c:v>2</c:v>
                  </c:pt>
                  <c:pt idx="34">
                    <c:v>3</c:v>
                  </c:pt>
                  <c:pt idx="35">
                    <c:v>4</c:v>
                  </c:pt>
                  <c:pt idx="36">
                    <c:v>1</c:v>
                  </c:pt>
                  <c:pt idx="37">
                    <c:v>2</c:v>
                  </c:pt>
                </c:lvl>
                <c:lvl>
                  <c:pt idx="0">
                    <c:v>2017</c:v>
                  </c:pt>
                  <c:pt idx="4">
                    <c:v>2018</c:v>
                  </c:pt>
                  <c:pt idx="8">
                    <c:v>2019</c:v>
                  </c:pt>
                  <c:pt idx="12">
                    <c:v>2020</c:v>
                  </c:pt>
                  <c:pt idx="16">
                    <c:v>2021</c:v>
                  </c:pt>
                  <c:pt idx="20">
                    <c:v>2022</c:v>
                  </c:pt>
                  <c:pt idx="24">
                    <c:v>2023</c:v>
                  </c:pt>
                  <c:pt idx="28">
                    <c:v>2024</c:v>
                  </c:pt>
                  <c:pt idx="32">
                    <c:v>2025</c:v>
                  </c:pt>
                  <c:pt idx="36">
                    <c:v>2026</c:v>
                  </c:pt>
                </c:lvl>
              </c:multiLvlStrCache>
            </c:multiLvlStrRef>
          </c:cat>
          <c:val>
            <c:numRef>
              <c:f>data!$D$91:$D$128</c:f>
              <c:numCache>
                <c:formatCode>#\ ##0.0</c:formatCode>
                <c:ptCount val="38"/>
                <c:pt idx="0">
                  <c:v>1.4389912596697343</c:v>
                </c:pt>
                <c:pt idx="1">
                  <c:v>3.0227375776059802</c:v>
                </c:pt>
                <c:pt idx="2">
                  <c:v>0.60998012854686579</c:v>
                </c:pt>
                <c:pt idx="3">
                  <c:v>0.51584079563333773</c:v>
                </c:pt>
                <c:pt idx="4">
                  <c:v>0.39470851784093952</c:v>
                </c:pt>
                <c:pt idx="5">
                  <c:v>0.58870302075682446</c:v>
                </c:pt>
                <c:pt idx="6">
                  <c:v>0.61243510521687483</c:v>
                </c:pt>
                <c:pt idx="7">
                  <c:v>0.82592621137216327</c:v>
                </c:pt>
                <c:pt idx="8">
                  <c:v>1.4432399460014551</c:v>
                </c:pt>
                <c:pt idx="9">
                  <c:v>0.70472945760593575</c:v>
                </c:pt>
                <c:pt idx="10">
                  <c:v>0.46401171228589533</c:v>
                </c:pt>
                <c:pt idx="11">
                  <c:v>0.68045966017105286</c:v>
                </c:pt>
                <c:pt idx="12">
                  <c:v>-3.3379674856075212</c:v>
                </c:pt>
                <c:pt idx="13">
                  <c:v>-8.549847723084298</c:v>
                </c:pt>
                <c:pt idx="14">
                  <c:v>7.1743910040053009</c:v>
                </c:pt>
                <c:pt idx="15">
                  <c:v>0.78052715406535356</c:v>
                </c:pt>
                <c:pt idx="16">
                  <c:v>2.9228489125699753E-2</c:v>
                </c:pt>
                <c:pt idx="17">
                  <c:v>1.4365987982629065</c:v>
                </c:pt>
                <c:pt idx="18">
                  <c:v>1.7350211172300334</c:v>
                </c:pt>
                <c:pt idx="19">
                  <c:v>0.61863116182236411</c:v>
                </c:pt>
                <c:pt idx="20">
                  <c:v>0.94875912386910954</c:v>
                </c:pt>
                <c:pt idx="21">
                  <c:v>0.30646581691773633</c:v>
                </c:pt>
                <c:pt idx="22">
                  <c:v>0.13616054375498265</c:v>
                </c:pt>
                <c:pt idx="23">
                  <c:v>-0.38583788533028951</c:v>
                </c:pt>
                <c:pt idx="24">
                  <c:v>0.18555807792735379</c:v>
                </c:pt>
                <c:pt idx="25">
                  <c:v>0.39909210092633884</c:v>
                </c:pt>
                <c:pt idx="26">
                  <c:v>-0.41332680900401897</c:v>
                </c:pt>
                <c:pt idx="27">
                  <c:v>0.28624584461248048</c:v>
                </c:pt>
                <c:pt idx="28">
                  <c:v>0.3175438800764141</c:v>
                </c:pt>
                <c:pt idx="29">
                  <c:v>0.2845730262160231</c:v>
                </c:pt>
                <c:pt idx="30">
                  <c:v>0.65499085529410195</c:v>
                </c:pt>
                <c:pt idx="31">
                  <c:v>0.71446907920018532</c:v>
                </c:pt>
                <c:pt idx="32">
                  <c:v>0.79124372603251913</c:v>
                </c:pt>
                <c:pt idx="33">
                  <c:v>0.57695279047358383</c:v>
                </c:pt>
                <c:pt idx="34">
                  <c:v>0.69504012158112971</c:v>
                </c:pt>
                <c:pt idx="35">
                  <c:v>0.70410333907653921</c:v>
                </c:pt>
                <c:pt idx="36">
                  <c:v>0.20341779662629733</c:v>
                </c:pt>
                <c:pt idx="37">
                  <c:v>0.35239964856785377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F8B-4F4C-96AD-5BF8E153DDAA}"/>
            </c:ext>
          </c:extLst>
        </c:ser>
        <c:ser>
          <c:idx val="0"/>
          <c:order val="1"/>
          <c:tx>
            <c:strRef>
              <c:f>data!$G$5</c:f>
              <c:strCache>
                <c:ptCount val="1"/>
                <c:pt idx="0">
                  <c:v>Meziroční reálná změna</c:v>
                </c:pt>
              </c:strCache>
            </c:strRef>
          </c:tx>
          <c:spPr>
            <a:solidFill>
              <a:srgbClr val="BD1B21"/>
            </a:solidFill>
            <a:ln>
              <a:noFill/>
            </a:ln>
          </c:spPr>
          <c:invertIfNegative val="0"/>
          <c:cat>
            <c:multiLvlStrRef>
              <c:f>data!$B$91:$C$128</c:f>
              <c:multiLvlStrCache>
                <c:ptCount val="38"/>
                <c:lvl>
                  <c:pt idx="0">
                    <c:v>1</c:v>
                  </c:pt>
                  <c:pt idx="1">
                    <c:v>2</c:v>
                  </c:pt>
                  <c:pt idx="2">
                    <c:v>3</c:v>
                  </c:pt>
                  <c:pt idx="3">
                    <c:v>4</c:v>
                  </c:pt>
                  <c:pt idx="4">
                    <c:v>1</c:v>
                  </c:pt>
                  <c:pt idx="5">
                    <c:v>2</c:v>
                  </c:pt>
                  <c:pt idx="6">
                    <c:v>3</c:v>
                  </c:pt>
                  <c:pt idx="7">
                    <c:v>4</c:v>
                  </c:pt>
                  <c:pt idx="8">
                    <c:v>1</c:v>
                  </c:pt>
                  <c:pt idx="9">
                    <c:v>2</c:v>
                  </c:pt>
                  <c:pt idx="10">
                    <c:v>3</c:v>
                  </c:pt>
                  <c:pt idx="11">
                    <c:v>4</c:v>
                  </c:pt>
                  <c:pt idx="12">
                    <c:v>1</c:v>
                  </c:pt>
                  <c:pt idx="13">
                    <c:v>2</c:v>
                  </c:pt>
                  <c:pt idx="14">
                    <c:v>3</c:v>
                  </c:pt>
                  <c:pt idx="15">
                    <c:v>4</c:v>
                  </c:pt>
                  <c:pt idx="16">
                    <c:v>1</c:v>
                  </c:pt>
                  <c:pt idx="17">
                    <c:v>2</c:v>
                  </c:pt>
                  <c:pt idx="18">
                    <c:v>3</c:v>
                  </c:pt>
                  <c:pt idx="19">
                    <c:v>4</c:v>
                  </c:pt>
                  <c:pt idx="20">
                    <c:v>1</c:v>
                  </c:pt>
                  <c:pt idx="21">
                    <c:v>2</c:v>
                  </c:pt>
                  <c:pt idx="22">
                    <c:v>3</c:v>
                  </c:pt>
                  <c:pt idx="23">
                    <c:v>4</c:v>
                  </c:pt>
                  <c:pt idx="24">
                    <c:v>1</c:v>
                  </c:pt>
                  <c:pt idx="25">
                    <c:v>2</c:v>
                  </c:pt>
                  <c:pt idx="26">
                    <c:v>3</c:v>
                  </c:pt>
                  <c:pt idx="27">
                    <c:v>4</c:v>
                  </c:pt>
                  <c:pt idx="28">
                    <c:v>1</c:v>
                  </c:pt>
                  <c:pt idx="29">
                    <c:v>2</c:v>
                  </c:pt>
                  <c:pt idx="30">
                    <c:v>3</c:v>
                  </c:pt>
                  <c:pt idx="31">
                    <c:v>4</c:v>
                  </c:pt>
                  <c:pt idx="32">
                    <c:v>1</c:v>
                  </c:pt>
                  <c:pt idx="33">
                    <c:v>2</c:v>
                  </c:pt>
                  <c:pt idx="34">
                    <c:v>3</c:v>
                  </c:pt>
                  <c:pt idx="35">
                    <c:v>4</c:v>
                  </c:pt>
                  <c:pt idx="36">
                    <c:v>1</c:v>
                  </c:pt>
                  <c:pt idx="37">
                    <c:v>2</c:v>
                  </c:pt>
                </c:lvl>
                <c:lvl>
                  <c:pt idx="0">
                    <c:v>2017</c:v>
                  </c:pt>
                  <c:pt idx="4">
                    <c:v>2018</c:v>
                  </c:pt>
                  <c:pt idx="8">
                    <c:v>2019</c:v>
                  </c:pt>
                  <c:pt idx="12">
                    <c:v>2020</c:v>
                  </c:pt>
                  <c:pt idx="16">
                    <c:v>2021</c:v>
                  </c:pt>
                  <c:pt idx="20">
                    <c:v>2022</c:v>
                  </c:pt>
                  <c:pt idx="24">
                    <c:v>2023</c:v>
                  </c:pt>
                  <c:pt idx="28">
                    <c:v>2024</c:v>
                  </c:pt>
                  <c:pt idx="32">
                    <c:v>2025</c:v>
                  </c:pt>
                  <c:pt idx="36">
                    <c:v>2026</c:v>
                  </c:pt>
                </c:lvl>
              </c:multiLvlStrCache>
            </c:multiLvlStrRef>
          </c:cat>
          <c:val>
            <c:numRef>
              <c:f>data!$G$91:$G$128</c:f>
              <c:numCache>
                <c:formatCode>#\ ##0.0</c:formatCode>
                <c:ptCount val="38"/>
                <c:pt idx="0">
                  <c:v>3.5468626217481471</c:v>
                </c:pt>
                <c:pt idx="1">
                  <c:v>6.3545636342577012</c:v>
                </c:pt>
                <c:pt idx="2">
                  <c:v>5.9607907363201491</c:v>
                </c:pt>
                <c:pt idx="3">
                  <c:v>5.685055749828976</c:v>
                </c:pt>
                <c:pt idx="4">
                  <c:v>4.5970610998600847</c:v>
                </c:pt>
                <c:pt idx="5">
                  <c:v>2.1258312796454959</c:v>
                </c:pt>
                <c:pt idx="6">
                  <c:v>2.1283232444870919</c:v>
                </c:pt>
                <c:pt idx="7">
                  <c:v>2.4433830730803123</c:v>
                </c:pt>
                <c:pt idx="8">
                  <c:v>3.5133110438371205</c:v>
                </c:pt>
                <c:pt idx="9">
                  <c:v>3.6327109395132027</c:v>
                </c:pt>
                <c:pt idx="10">
                  <c:v>3.4798320378128835</c:v>
                </c:pt>
                <c:pt idx="11">
                  <c:v>3.3305365653978782</c:v>
                </c:pt>
                <c:pt idx="12">
                  <c:v>-1.5396226448324768</c:v>
                </c:pt>
                <c:pt idx="13">
                  <c:v>-10.587948045049927</c:v>
                </c:pt>
                <c:pt idx="14">
                  <c:v>-4.6157718235098457</c:v>
                </c:pt>
                <c:pt idx="15">
                  <c:v>-4.5209683164253676</c:v>
                </c:pt>
                <c:pt idx="16">
                  <c:v>-1.1949818583143212</c:v>
                </c:pt>
                <c:pt idx="17">
                  <c:v>9.5946232450743878</c:v>
                </c:pt>
                <c:pt idx="18">
                  <c:v>4.0324204851868899</c:v>
                </c:pt>
                <c:pt idx="19">
                  <c:v>3.8653005820121109</c:v>
                </c:pt>
                <c:pt idx="20">
                  <c:v>4.820094767817281</c:v>
                </c:pt>
                <c:pt idx="21">
                  <c:v>3.6522653294463083</c:v>
                </c:pt>
                <c:pt idx="22">
                  <c:v>2.0232734781971686</c:v>
                </c:pt>
                <c:pt idx="23">
                  <c:v>1.0047819809989562</c:v>
                </c:pt>
                <c:pt idx="24">
                  <c:v>0.24115738648137608</c:v>
                </c:pt>
                <c:pt idx="25">
                  <c:v>0.33372336254097945</c:v>
                </c:pt>
                <c:pt idx="26">
                  <c:v>-0.21684809679560146</c:v>
                </c:pt>
                <c:pt idx="27">
                  <c:v>0.45637578515957955</c:v>
                </c:pt>
                <c:pt idx="28">
                  <c:v>0.58871836619984208</c:v>
                </c:pt>
                <c:pt idx="29">
                  <c:v>0.47398299646150122</c:v>
                </c:pt>
                <c:pt idx="30">
                  <c:v>1.5518192911999336</c:v>
                </c:pt>
                <c:pt idx="31">
                  <c:v>1.9854465365803691</c:v>
                </c:pt>
                <c:pt idx="32">
                  <c:v>2.4670222255933822</c:v>
                </c:pt>
                <c:pt idx="33">
                  <c:v>2.7657649224851752</c:v>
                </c:pt>
                <c:pt idx="34">
                  <c:v>2.8066540373675934</c:v>
                </c:pt>
                <c:pt idx="35">
                  <c:v>2.7960729652686496</c:v>
                </c:pt>
                <c:pt idx="36">
                  <c:v>2.1965546450624913</c:v>
                </c:pt>
                <c:pt idx="37">
                  <c:v>1.9683854989431353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F8B-4F4C-96AD-5BF8E153DD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46"/>
        <c:axId val="200844800"/>
        <c:axId val="44289984"/>
      </c:barChart>
      <c:catAx>
        <c:axId val="20084480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 algn="ctr">
                  <a:defRPr/>
                </a:pPr>
                <a:r>
                  <a:rPr lang="cs-CZ" sz="600" b="1" i="0"/>
                  <a:t>Čtvrtletí</a:t>
                </a:r>
              </a:p>
            </c:rich>
          </c:tx>
          <c:layout>
            <c:manualLayout>
              <c:xMode val="edge"/>
              <c:yMode val="edge"/>
              <c:x val="0.47599321872045641"/>
              <c:y val="0.88230044181137623"/>
            </c:manualLayout>
          </c:layout>
          <c:overlay val="0"/>
        </c:title>
        <c:numFmt formatCode="General" sourceLinked="0"/>
        <c:majorTickMark val="out"/>
        <c:minorTickMark val="none"/>
        <c:tickLblPos val="low"/>
        <c:spPr>
          <a:ln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430" baseline="0"/>
            </a:pPr>
            <a:endParaRPr lang="cs-CZ"/>
          </a:p>
        </c:txPr>
        <c:crossAx val="44289984"/>
        <c:crossesAt val="0"/>
        <c:auto val="1"/>
        <c:lblAlgn val="ctr"/>
        <c:lblOffset val="100"/>
        <c:noMultiLvlLbl val="0"/>
      </c:catAx>
      <c:valAx>
        <c:axId val="44289984"/>
        <c:scaling>
          <c:orientation val="minMax"/>
          <c:max val="10"/>
          <c:min val="-12"/>
        </c:scaling>
        <c:delete val="0"/>
        <c:axPos val="l"/>
        <c:majorGridlines>
          <c:spPr>
            <a:ln>
              <a:solidFill>
                <a:schemeClr val="bg1">
                  <a:lumMod val="75000"/>
                </a:schemeClr>
              </a:solidFill>
            </a:ln>
          </c:spPr>
        </c:majorGridlines>
        <c:title>
          <c:tx>
            <c:rich>
              <a:bodyPr rot="-5400000" vert="horz"/>
              <a:lstStyle/>
              <a:p>
                <a:pPr>
                  <a:defRPr sz="600" baseline="0"/>
                </a:pPr>
                <a:r>
                  <a:rPr lang="cs-CZ" sz="600" baseline="0"/>
                  <a:t>%</a:t>
                </a:r>
                <a:endParaRPr lang="cs-CZ" sz="600" b="0" i="1" baseline="0"/>
              </a:p>
            </c:rich>
          </c:tx>
          <c:layout>
            <c:manualLayout>
              <c:xMode val="edge"/>
              <c:yMode val="edge"/>
              <c:x val="1.800704635586178E-2"/>
              <c:y val="0.42288854967985046"/>
            </c:manualLayout>
          </c:layout>
          <c:overlay val="0"/>
        </c:title>
        <c:numFmt formatCode="#,##0" sourceLinked="0"/>
        <c:majorTickMark val="out"/>
        <c:minorTickMark val="none"/>
        <c:tickLblPos val="nextTo"/>
        <c:txPr>
          <a:bodyPr/>
          <a:lstStyle/>
          <a:p>
            <a:pPr>
              <a:defRPr sz="430" baseline="0"/>
            </a:pPr>
            <a:endParaRPr lang="cs-CZ"/>
          </a:p>
        </c:txPr>
        <c:crossAx val="200844800"/>
        <c:crosses val="autoZero"/>
        <c:crossBetween val="between"/>
        <c:majorUnit val="2"/>
      </c:valAx>
      <c:spPr>
        <a:ln>
          <a:solidFill>
            <a:schemeClr val="bg1">
              <a:lumMod val="75000"/>
            </a:schemeClr>
          </a:solidFill>
        </a:ln>
      </c:spPr>
    </c:plotArea>
    <c:legend>
      <c:legendPos val="r"/>
      <c:legendEntry>
        <c:idx val="0"/>
        <c:txPr>
          <a:bodyPr/>
          <a:lstStyle/>
          <a:p>
            <a:pPr>
              <a:defRPr sz="600"/>
            </a:pPr>
            <a:endParaRPr lang="cs-CZ"/>
          </a:p>
        </c:txPr>
      </c:legendEntry>
      <c:legendEntry>
        <c:idx val="1"/>
        <c:txPr>
          <a:bodyPr/>
          <a:lstStyle/>
          <a:p>
            <a:pPr>
              <a:defRPr sz="600"/>
            </a:pPr>
            <a:endParaRPr lang="cs-CZ"/>
          </a:p>
        </c:txPr>
      </c:legendEntry>
      <c:layout>
        <c:manualLayout>
          <c:xMode val="edge"/>
          <c:yMode val="edge"/>
          <c:x val="1.0071260017624607E-2"/>
          <c:y val="0.91938196784902826"/>
          <c:w val="0.97560887856009215"/>
          <c:h val="4.1594148140311635E-2"/>
        </c:manualLayout>
      </c:layout>
      <c:overlay val="0"/>
      <c:spPr>
        <a:solidFill>
          <a:schemeClr val="bg1">
            <a:lumMod val="95000"/>
          </a:schemeClr>
        </a:solidFill>
      </c:spPr>
    </c:legend>
    <c:plotVisOnly val="1"/>
    <c:dispBlanksAs val="gap"/>
    <c:showDLblsOverMax val="0"/>
  </c:chart>
  <c:spPr>
    <a:ln w="6350">
      <a:solidFill>
        <a:schemeClr val="bg1">
          <a:lumMod val="50000"/>
        </a:schemeClr>
      </a:solidFill>
    </a:ln>
  </c:spPr>
  <c:txPr>
    <a:bodyPr/>
    <a:lstStyle/>
    <a:p>
      <a:pPr>
        <a:defRPr>
          <a:latin typeface="Arial" panose="020B0604020202020204" pitchFamily="34" charset="0"/>
          <a:cs typeface="Arial" panose="020B0604020202020204" pitchFamily="34" charset="0"/>
        </a:defRPr>
      </a:pPr>
      <a:endParaRPr lang="cs-CZ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0.01172</cdr:x>
      <cdr:y>0.01536</cdr:y>
    </cdr:from>
    <cdr:to>
      <cdr:x>0.98783</cdr:x>
      <cdr:y>0.12092</cdr:y>
    </cdr:to>
    <cdr:sp macro="" textlink="">
      <cdr:nvSpPr>
        <cdr:cNvPr id="3" name="TextovéPole 1"/>
        <cdr:cNvSpPr txBox="1"/>
      </cdr:nvSpPr>
      <cdr:spPr>
        <a:xfrm xmlns:a="http://schemas.openxmlformats.org/drawingml/2006/main">
          <a:off x="114300" y="76201"/>
          <a:ext cx="9522637" cy="523874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>
            <a:lumMod val="95000"/>
          </a:schemeClr>
        </a:solidFill>
      </cdr:spPr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marL="0" marR="0" lvl="0" indent="0" algn="l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cs-CZ" sz="1000" b="1" i="0" baseline="0">
              <a:effectLst/>
              <a:latin typeface="Arial" panose="020B0604020202020204" pitchFamily="34" charset="0"/>
              <a:ea typeface="+mn-ea"/>
              <a:cs typeface="Arial" panose="020B0604020202020204" pitchFamily="34" charset="0"/>
            </a:rPr>
            <a:t>Hrubý domácí produkt</a:t>
          </a:r>
        </a:p>
        <a:p xmlns:a="http://schemas.openxmlformats.org/drawingml/2006/main">
          <a:pPr marL="0" marR="0" lvl="0" indent="0" algn="l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cs-CZ" sz="1000" b="0" i="1" baseline="0">
              <a:effectLst/>
              <a:latin typeface="Arial" panose="020B0604020202020204" pitchFamily="34" charset="0"/>
              <a:ea typeface="+mn-ea"/>
              <a:cs typeface="Arial" panose="020B0604020202020204" pitchFamily="34" charset="0"/>
            </a:rPr>
            <a:t>mezičtvrtletní a meziroční reálná změna, sezónně očištěno</a:t>
          </a:r>
          <a:endParaRPr lang="cs-CZ" sz="1000" b="0" i="1" cap="none" baseline="0">
            <a:latin typeface="Arial" pitchFamily="34" charset="0"/>
            <a:ea typeface="+mn-ea"/>
            <a:cs typeface="Arial" pitchFamily="34" charset="0"/>
          </a:endParaRPr>
        </a:p>
      </cdr:txBody>
    </cdr:sp>
  </cdr:relSizeAnchor>
</c:userShape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8A9CA17C7144F2AB9468813E160297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DA558A6-DC98-4C61-BA2A-47C2EAFDCC07}"/>
      </w:docPartPr>
      <w:docPartBody>
        <w:p w:rsidR="00847AF4" w:rsidRDefault="00847AF4">
          <w:pPr>
            <w:pStyle w:val="98A9CA17C7144F2AB9468813E160297E"/>
          </w:pPr>
          <w:r w:rsidRPr="000C0286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AF4"/>
    <w:rsid w:val="000B3168"/>
    <w:rsid w:val="00150150"/>
    <w:rsid w:val="0018786C"/>
    <w:rsid w:val="001B3D9C"/>
    <w:rsid w:val="0027109E"/>
    <w:rsid w:val="002B0FF2"/>
    <w:rsid w:val="003A4770"/>
    <w:rsid w:val="004534BA"/>
    <w:rsid w:val="005B5DF9"/>
    <w:rsid w:val="00751EB2"/>
    <w:rsid w:val="00817789"/>
    <w:rsid w:val="00847AF4"/>
    <w:rsid w:val="00863F03"/>
    <w:rsid w:val="008839E3"/>
    <w:rsid w:val="008965C8"/>
    <w:rsid w:val="00CD6C94"/>
    <w:rsid w:val="00D14629"/>
    <w:rsid w:val="00D14972"/>
    <w:rsid w:val="00D55BAC"/>
    <w:rsid w:val="00D94E2D"/>
    <w:rsid w:val="00DC0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666666"/>
    </w:rPr>
  </w:style>
  <w:style w:type="paragraph" w:customStyle="1" w:styleId="98A9CA17C7144F2AB9468813E160297E">
    <w:name w:val="98A9CA17C7144F2AB9468813E160297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JVS šedé nadpisy">
      <a:dk1>
        <a:sysClr val="windowText" lastClr="000000"/>
      </a:dk1>
      <a:lt1>
        <a:sysClr val="window" lastClr="FFFFFF"/>
      </a:lt1>
      <a:dk2>
        <a:srgbClr val="545860"/>
      </a:dk2>
      <a:lt2>
        <a:srgbClr val="A7A9B3"/>
      </a:lt2>
      <a:accent1>
        <a:srgbClr val="00459B"/>
      </a:accent1>
      <a:accent2>
        <a:srgbClr val="D70C0F"/>
      </a:accent2>
      <a:accent3>
        <a:srgbClr val="F7C1B9"/>
      </a:accent3>
      <a:accent4>
        <a:srgbClr val="690527"/>
      </a:accent4>
      <a:accent5>
        <a:srgbClr val="9DC8E9"/>
      </a:accent5>
      <a:accent6>
        <a:srgbClr val="545860"/>
      </a:accent6>
      <a:hlink>
        <a:srgbClr val="00459B"/>
      </a:hlink>
      <a:folHlink>
        <a:srgbClr val="00459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E00E32D9964647925B05BE21A1B4C5" ma:contentTypeVersion="4" ma:contentTypeDescription="Vytvoří nový dokument" ma:contentTypeScope="" ma:versionID="b8cc45cb0e60fa5fbece2209e9b591e0">
  <xsd:schema xmlns:xsd="http://www.w3.org/2001/XMLSchema" xmlns:xs="http://www.w3.org/2001/XMLSchema" xmlns:p="http://schemas.microsoft.com/office/2006/metadata/properties" xmlns:ns2="6f5a4aca-455c-4012-a902-4d97d6c174df" targetNamespace="http://schemas.microsoft.com/office/2006/metadata/properties" ma:root="true" ma:fieldsID="6d512670a76ab27fc4daa806633459ec" ns2:_="">
    <xsd:import namespace="6f5a4aca-455c-4012-a902-4d97d6c174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5a4aca-455c-4012-a902-4d97d6c174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1CB690-FF5C-4B21-B984-0828F6D350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45F2BFF-B860-4BCB-BD6E-29CA14312D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70789B-7DE5-43F3-AC77-5FBD9F0692FA}">
  <ds:schemaRefs>
    <ds:schemaRef ds:uri="http://schemas.microsoft.com/office/2006/metadata/properties"/>
    <ds:schemaRef ds:uri="http://schemas.microsoft.com/office/infopath/2007/PartnerControls"/>
    <ds:schemaRef ds:uri="8675fb2b-b414-4bad-b4c4-d9349268b5a1"/>
    <ds:schemaRef ds:uri="406a38fe-c53c-4047-b0f8-c641386931ae"/>
  </ds:schemaRefs>
</ds:datastoreItem>
</file>

<file path=customXml/itemProps4.xml><?xml version="1.0" encoding="utf-8"?>
<ds:datastoreItem xmlns:ds="http://schemas.openxmlformats.org/officeDocument/2006/customXml" ds:itemID="{1A897A59-A559-4ECF-9189-9620C4B187F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263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Rychlá informace CZ - konjukturální průzkum</vt:lpstr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Rychlá informace CZ - konjukturální průzkum</dc:title>
  <dc:subject/>
  <dc:creator>Benedikt Jan</dc:creator>
  <cp:keywords/>
  <dc:description/>
  <cp:lastModifiedBy>Benedikt Jan</cp:lastModifiedBy>
  <cp:revision>19</cp:revision>
  <dcterms:created xsi:type="dcterms:W3CDTF">2026-06-23T12:26:00Z</dcterms:created>
  <dcterms:modified xsi:type="dcterms:W3CDTF">2026-07-29T06:38:00Z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0x0101001BE00E32D9964647925B05BE21A1B4C5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xd_Signature">
    <vt:bool>false</vt:bool>
  </property>
</Properties>
</file>