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Pr="000533DD" w:rsidRDefault="00B068A1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D640CB" w:rsidRPr="000533DD">
        <w:rPr>
          <w:lang w:val="cs-CZ"/>
        </w:rPr>
        <w:t xml:space="preserve">. </w:t>
      </w:r>
      <w:r w:rsidR="004728EA">
        <w:rPr>
          <w:lang w:val="cs-CZ"/>
        </w:rPr>
        <w:t>1</w:t>
      </w:r>
      <w:r>
        <w:rPr>
          <w:lang w:val="cs-CZ"/>
        </w:rPr>
        <w:t>1</w:t>
      </w:r>
      <w:r w:rsidR="00D640CB" w:rsidRPr="000533DD">
        <w:rPr>
          <w:lang w:val="cs-CZ"/>
        </w:rPr>
        <w:t>. 202</w:t>
      </w:r>
      <w:r w:rsidR="00CC4E9C" w:rsidRPr="000533DD">
        <w:rPr>
          <w:lang w:val="cs-CZ"/>
        </w:rPr>
        <w:t>1</w:t>
      </w:r>
    </w:p>
    <w:p w:rsidR="00422BEF" w:rsidRPr="00612547" w:rsidRDefault="00FD0617" w:rsidP="00422BEF">
      <w:pPr>
        <w:pStyle w:val="Podtitulek"/>
        <w:spacing w:before="280" w:after="0" w:line="360" w:lineRule="exact"/>
      </w:pPr>
      <w:r w:rsidRPr="00266FB2">
        <w:rPr>
          <w:color w:val="BD1B21"/>
          <w:sz w:val="32"/>
          <w:szCs w:val="32"/>
        </w:rPr>
        <w:t xml:space="preserve">Stavební produkce </w:t>
      </w:r>
      <w:r w:rsidR="00306167" w:rsidRPr="00306167">
        <w:rPr>
          <w:color w:val="BD1B21"/>
          <w:sz w:val="32"/>
          <w:szCs w:val="32"/>
        </w:rPr>
        <w:t>rostla díky pozemnímu stavitelství</w:t>
      </w:r>
      <w:r w:rsidR="00266FB2">
        <w:rPr>
          <w:color w:val="BD1B21"/>
          <w:sz w:val="32"/>
          <w:szCs w:val="32"/>
        </w:rPr>
        <w:t xml:space="preserve"> </w:t>
      </w:r>
    </w:p>
    <w:p w:rsidR="00D640CB" w:rsidRPr="000533DD" w:rsidRDefault="00D640CB" w:rsidP="00D640CB">
      <w:pPr>
        <w:pStyle w:val="Nadpis2"/>
        <w:spacing w:before="80" w:after="280" w:line="320" w:lineRule="exact"/>
      </w:pPr>
      <w:r w:rsidRPr="000533DD">
        <w:t xml:space="preserve">Stavebnictví – </w:t>
      </w:r>
      <w:r w:rsidR="001029AA">
        <w:t>září</w:t>
      </w:r>
      <w:r w:rsidRPr="000533DD">
        <w:t> 20</w:t>
      </w:r>
      <w:r w:rsidR="00652471" w:rsidRPr="000533DD">
        <w:t>2</w:t>
      </w:r>
      <w:r w:rsidR="00422BEF" w:rsidRPr="000533DD">
        <w:t>1</w:t>
      </w:r>
      <w:r w:rsidRPr="000533DD">
        <w:t xml:space="preserve"> </w:t>
      </w:r>
    </w:p>
    <w:p w:rsidR="00D640CB" w:rsidRPr="000533DD" w:rsidRDefault="00D640CB" w:rsidP="00D640CB">
      <w:pPr>
        <w:pStyle w:val="Nadpis3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1029AA">
        <w:t>září</w:t>
      </w:r>
      <w:r w:rsidRPr="000533DD">
        <w:rPr>
          <w:rFonts w:cs="Arial"/>
        </w:rPr>
        <w:t xml:space="preserve"> reálně meziročně </w:t>
      </w:r>
      <w:r w:rsidR="00E9531E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201103">
        <w:rPr>
          <w:rFonts w:cs="Arial"/>
        </w:rPr>
        <w:t>2</w:t>
      </w:r>
      <w:r w:rsidR="002713E0">
        <w:rPr>
          <w:rFonts w:cs="Arial"/>
        </w:rPr>
        <w:t>,</w:t>
      </w:r>
      <w:r w:rsidR="00201103">
        <w:rPr>
          <w:rFonts w:cs="Arial"/>
        </w:rPr>
        <w:t>2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</w:t>
      </w:r>
      <w:r w:rsidR="00825B25" w:rsidRPr="000533DD">
        <w:rPr>
          <w:rFonts w:cs="Arial"/>
        </w:rPr>
        <w:t xml:space="preserve">Meziměsíčně byla </w:t>
      </w:r>
      <w:r w:rsidR="002713E0">
        <w:rPr>
          <w:rFonts w:cs="Arial"/>
        </w:rPr>
        <w:t>vyšší</w:t>
      </w:r>
      <w:r w:rsidR="00825B25" w:rsidRPr="000533DD">
        <w:rPr>
          <w:rFonts w:cs="Arial"/>
        </w:rPr>
        <w:t xml:space="preserve"> o </w:t>
      </w:r>
      <w:r w:rsidR="00201103">
        <w:rPr>
          <w:rFonts w:cs="Arial"/>
        </w:rPr>
        <w:t>0</w:t>
      </w:r>
      <w:r w:rsidR="002713E0">
        <w:rPr>
          <w:rFonts w:cs="Arial"/>
        </w:rPr>
        <w:t>,</w:t>
      </w:r>
      <w:r w:rsidR="00201103">
        <w:rPr>
          <w:rFonts w:cs="Arial"/>
        </w:rPr>
        <w:t>4</w:t>
      </w:r>
      <w:r w:rsidR="00825B25" w:rsidRPr="000533DD">
        <w:rPr>
          <w:rFonts w:cs="Arial"/>
        </w:rPr>
        <w:t> %.</w:t>
      </w:r>
      <w:r w:rsidRPr="000533DD">
        <w:rPr>
          <w:rFonts w:cs="Arial"/>
        </w:rPr>
        <w:t xml:space="preserve"> Stavební úřady vydaly meziročně o </w:t>
      </w:r>
      <w:r w:rsidR="00E67967">
        <w:rPr>
          <w:rFonts w:cs="Arial"/>
        </w:rPr>
        <w:t>1</w:t>
      </w:r>
      <w:r w:rsidRPr="000533DD">
        <w:rPr>
          <w:rFonts w:cs="Arial"/>
        </w:rPr>
        <w:t>,</w:t>
      </w:r>
      <w:r w:rsidR="00E67967">
        <w:rPr>
          <w:rFonts w:cs="Arial"/>
        </w:rPr>
        <w:t>0</w:t>
      </w:r>
      <w:r w:rsidRPr="000533DD">
        <w:rPr>
          <w:rFonts w:cs="Arial"/>
        </w:rPr>
        <w:t xml:space="preserve"> % stavebních povolení </w:t>
      </w:r>
      <w:r w:rsidR="00F12027">
        <w:rPr>
          <w:rFonts w:cs="Arial"/>
        </w:rPr>
        <w:t>více</w:t>
      </w:r>
      <w:r w:rsidRPr="000533DD">
        <w:rPr>
          <w:rFonts w:cs="Arial"/>
        </w:rPr>
        <w:t xml:space="preserve"> a</w:t>
      </w:r>
      <w:r w:rsidR="009B2727"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431C5E" w:rsidRPr="000533DD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E67967">
        <w:rPr>
          <w:rFonts w:cs="Arial"/>
        </w:rPr>
        <w:t>28</w:t>
      </w:r>
      <w:r w:rsidRPr="000533DD">
        <w:rPr>
          <w:rFonts w:cs="Arial"/>
        </w:rPr>
        <w:t>,</w:t>
      </w:r>
      <w:r w:rsidR="00E67967">
        <w:rPr>
          <w:rFonts w:cs="Arial"/>
        </w:rPr>
        <w:t>8</w:t>
      </w:r>
      <w:r w:rsidRPr="000533DD">
        <w:rPr>
          <w:rFonts w:cs="Arial"/>
        </w:rPr>
        <w:t> %. Meziročně bylo zahájeno o</w:t>
      </w:r>
      <w:r w:rsidR="001D1ACB" w:rsidRPr="000533DD">
        <w:rPr>
          <w:rFonts w:cs="Arial"/>
        </w:rPr>
        <w:t xml:space="preserve"> </w:t>
      </w:r>
      <w:r w:rsidR="00E57D38">
        <w:rPr>
          <w:rFonts w:cs="Arial"/>
        </w:rPr>
        <w:t>57</w:t>
      </w:r>
      <w:r w:rsidR="003E7B03" w:rsidRPr="000533DD">
        <w:rPr>
          <w:rFonts w:cs="Arial"/>
        </w:rPr>
        <w:t>,</w:t>
      </w:r>
      <w:r w:rsidR="00E57D38">
        <w:rPr>
          <w:rFonts w:cs="Arial"/>
        </w:rPr>
        <w:t>3</w:t>
      </w:r>
      <w:r w:rsidR="003E7B03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E41B61">
        <w:rPr>
          <w:rFonts w:cs="Arial"/>
        </w:rPr>
        <w:t>více</w:t>
      </w:r>
      <w:r w:rsidRPr="000533DD">
        <w:rPr>
          <w:rFonts w:cs="Arial"/>
        </w:rPr>
        <w:t>. Dokončeno bylo o </w:t>
      </w:r>
      <w:r w:rsidR="007A2CB1">
        <w:rPr>
          <w:rFonts w:cs="Arial"/>
        </w:rPr>
        <w:t>10</w:t>
      </w:r>
      <w:r w:rsidR="008D44AA">
        <w:rPr>
          <w:rFonts w:cs="Arial"/>
        </w:rPr>
        <w:t>,</w:t>
      </w:r>
      <w:r w:rsidR="007A2CB1">
        <w:rPr>
          <w:rFonts w:cs="Arial"/>
        </w:rPr>
        <w:t>2</w:t>
      </w:r>
      <w:r w:rsidR="007E71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125DCA">
        <w:rPr>
          <w:rFonts w:cs="Arial"/>
        </w:rPr>
        <w:t>méně</w:t>
      </w:r>
      <w:r w:rsidRPr="000533DD">
        <w:rPr>
          <w:rFonts w:cs="Arial"/>
        </w:rPr>
        <w:t>.</w:t>
      </w:r>
    </w:p>
    <w:p w:rsidR="009F4AB1" w:rsidRDefault="009F4AB1" w:rsidP="0015171B">
      <w:pPr>
        <w:spacing w:before="200"/>
        <w:rPr>
          <w:rFonts w:cs="Arial"/>
          <w:b/>
          <w:bCs/>
          <w:szCs w:val="20"/>
        </w:rPr>
      </w:pPr>
      <w:r w:rsidRPr="00D1130F">
        <w:rPr>
          <w:rFonts w:eastAsia="Times New Roman" w:cs="Arial"/>
          <w:i/>
          <w:szCs w:val="20"/>
          <w:lang w:eastAsia="cs-CZ"/>
        </w:rPr>
        <w:t>„</w:t>
      </w:r>
      <w:r w:rsidRPr="00247C5F">
        <w:rPr>
          <w:rFonts w:cs="Arial"/>
          <w:i/>
          <w:szCs w:val="20"/>
        </w:rPr>
        <w:t>Stavební produkce v září meziročně mírně vzrostla, meziměsíčně spíše stagnovala. Vzhledem k poměrně nízké základně to není uspokojivý výsledek. Inženýrské stavitelství, které vychází ze segmentu velkých firem, zaznamenalo pokles a po téměř dvou letech vykázalo horší výsledek než pozemní stavitelství</w:t>
      </w:r>
      <w:r>
        <w:rPr>
          <w:rFonts w:cs="Arial"/>
          <w:i/>
          <w:szCs w:val="20"/>
        </w:rPr>
        <w:t>,</w:t>
      </w:r>
      <w:r w:rsidRPr="000A595E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 w:rsidRPr="00270816">
        <w:rPr>
          <w:rFonts w:cs="Arial"/>
          <w:szCs w:val="20"/>
        </w:rPr>
        <w:t>říká</w:t>
      </w:r>
      <w:r>
        <w:rPr>
          <w:rFonts w:cs="Arial"/>
          <w:i/>
          <w:szCs w:val="20"/>
        </w:rPr>
        <w:t xml:space="preserve"> </w:t>
      </w:r>
      <w:r w:rsidRPr="00190B92">
        <w:t>Radek Matějka, ředitel odboru statistiky zemědělství a</w:t>
      </w:r>
      <w:r>
        <w:t> </w:t>
      </w:r>
      <w:r w:rsidRPr="00190B92">
        <w:t>lesnictví, průmyslu, stavebnictví a energetiky.</w:t>
      </w:r>
    </w:p>
    <w:p w:rsidR="0015171B" w:rsidRPr="00920054" w:rsidRDefault="00D640CB" w:rsidP="0015171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Stavební produkce</w:t>
      </w:r>
      <w:r w:rsidRPr="00F612FE">
        <w:rPr>
          <w:rFonts w:cs="Arial"/>
          <w:b/>
          <w:bCs/>
          <w:szCs w:val="20"/>
          <w:vertAlign w:val="superscript"/>
        </w:rPr>
        <w:t>1</w:t>
      </w:r>
      <w:r w:rsidRPr="00F612FE">
        <w:rPr>
          <w:rFonts w:cs="Arial"/>
          <w:szCs w:val="20"/>
        </w:rPr>
        <w:t xml:space="preserve"> </w:t>
      </w:r>
      <w:r w:rsidR="00D56DEF" w:rsidRPr="000533DD">
        <w:rPr>
          <w:rFonts w:cs="Arial"/>
        </w:rPr>
        <w:t>v </w:t>
      </w:r>
      <w:r w:rsidR="001029AA">
        <w:t>září</w:t>
      </w:r>
      <w:r w:rsidRPr="00F612FE">
        <w:rPr>
          <w:rFonts w:cs="Arial"/>
          <w:szCs w:val="20"/>
        </w:rPr>
        <w:t xml:space="preserve"> 20</w:t>
      </w:r>
      <w:r w:rsidR="00CD0626" w:rsidRPr="00F612FE">
        <w:rPr>
          <w:rFonts w:cs="Arial"/>
          <w:szCs w:val="20"/>
        </w:rPr>
        <w:t>2</w:t>
      </w:r>
      <w:r w:rsidR="00CE5893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</w:t>
      </w:r>
      <w:r w:rsidR="00123164" w:rsidRPr="00F612FE">
        <w:rPr>
          <w:rFonts w:cs="Arial"/>
          <w:szCs w:val="20"/>
        </w:rPr>
        <w:t xml:space="preserve">byla reálně meziměsíčně </w:t>
      </w:r>
      <w:r w:rsidR="002713E0">
        <w:rPr>
          <w:rFonts w:cs="Arial"/>
          <w:szCs w:val="20"/>
        </w:rPr>
        <w:t>vyšší</w:t>
      </w:r>
      <w:r w:rsidR="00123164" w:rsidRPr="00F612FE">
        <w:rPr>
          <w:rFonts w:cs="Arial"/>
          <w:szCs w:val="20"/>
        </w:rPr>
        <w:t xml:space="preserve"> o </w:t>
      </w:r>
      <w:r w:rsidR="004E22B7">
        <w:rPr>
          <w:rFonts w:cs="Arial"/>
          <w:szCs w:val="20"/>
        </w:rPr>
        <w:t>0</w:t>
      </w:r>
      <w:r w:rsidR="002713E0">
        <w:rPr>
          <w:rFonts w:cs="Arial"/>
          <w:szCs w:val="20"/>
        </w:rPr>
        <w:t>,</w:t>
      </w:r>
      <w:r w:rsidR="004E22B7">
        <w:rPr>
          <w:rFonts w:cs="Arial"/>
          <w:szCs w:val="20"/>
        </w:rPr>
        <w:t>4</w:t>
      </w:r>
      <w:r w:rsidR="00123164" w:rsidRPr="00F612FE">
        <w:rPr>
          <w:rFonts w:cs="Arial"/>
          <w:szCs w:val="20"/>
        </w:rPr>
        <w:t> %</w:t>
      </w:r>
      <w:r w:rsidR="00C31724" w:rsidRPr="00F612FE">
        <w:rPr>
          <w:rFonts w:cs="Arial"/>
          <w:szCs w:val="20"/>
        </w:rPr>
        <w:t>.</w:t>
      </w:r>
      <w:r w:rsidRPr="00F612FE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 xml:space="preserve">Meziročně </w:t>
      </w:r>
      <w:r w:rsidR="00E9531E">
        <w:rPr>
          <w:rFonts w:cs="Arial"/>
          <w:szCs w:val="20"/>
        </w:rPr>
        <w:t>vzrostla</w:t>
      </w:r>
      <w:r w:rsidR="004815EC" w:rsidRPr="0039150C">
        <w:rPr>
          <w:rFonts w:cs="Arial"/>
          <w:szCs w:val="20"/>
        </w:rPr>
        <w:t xml:space="preserve"> o </w:t>
      </w:r>
      <w:r w:rsidR="004E22B7">
        <w:rPr>
          <w:rFonts w:cs="Arial"/>
          <w:szCs w:val="20"/>
        </w:rPr>
        <w:t>2</w:t>
      </w:r>
      <w:r w:rsidR="002713E0">
        <w:rPr>
          <w:rFonts w:cs="Arial"/>
          <w:szCs w:val="20"/>
        </w:rPr>
        <w:t>,</w:t>
      </w:r>
      <w:r w:rsidR="004E22B7">
        <w:rPr>
          <w:rFonts w:cs="Arial"/>
          <w:szCs w:val="20"/>
        </w:rPr>
        <w:t>2</w:t>
      </w:r>
      <w:r w:rsidR="004815EC" w:rsidRPr="0039150C">
        <w:rPr>
          <w:rFonts w:cs="Arial"/>
          <w:szCs w:val="20"/>
        </w:rPr>
        <w:t> %.</w:t>
      </w:r>
      <w:r w:rsidR="006E5FF1">
        <w:rPr>
          <w:rFonts w:cs="Arial"/>
          <w:szCs w:val="20"/>
        </w:rPr>
        <w:t xml:space="preserve"> </w:t>
      </w:r>
      <w:r w:rsidRPr="00F612FE">
        <w:rPr>
          <w:rFonts w:cs="Arial"/>
          <w:szCs w:val="20"/>
        </w:rPr>
        <w:t xml:space="preserve">Produkce v pozemním stavitelství se ve srovnání se stejným měsícem minulého roku </w:t>
      </w:r>
      <w:r w:rsidR="002713E0">
        <w:rPr>
          <w:rFonts w:cs="Arial"/>
          <w:szCs w:val="20"/>
        </w:rPr>
        <w:t>zvýšila</w:t>
      </w:r>
      <w:r w:rsidRPr="00F612FE">
        <w:rPr>
          <w:rFonts w:cs="Arial"/>
          <w:szCs w:val="20"/>
        </w:rPr>
        <w:t xml:space="preserve"> o </w:t>
      </w:r>
      <w:r w:rsidR="004E22B7">
        <w:rPr>
          <w:rFonts w:cs="Arial"/>
          <w:szCs w:val="20"/>
        </w:rPr>
        <w:t>4</w:t>
      </w:r>
      <w:r w:rsidR="002713E0">
        <w:rPr>
          <w:rFonts w:cs="Arial"/>
          <w:szCs w:val="20"/>
        </w:rPr>
        <w:t>,</w:t>
      </w:r>
      <w:r w:rsidR="004E22B7">
        <w:rPr>
          <w:rFonts w:cs="Arial"/>
          <w:szCs w:val="20"/>
        </w:rPr>
        <w:t>9</w:t>
      </w:r>
      <w:r w:rsidRPr="00F612FE">
        <w:rPr>
          <w:rFonts w:cs="Arial"/>
          <w:szCs w:val="20"/>
        </w:rPr>
        <w:t xml:space="preserve"> % (příspěvek </w:t>
      </w:r>
      <w:r w:rsidR="002713E0">
        <w:rPr>
          <w:rFonts w:cs="Arial"/>
          <w:szCs w:val="20"/>
        </w:rPr>
        <w:t>+</w:t>
      </w:r>
      <w:r w:rsidR="004E22B7">
        <w:rPr>
          <w:rFonts w:cs="Arial"/>
          <w:szCs w:val="20"/>
        </w:rPr>
        <w:t>3</w:t>
      </w:r>
      <w:r w:rsidR="002713E0">
        <w:rPr>
          <w:rFonts w:cs="Arial"/>
          <w:szCs w:val="20"/>
        </w:rPr>
        <w:t>,</w:t>
      </w:r>
      <w:r w:rsidR="004E22B7">
        <w:rPr>
          <w:rFonts w:cs="Arial"/>
          <w:szCs w:val="20"/>
        </w:rPr>
        <w:t>4</w:t>
      </w:r>
      <w:r w:rsidRPr="00F612FE">
        <w:rPr>
          <w:rFonts w:cs="Arial"/>
          <w:szCs w:val="20"/>
        </w:rPr>
        <w:t xml:space="preserve"> procentního bodu). Produkce inženýrského stavitelství meziročně </w:t>
      </w:r>
      <w:r w:rsidR="004E22B7">
        <w:rPr>
          <w:rFonts w:cs="Arial"/>
          <w:szCs w:val="20"/>
        </w:rPr>
        <w:t>klesla</w:t>
      </w:r>
      <w:r w:rsidR="00CE5893" w:rsidRPr="00F612FE">
        <w:rPr>
          <w:rFonts w:cs="Arial"/>
          <w:szCs w:val="20"/>
        </w:rPr>
        <w:t xml:space="preserve"> o </w:t>
      </w:r>
      <w:r w:rsidR="004E22B7">
        <w:rPr>
          <w:rFonts w:cs="Arial"/>
          <w:szCs w:val="20"/>
        </w:rPr>
        <w:t>3</w:t>
      </w:r>
      <w:r w:rsidR="002713E0">
        <w:rPr>
          <w:rFonts w:cs="Arial"/>
          <w:szCs w:val="20"/>
        </w:rPr>
        <w:t>,</w:t>
      </w:r>
      <w:r w:rsidR="004E22B7">
        <w:rPr>
          <w:rFonts w:cs="Arial"/>
          <w:szCs w:val="20"/>
        </w:rPr>
        <w:t>6</w:t>
      </w:r>
      <w:r w:rsidR="00CE5893" w:rsidRPr="00F612FE">
        <w:rPr>
          <w:rFonts w:cs="Arial"/>
          <w:szCs w:val="20"/>
        </w:rPr>
        <w:t xml:space="preserve"> % </w:t>
      </w:r>
      <w:r w:rsidRPr="00F612FE">
        <w:rPr>
          <w:rFonts w:cs="Arial"/>
          <w:szCs w:val="20"/>
        </w:rPr>
        <w:t>(příspěvek</w:t>
      </w:r>
      <w:r w:rsidR="003A69F3" w:rsidRPr="00F612FE">
        <w:rPr>
          <w:rFonts w:cs="Arial"/>
          <w:szCs w:val="20"/>
        </w:rPr>
        <w:t xml:space="preserve"> </w:t>
      </w:r>
      <w:r w:rsidR="004E22B7">
        <w:t>-1</w:t>
      </w:r>
      <w:r w:rsidR="002713E0">
        <w:t>,</w:t>
      </w:r>
      <w:r w:rsidR="004E22B7">
        <w:t>2</w:t>
      </w:r>
      <w:r w:rsidR="00E41B61">
        <w:rPr>
          <w:rFonts w:cs="Arial"/>
          <w:szCs w:val="20"/>
        </w:rPr>
        <w:t xml:space="preserve"> p. b.). </w:t>
      </w:r>
    </w:p>
    <w:p w:rsidR="00D640CB" w:rsidRPr="00F612FE" w:rsidRDefault="00D640CB" w:rsidP="00D640C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b/>
          <w:bCs/>
          <w:szCs w:val="20"/>
          <w:vertAlign w:val="superscript"/>
        </w:rPr>
        <w:t>2</w:t>
      </w:r>
      <w:r w:rsidRPr="00F612FE">
        <w:rPr>
          <w:rFonts w:cs="Arial"/>
          <w:szCs w:val="20"/>
        </w:rPr>
        <w:t xml:space="preserve"> ve stavebnictví se </w:t>
      </w:r>
      <w:r w:rsidR="004815EC" w:rsidRPr="0039150C">
        <w:rPr>
          <w:rFonts w:cs="Arial"/>
          <w:szCs w:val="20"/>
        </w:rPr>
        <w:t>v </w:t>
      </w:r>
      <w:r w:rsidR="001029AA">
        <w:t>září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E86BA4" w:rsidRPr="00F612FE">
        <w:rPr>
          <w:rFonts w:cs="Arial"/>
          <w:bCs/>
          <w:szCs w:val="20"/>
        </w:rPr>
        <w:t>sníž</w:t>
      </w:r>
      <w:r w:rsidR="00C12B85"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B64884">
        <w:rPr>
          <w:rFonts w:cs="Arial"/>
          <w:szCs w:val="20"/>
        </w:rPr>
        <w:t>1</w:t>
      </w:r>
      <w:r w:rsidR="00113AC7">
        <w:rPr>
          <w:rFonts w:cs="Arial"/>
          <w:szCs w:val="20"/>
        </w:rPr>
        <w:t>,</w:t>
      </w:r>
      <w:r w:rsidR="00B64884"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="004815EC" w:rsidRPr="0039150C">
        <w:rPr>
          <w:rFonts w:cs="Arial"/>
          <w:szCs w:val="20"/>
        </w:rPr>
        <w:t>v </w:t>
      </w:r>
      <w:r w:rsidR="001029AA">
        <w:t>září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 </w:t>
      </w:r>
      <w:r w:rsidR="008174B6" w:rsidRPr="00F612FE">
        <w:rPr>
          <w:rFonts w:cs="Arial"/>
          <w:szCs w:val="20"/>
        </w:rPr>
        <w:t>vzrostla</w:t>
      </w:r>
      <w:r w:rsidRPr="00F612FE">
        <w:rPr>
          <w:rFonts w:cs="Arial"/>
          <w:szCs w:val="20"/>
        </w:rPr>
        <w:t xml:space="preserve"> o </w:t>
      </w:r>
      <w:r w:rsidR="00B64884">
        <w:rPr>
          <w:rFonts w:cs="Arial"/>
          <w:szCs w:val="20"/>
        </w:rPr>
        <w:t>6</w:t>
      </w:r>
      <w:r w:rsidR="00113AC7">
        <w:rPr>
          <w:rFonts w:cs="Arial"/>
          <w:szCs w:val="20"/>
        </w:rPr>
        <w:t>,</w:t>
      </w:r>
      <w:r w:rsidR="00B64884">
        <w:rPr>
          <w:rFonts w:cs="Arial"/>
          <w:szCs w:val="20"/>
        </w:rPr>
        <w:t>4</w:t>
      </w:r>
      <w:r w:rsidRPr="00F612FE">
        <w:rPr>
          <w:rFonts w:cs="Arial"/>
          <w:szCs w:val="20"/>
        </w:rPr>
        <w:t> %</w:t>
      </w:r>
      <w:r w:rsidR="008A7F10" w:rsidRPr="00F612FE">
        <w:rPr>
          <w:rFonts w:cs="Arial"/>
          <w:szCs w:val="20"/>
        </w:rPr>
        <w:t>.</w:t>
      </w:r>
      <w:r w:rsidR="00070CD9">
        <w:rPr>
          <w:rFonts w:cs="Arial"/>
          <w:szCs w:val="20"/>
        </w:rPr>
        <w:t xml:space="preserve"> </w:t>
      </w:r>
    </w:p>
    <w:p w:rsidR="008A361E" w:rsidRPr="008A361E" w:rsidRDefault="008A361E" w:rsidP="003A0F96">
      <w:pPr>
        <w:spacing w:before="200"/>
        <w:rPr>
          <w:rFonts w:cs="Arial"/>
          <w:bCs/>
          <w:i/>
          <w:szCs w:val="20"/>
        </w:rPr>
      </w:pPr>
      <w:r w:rsidRPr="008A361E">
        <w:rPr>
          <w:rFonts w:cs="Arial"/>
          <w:i/>
          <w:szCs w:val="20"/>
        </w:rPr>
        <w:t>„</w:t>
      </w:r>
      <w:r w:rsidR="00E1031D">
        <w:rPr>
          <w:rFonts w:cs="Arial"/>
          <w:i/>
          <w:szCs w:val="20"/>
        </w:rPr>
        <w:t>O</w:t>
      </w:r>
      <w:r w:rsidRPr="008A361E">
        <w:rPr>
          <w:rFonts w:cs="Arial"/>
          <w:i/>
          <w:szCs w:val="20"/>
        </w:rPr>
        <w:t>blast stavebních povolení a bytové výstavby využila nízkou základnu z loňského září</w:t>
      </w:r>
      <w:r w:rsidR="005A1B62">
        <w:rPr>
          <w:rFonts w:cs="Arial"/>
          <w:i/>
          <w:szCs w:val="20"/>
        </w:rPr>
        <w:t>.</w:t>
      </w:r>
      <w:r w:rsidRPr="008A361E">
        <w:rPr>
          <w:rFonts w:cs="Arial"/>
          <w:i/>
          <w:szCs w:val="20"/>
        </w:rPr>
        <w:t xml:space="preserve"> </w:t>
      </w:r>
      <w:r w:rsidR="005A1B62">
        <w:rPr>
          <w:rFonts w:cs="Arial"/>
          <w:i/>
          <w:szCs w:val="20"/>
        </w:rPr>
        <w:t>R</w:t>
      </w:r>
      <w:bookmarkStart w:id="0" w:name="_GoBack"/>
      <w:bookmarkEnd w:id="0"/>
      <w:r w:rsidRPr="008A361E">
        <w:rPr>
          <w:rFonts w:cs="Arial"/>
          <w:i/>
          <w:szCs w:val="20"/>
        </w:rPr>
        <w:t>ostl počet i hodnota stavebních povolení a také počty zahájených bytů. Pouze dokončování rodinných domů se zdá být v problémech, když pátý měsíc v řadě klesá. Důvodem by mohl být nedostatek stavebních kapacit a růst cen stavebních materiálů</w:t>
      </w:r>
      <w:r>
        <w:rPr>
          <w:rFonts w:cs="Arial"/>
          <w:i/>
          <w:szCs w:val="20"/>
        </w:rPr>
        <w:t>,</w:t>
      </w:r>
      <w:r w:rsidRPr="008A361E">
        <w:rPr>
          <w:rFonts w:cs="Arial"/>
          <w:i/>
          <w:szCs w:val="20"/>
        </w:rPr>
        <w:t>“</w:t>
      </w:r>
      <w:r w:rsidRPr="008A361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vysvětluje </w:t>
      </w:r>
      <w:r w:rsidRPr="00920054">
        <w:rPr>
          <w:rFonts w:cs="Arial"/>
          <w:szCs w:val="20"/>
        </w:rPr>
        <w:t>Petra Cuřínová, vedoucí oddělení statistiky stavebnictví a bytové výstavby.</w:t>
      </w:r>
    </w:p>
    <w:p w:rsidR="00B74A4E" w:rsidRPr="00C65EAA" w:rsidRDefault="00D640CB" w:rsidP="003A0F96">
      <w:pPr>
        <w:spacing w:before="200"/>
        <w:rPr>
          <w:rFonts w:cs="Arial"/>
          <w:i/>
          <w:szCs w:val="20"/>
        </w:rPr>
      </w:pPr>
      <w:r w:rsidRPr="00C05D5D">
        <w:rPr>
          <w:rFonts w:cs="Arial"/>
          <w:bCs/>
          <w:szCs w:val="20"/>
        </w:rPr>
        <w:t xml:space="preserve">Stavební úřady </w:t>
      </w:r>
      <w:r w:rsidR="004815EC" w:rsidRPr="0039150C">
        <w:rPr>
          <w:rFonts w:cs="Arial"/>
          <w:szCs w:val="20"/>
        </w:rPr>
        <w:t>v </w:t>
      </w:r>
      <w:r w:rsidR="001029AA">
        <w:t>září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bCs/>
          <w:szCs w:val="20"/>
        </w:rPr>
        <w:t xml:space="preserve"> vydaly </w:t>
      </w:r>
      <w:r w:rsidR="003A554A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> </w:t>
      </w:r>
      <w:r w:rsidR="003A554A">
        <w:rPr>
          <w:rFonts w:cs="Arial"/>
          <w:szCs w:val="20"/>
        </w:rPr>
        <w:t>509</w:t>
      </w:r>
      <w:r w:rsidRPr="00C05D5D">
        <w:rPr>
          <w:rFonts w:cs="Arial"/>
          <w:b/>
          <w:bCs/>
          <w:szCs w:val="20"/>
        </w:rPr>
        <w:t xml:space="preserve"> stavebních povolení</w:t>
      </w:r>
      <w:r w:rsidRPr="00C05D5D">
        <w:rPr>
          <w:rFonts w:cs="Arial"/>
          <w:szCs w:val="20"/>
        </w:rPr>
        <w:t>, meziročně o </w:t>
      </w:r>
      <w:r w:rsidR="003A554A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>,</w:t>
      </w:r>
      <w:r w:rsidR="003A554A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 xml:space="preserve"> % </w:t>
      </w:r>
      <w:r w:rsidR="00EB1773">
        <w:rPr>
          <w:rFonts w:cs="Arial"/>
          <w:szCs w:val="20"/>
        </w:rPr>
        <w:t>více</w:t>
      </w:r>
      <w:r w:rsidRPr="00C05D5D">
        <w:rPr>
          <w:rFonts w:cs="Arial"/>
          <w:szCs w:val="20"/>
        </w:rPr>
        <w:t xml:space="preserve">. </w:t>
      </w:r>
      <w:r w:rsidRPr="00C05D5D">
        <w:rPr>
          <w:rFonts w:cs="Arial"/>
          <w:b/>
          <w:bCs/>
          <w:szCs w:val="20"/>
        </w:rPr>
        <w:t>Orientační hodnota</w:t>
      </w:r>
      <w:r w:rsidRPr="00C05D5D">
        <w:rPr>
          <w:rFonts w:cs="Arial"/>
          <w:szCs w:val="20"/>
        </w:rPr>
        <w:t xml:space="preserve"> těchto staveb dosáhla </w:t>
      </w:r>
      <w:r w:rsidR="003A554A">
        <w:rPr>
          <w:rFonts w:cs="Arial"/>
          <w:szCs w:val="20"/>
        </w:rPr>
        <w:t>34</w:t>
      </w:r>
      <w:r w:rsidRPr="00C05D5D">
        <w:rPr>
          <w:rFonts w:cs="Arial"/>
          <w:szCs w:val="20"/>
        </w:rPr>
        <w:t>,</w:t>
      </w:r>
      <w:r w:rsidR="003A554A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 mld. Kč a ve srovnání se stejným obdobím roku 20</w:t>
      </w:r>
      <w:r w:rsidR="009E136A" w:rsidRPr="00C05D5D">
        <w:rPr>
          <w:rFonts w:cs="Arial"/>
          <w:szCs w:val="20"/>
        </w:rPr>
        <w:t>20</w:t>
      </w:r>
      <w:r w:rsidRPr="00C05D5D">
        <w:rPr>
          <w:rFonts w:cs="Arial"/>
          <w:szCs w:val="20"/>
        </w:rPr>
        <w:t xml:space="preserve"> </w:t>
      </w:r>
      <w:r w:rsidR="00C514EA" w:rsidRPr="00C05D5D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3A554A">
        <w:rPr>
          <w:rFonts w:cs="Arial"/>
          <w:szCs w:val="20"/>
        </w:rPr>
        <w:t>28</w:t>
      </w:r>
      <w:r w:rsidR="00000929">
        <w:rPr>
          <w:rFonts w:cs="Arial"/>
          <w:szCs w:val="20"/>
        </w:rPr>
        <w:t>,</w:t>
      </w:r>
      <w:r w:rsidR="003A554A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> %.</w:t>
      </w:r>
    </w:p>
    <w:p w:rsidR="00D640CB" w:rsidRPr="008A361E" w:rsidRDefault="00D640CB" w:rsidP="008A361E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Počet zahájených bytů</w:t>
      </w:r>
      <w:r w:rsidRPr="00C05D5D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>v </w:t>
      </w:r>
      <w:r w:rsidR="001029AA">
        <w:t>září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meziročně </w:t>
      </w:r>
      <w:r w:rsidR="00E41B61" w:rsidRPr="00F612FE">
        <w:rPr>
          <w:rFonts w:cs="Arial"/>
          <w:szCs w:val="20"/>
        </w:rPr>
        <w:t>vzrostl</w:t>
      </w:r>
      <w:r w:rsidRPr="00C05D5D">
        <w:rPr>
          <w:rFonts w:cs="Arial"/>
          <w:szCs w:val="20"/>
        </w:rPr>
        <w:t xml:space="preserve"> o</w:t>
      </w:r>
      <w:r w:rsidR="001D1ACB" w:rsidRPr="00C05D5D">
        <w:rPr>
          <w:rFonts w:cs="Arial"/>
          <w:szCs w:val="20"/>
        </w:rPr>
        <w:t xml:space="preserve"> </w:t>
      </w:r>
      <w:r w:rsidR="0036650A">
        <w:rPr>
          <w:rFonts w:cs="Arial"/>
          <w:szCs w:val="20"/>
        </w:rPr>
        <w:t>57</w:t>
      </w:r>
      <w:r w:rsidR="004014FD">
        <w:rPr>
          <w:rFonts w:cs="Arial"/>
          <w:szCs w:val="20"/>
        </w:rPr>
        <w:t>,</w:t>
      </w:r>
      <w:r w:rsidR="0036650A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 xml:space="preserve"> % a dosáhl hodnoty </w:t>
      </w:r>
      <w:r w:rsidR="0036650A">
        <w:rPr>
          <w:rFonts w:cs="Arial"/>
          <w:szCs w:val="20"/>
        </w:rPr>
        <w:t>4</w:t>
      </w:r>
      <w:r w:rsidR="00CB342F" w:rsidRPr="00C05D5D">
        <w:rPr>
          <w:rFonts w:cs="Arial"/>
          <w:szCs w:val="20"/>
        </w:rPr>
        <w:t> </w:t>
      </w:r>
      <w:r w:rsidR="0036650A">
        <w:rPr>
          <w:rFonts w:cs="Arial"/>
          <w:szCs w:val="20"/>
        </w:rPr>
        <w:t>045</w:t>
      </w:r>
      <w:r w:rsidRPr="00C05D5D">
        <w:rPr>
          <w:rFonts w:cs="Arial"/>
          <w:szCs w:val="20"/>
        </w:rPr>
        <w:t xml:space="preserve"> bytů. V rodinných domech došlo k </w:t>
      </w:r>
      <w:r w:rsidR="004014FD">
        <w:rPr>
          <w:rFonts w:cs="Arial"/>
          <w:szCs w:val="20"/>
        </w:rPr>
        <w:t>růstu</w:t>
      </w:r>
      <w:r w:rsidRPr="00C05D5D">
        <w:rPr>
          <w:rFonts w:cs="Arial"/>
          <w:szCs w:val="20"/>
        </w:rPr>
        <w:t xml:space="preserve"> počtu bytů o</w:t>
      </w:r>
      <w:r w:rsidR="001D1ACB" w:rsidRPr="00C05D5D">
        <w:rPr>
          <w:rFonts w:cs="Arial"/>
          <w:szCs w:val="20"/>
        </w:rPr>
        <w:t xml:space="preserve"> </w:t>
      </w:r>
      <w:r w:rsidR="0036650A">
        <w:rPr>
          <w:rFonts w:cs="Arial"/>
          <w:szCs w:val="20"/>
        </w:rPr>
        <w:t>16</w:t>
      </w:r>
      <w:r w:rsidR="001D1ACB" w:rsidRPr="00C05D5D">
        <w:rPr>
          <w:rFonts w:cs="Arial"/>
          <w:szCs w:val="20"/>
        </w:rPr>
        <w:t>,</w:t>
      </w:r>
      <w:r w:rsidR="0036650A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 xml:space="preserve"> %. </w:t>
      </w:r>
      <w:r w:rsidR="00123164" w:rsidRPr="00C05D5D">
        <w:t>V </w:t>
      </w:r>
      <w:r w:rsidR="00123164" w:rsidRPr="00C05D5D">
        <w:rPr>
          <w:rFonts w:cs="Arial"/>
          <w:szCs w:val="20"/>
        </w:rPr>
        <w:t xml:space="preserve">bytových domech byl zaznamenán </w:t>
      </w:r>
      <w:r w:rsidR="00123164">
        <w:rPr>
          <w:rFonts w:cs="Arial"/>
          <w:szCs w:val="20"/>
        </w:rPr>
        <w:t>růst</w:t>
      </w:r>
      <w:r w:rsidR="00123164" w:rsidRPr="00C05D5D">
        <w:rPr>
          <w:rFonts w:cs="Arial"/>
          <w:szCs w:val="20"/>
        </w:rPr>
        <w:t xml:space="preserve"> počtu zahájených bytů o </w:t>
      </w:r>
      <w:r w:rsidR="0036650A">
        <w:rPr>
          <w:rFonts w:cs="Arial"/>
          <w:szCs w:val="20"/>
        </w:rPr>
        <w:t>260</w:t>
      </w:r>
      <w:r w:rsidR="00B71AB3">
        <w:rPr>
          <w:rFonts w:cs="Arial"/>
          <w:szCs w:val="20"/>
        </w:rPr>
        <w:t>,</w:t>
      </w:r>
      <w:r w:rsidR="0036650A">
        <w:rPr>
          <w:rFonts w:cs="Arial"/>
          <w:szCs w:val="20"/>
        </w:rPr>
        <w:t>3</w:t>
      </w:r>
      <w:r w:rsidR="00123164" w:rsidRPr="00C05D5D">
        <w:rPr>
          <w:rFonts w:cs="Arial"/>
          <w:szCs w:val="20"/>
        </w:rPr>
        <w:t> %</w:t>
      </w:r>
      <w:r w:rsidR="00123164" w:rsidRPr="00C05D5D">
        <w:t>.</w:t>
      </w:r>
      <w:r w:rsidR="00123164" w:rsidRPr="00FB24CB">
        <w:rPr>
          <w:rFonts w:cs="Arial"/>
          <w:i/>
          <w:szCs w:val="20"/>
        </w:rPr>
        <w:t xml:space="preserve"> </w:t>
      </w:r>
      <w:r w:rsidRPr="00C05D5D">
        <w:rPr>
          <w:b/>
          <w:bCs/>
        </w:rPr>
        <w:t>Počet dokončených bytů</w:t>
      </w:r>
      <w:r w:rsidRPr="00C05D5D">
        <w:t xml:space="preserve"> </w:t>
      </w:r>
      <w:r w:rsidR="004815EC" w:rsidRPr="0039150C">
        <w:t>v </w:t>
      </w:r>
      <w:r w:rsidR="001029AA">
        <w:t>září</w:t>
      </w:r>
      <w:r w:rsidR="00B84D3B" w:rsidRPr="00C05D5D">
        <w:t xml:space="preserve"> 202</w:t>
      </w:r>
      <w:r w:rsidR="002856BB" w:rsidRPr="00C05D5D">
        <w:t>1</w:t>
      </w:r>
      <w:r w:rsidRPr="00C05D5D">
        <w:t xml:space="preserve"> meziročně </w:t>
      </w:r>
      <w:r w:rsidR="00990496">
        <w:t>klesl</w:t>
      </w:r>
      <w:r w:rsidRPr="00C05D5D">
        <w:t xml:space="preserve"> o</w:t>
      </w:r>
      <w:r w:rsidR="008A361E">
        <w:t> </w:t>
      </w:r>
      <w:r w:rsidR="009E3E2B">
        <w:t>10</w:t>
      </w:r>
      <w:r w:rsidR="003E7B03" w:rsidRPr="00C05D5D">
        <w:t>,</w:t>
      </w:r>
      <w:r w:rsidR="009E3E2B">
        <w:t>2</w:t>
      </w:r>
      <w:r w:rsidR="0004440A" w:rsidRPr="00C05D5D">
        <w:t> </w:t>
      </w:r>
      <w:r w:rsidRPr="00C05D5D">
        <w:t>% a činil</w:t>
      </w:r>
      <w:r w:rsidR="00C217D4" w:rsidRPr="00C05D5D">
        <w:t xml:space="preserve"> </w:t>
      </w:r>
      <w:r w:rsidR="009E3E2B">
        <w:t>2</w:t>
      </w:r>
      <w:r w:rsidR="00CB342F" w:rsidRPr="00C05D5D">
        <w:t> </w:t>
      </w:r>
      <w:r w:rsidR="009E3E2B">
        <w:t>121</w:t>
      </w:r>
      <w:r w:rsidR="00C217D4" w:rsidRPr="00C05D5D">
        <w:t xml:space="preserve"> </w:t>
      </w:r>
      <w:r w:rsidRPr="00C05D5D">
        <w:t>bytů. V rodinných domech došlo k </w:t>
      </w:r>
      <w:r w:rsidR="000F04AD">
        <w:t>poklesu</w:t>
      </w:r>
      <w:r w:rsidRPr="00C05D5D">
        <w:t xml:space="preserve"> o </w:t>
      </w:r>
      <w:r w:rsidR="009E3E2B">
        <w:t>24</w:t>
      </w:r>
      <w:r w:rsidR="005B50F6" w:rsidRPr="00C05D5D">
        <w:t>,</w:t>
      </w:r>
      <w:r w:rsidR="009E3E2B">
        <w:t>5</w:t>
      </w:r>
      <w:r w:rsidR="004374BB">
        <w:t> </w:t>
      </w:r>
      <w:r w:rsidRPr="00C05D5D">
        <w:t xml:space="preserve">%, v bytových domech počet dokončených bytů </w:t>
      </w:r>
      <w:r w:rsidR="009E3E2B" w:rsidRPr="00F612FE">
        <w:t>vzrostl</w:t>
      </w:r>
      <w:r w:rsidR="00C217D4" w:rsidRPr="00C05D5D">
        <w:t xml:space="preserve"> </w:t>
      </w:r>
      <w:r w:rsidRPr="00C05D5D">
        <w:t>o </w:t>
      </w:r>
      <w:r w:rsidR="009E3E2B">
        <w:t>47</w:t>
      </w:r>
      <w:r w:rsidR="003E7B03" w:rsidRPr="00C05D5D">
        <w:t>,</w:t>
      </w:r>
      <w:r w:rsidR="009E3E2B">
        <w:t>9</w:t>
      </w:r>
      <w:r w:rsidR="004374BB">
        <w:t> </w:t>
      </w:r>
      <w:r w:rsidRPr="005B24A0">
        <w:t xml:space="preserve">%. </w:t>
      </w:r>
    </w:p>
    <w:p w:rsidR="00D640CB" w:rsidRDefault="00D640CB" w:rsidP="003A0F96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1029AA">
        <w:rPr>
          <w:rFonts w:cs="Arial"/>
          <w:b/>
          <w:bCs/>
          <w:szCs w:val="20"/>
        </w:rPr>
        <w:t>srpnu</w:t>
      </w:r>
      <w:r w:rsidRPr="00C05D5D">
        <w:rPr>
          <w:rFonts w:cs="Arial"/>
          <w:b/>
          <w:bCs/>
          <w:szCs w:val="20"/>
        </w:rPr>
        <w:t xml:space="preserve"> 20</w:t>
      </w:r>
      <w:r w:rsidR="00DA26A1" w:rsidRPr="00C05D5D">
        <w:rPr>
          <w:rFonts w:cs="Arial"/>
          <w:b/>
          <w:bCs/>
          <w:szCs w:val="20"/>
        </w:rPr>
        <w:t>2</w:t>
      </w:r>
      <w:r w:rsidR="00E30070" w:rsidRPr="00C05D5D">
        <w:rPr>
          <w:rFonts w:cs="Arial"/>
          <w:b/>
          <w:bCs/>
          <w:szCs w:val="20"/>
        </w:rPr>
        <w:t>1</w:t>
      </w:r>
      <w:r w:rsidRPr="00C05D5D">
        <w:rPr>
          <w:rFonts w:cs="Arial"/>
          <w:b/>
          <w:bCs/>
          <w:szCs w:val="20"/>
        </w:rPr>
        <w:t xml:space="preserve"> v EU2</w:t>
      </w:r>
      <w:r w:rsidR="00683C2F" w:rsidRPr="00C05D5D">
        <w:rPr>
          <w:rFonts w:cs="Arial"/>
          <w:b/>
          <w:bCs/>
          <w:szCs w:val="20"/>
        </w:rPr>
        <w:t>7</w:t>
      </w:r>
      <w:r w:rsidRPr="00C05D5D">
        <w:rPr>
          <w:rFonts w:cs="Arial"/>
          <w:b/>
          <w:bCs/>
          <w:szCs w:val="20"/>
        </w:rPr>
        <w:t xml:space="preserve"> </w:t>
      </w:r>
      <w:r w:rsidRPr="00C05D5D">
        <w:rPr>
          <w:rFonts w:cs="Arial"/>
          <w:szCs w:val="20"/>
        </w:rPr>
        <w:t xml:space="preserve">meziročně </w:t>
      </w:r>
      <w:r w:rsidR="00BB6A75">
        <w:rPr>
          <w:rFonts w:cs="Arial"/>
          <w:szCs w:val="20"/>
        </w:rPr>
        <w:t>kles</w:t>
      </w:r>
      <w:r w:rsidR="00237126">
        <w:rPr>
          <w:rFonts w:cs="Arial"/>
          <w:szCs w:val="20"/>
        </w:rPr>
        <w:t>la</w:t>
      </w:r>
      <w:r w:rsidRPr="00C05D5D">
        <w:rPr>
          <w:rFonts w:cs="Arial"/>
          <w:szCs w:val="20"/>
        </w:rPr>
        <w:t xml:space="preserve"> o </w:t>
      </w:r>
      <w:r w:rsidR="00BB6A75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>,</w:t>
      </w:r>
      <w:r w:rsidR="00BB6A75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 xml:space="preserve"> %. Pozemní stavitelství se </w:t>
      </w:r>
      <w:r w:rsidR="00BB6A75">
        <w:rPr>
          <w:rFonts w:cs="Arial"/>
          <w:szCs w:val="20"/>
        </w:rPr>
        <w:t>sníž</w:t>
      </w:r>
      <w:r w:rsidR="00237126">
        <w:rPr>
          <w:rFonts w:cs="Arial"/>
          <w:szCs w:val="20"/>
        </w:rPr>
        <w:t>i</w:t>
      </w:r>
      <w:r w:rsidR="00554397" w:rsidRPr="00C05D5D">
        <w:rPr>
          <w:rFonts w:cs="Arial"/>
          <w:szCs w:val="20"/>
        </w:rPr>
        <w:t>lo</w:t>
      </w:r>
      <w:r w:rsidRPr="00C05D5D">
        <w:rPr>
          <w:rFonts w:cs="Arial"/>
          <w:szCs w:val="20"/>
        </w:rPr>
        <w:t xml:space="preserve"> o </w:t>
      </w:r>
      <w:r w:rsidR="00BB6A75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,</w:t>
      </w:r>
      <w:r w:rsidR="00BB6A75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 xml:space="preserve"> % a inženýrské stavitelství </w:t>
      </w:r>
      <w:r w:rsidR="00BB6A75">
        <w:rPr>
          <w:rFonts w:cs="Arial"/>
          <w:szCs w:val="20"/>
        </w:rPr>
        <w:t>kleslo</w:t>
      </w:r>
      <w:r w:rsidRPr="00C05D5D">
        <w:rPr>
          <w:rFonts w:cs="Arial"/>
          <w:szCs w:val="20"/>
        </w:rPr>
        <w:t xml:space="preserve"> o </w:t>
      </w:r>
      <w:r w:rsidR="00BB6A75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>,</w:t>
      </w:r>
      <w:r w:rsidR="00BB6A75">
        <w:rPr>
          <w:rFonts w:cs="Arial"/>
          <w:szCs w:val="20"/>
        </w:rPr>
        <w:t>5</w:t>
      </w:r>
      <w:r w:rsidRPr="00C05D5D">
        <w:rPr>
          <w:rFonts w:cs="Arial"/>
          <w:szCs w:val="20"/>
        </w:rPr>
        <w:t xml:space="preserve"> %. Údaje za </w:t>
      </w:r>
      <w:r w:rsidR="001029AA">
        <w:t>září</w:t>
      </w:r>
      <w:r w:rsidRPr="00C05D5D">
        <w:rPr>
          <w:rFonts w:cs="Arial"/>
          <w:szCs w:val="20"/>
        </w:rPr>
        <w:t xml:space="preserve"> 20</w:t>
      </w:r>
      <w:r w:rsidR="00B84D3B" w:rsidRPr="00C05D5D">
        <w:rPr>
          <w:rFonts w:cs="Arial"/>
          <w:szCs w:val="20"/>
        </w:rPr>
        <w:t>2</w:t>
      </w:r>
      <w:r w:rsidR="002856BB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226705" w:rsidRPr="003B2D30">
        <w:rPr>
          <w:rFonts w:cs="Arial"/>
          <w:szCs w:val="20"/>
        </w:rPr>
        <w:t>1</w:t>
      </w:r>
      <w:r w:rsidR="003B2D30" w:rsidRPr="003B2D30">
        <w:rPr>
          <w:rFonts w:cs="Arial"/>
          <w:szCs w:val="20"/>
        </w:rPr>
        <w:t>7</w:t>
      </w:r>
      <w:r w:rsidRPr="003B2D30">
        <w:rPr>
          <w:rFonts w:cs="Arial"/>
          <w:szCs w:val="20"/>
        </w:rPr>
        <w:t>. </w:t>
      </w:r>
      <w:r w:rsidR="0048469B" w:rsidRPr="003B2D30">
        <w:rPr>
          <w:rFonts w:cs="Arial"/>
          <w:szCs w:val="20"/>
        </w:rPr>
        <w:t>1</w:t>
      </w:r>
      <w:r w:rsidR="003B2D30" w:rsidRPr="003B2D30">
        <w:rPr>
          <w:rFonts w:cs="Arial"/>
          <w:szCs w:val="20"/>
        </w:rPr>
        <w:t>1</w:t>
      </w:r>
      <w:r w:rsidRPr="003B2D30">
        <w:rPr>
          <w:rFonts w:cs="Arial"/>
          <w:szCs w:val="20"/>
        </w:rPr>
        <w:t>. 202</w:t>
      </w:r>
      <w:r w:rsidR="00CC4E9C" w:rsidRPr="003B2D30">
        <w:rPr>
          <w:rFonts w:cs="Arial"/>
          <w:szCs w:val="20"/>
        </w:rPr>
        <w:t>1</w:t>
      </w:r>
      <w:r w:rsidRPr="0048469B">
        <w:rPr>
          <w:rFonts w:cs="Arial"/>
          <w:szCs w:val="20"/>
        </w:rPr>
        <w:t>.</w:t>
      </w:r>
    </w:p>
    <w:p w:rsidR="008A361E" w:rsidRDefault="008A361E" w:rsidP="001E1208">
      <w:pPr>
        <w:spacing w:before="200"/>
        <w:rPr>
          <w:b/>
          <w:bCs/>
        </w:rPr>
      </w:pPr>
    </w:p>
    <w:p w:rsidR="001E1208" w:rsidRDefault="001E1208" w:rsidP="001E1208">
      <w:pPr>
        <w:spacing w:before="200"/>
        <w:rPr>
          <w:b/>
          <w:bCs/>
        </w:rPr>
      </w:pPr>
      <w:r>
        <w:rPr>
          <w:b/>
          <w:bCs/>
        </w:rPr>
        <w:lastRenderedPageBreak/>
        <w:t>Stavebnictví ve </w:t>
      </w:r>
      <w:r w:rsidR="00260951">
        <w:rPr>
          <w:b/>
          <w:bCs/>
        </w:rPr>
        <w:t>3</w:t>
      </w:r>
      <w:r>
        <w:rPr>
          <w:b/>
          <w:bCs/>
        </w:rPr>
        <w:t>. čtvrtletí 2021</w:t>
      </w:r>
    </w:p>
    <w:p w:rsidR="001E1208" w:rsidRPr="0019372E" w:rsidRDefault="001E1208" w:rsidP="001E1208">
      <w:pPr>
        <w:rPr>
          <w:b/>
          <w:bCs/>
        </w:rPr>
      </w:pPr>
      <w:r w:rsidRPr="004725CA">
        <w:rPr>
          <w:rFonts w:cs="Arial"/>
          <w:b/>
        </w:rPr>
        <w:t xml:space="preserve">Stavební produkce </w:t>
      </w:r>
      <w:r w:rsidRPr="004725CA">
        <w:rPr>
          <w:rFonts w:cs="Arial"/>
        </w:rPr>
        <w:t>v</w:t>
      </w:r>
      <w:r>
        <w:rPr>
          <w:rFonts w:cs="Arial"/>
        </w:rPr>
        <w:t>e</w:t>
      </w:r>
      <w:r w:rsidRPr="004725CA">
        <w:rPr>
          <w:rFonts w:cs="Arial"/>
        </w:rPr>
        <w:t xml:space="preserve"> </w:t>
      </w:r>
      <w:r w:rsidR="00260951">
        <w:rPr>
          <w:rFonts w:cs="Arial"/>
        </w:rPr>
        <w:t>3</w:t>
      </w:r>
      <w:r w:rsidRPr="004725CA">
        <w:rPr>
          <w:rFonts w:cs="Arial"/>
        </w:rPr>
        <w:t>. čtvrtletí 20</w:t>
      </w:r>
      <w:r>
        <w:rPr>
          <w:rFonts w:cs="Arial"/>
        </w:rPr>
        <w:t>21</w:t>
      </w:r>
      <w:r w:rsidRPr="004725CA">
        <w:rPr>
          <w:rFonts w:cs="Arial"/>
        </w:rPr>
        <w:t xml:space="preserve"> byla reálně v porovnání s </w:t>
      </w:r>
      <w:r w:rsidR="00260951">
        <w:rPr>
          <w:rFonts w:cs="Arial"/>
        </w:rPr>
        <w:t>2</w:t>
      </w:r>
      <w:r w:rsidRPr="004725CA">
        <w:rPr>
          <w:rFonts w:cs="Arial"/>
        </w:rPr>
        <w:t>.</w:t>
      </w:r>
      <w:r>
        <w:rPr>
          <w:rFonts w:cs="Arial"/>
        </w:rPr>
        <w:t> </w:t>
      </w:r>
      <w:r w:rsidRPr="004725CA">
        <w:rPr>
          <w:rFonts w:cs="Arial"/>
        </w:rPr>
        <w:t>čtvrtletím 20</w:t>
      </w:r>
      <w:r>
        <w:rPr>
          <w:rFonts w:cs="Arial"/>
        </w:rPr>
        <w:t>21</w:t>
      </w:r>
      <w:r w:rsidRPr="004725CA">
        <w:rPr>
          <w:rFonts w:cs="Arial"/>
        </w:rPr>
        <w:t xml:space="preserve"> </w:t>
      </w:r>
      <w:r w:rsidR="00B16DA5">
        <w:rPr>
          <w:rFonts w:cs="Arial"/>
        </w:rPr>
        <w:t>niž</w:t>
      </w:r>
      <w:r w:rsidRPr="004725CA">
        <w:rPr>
          <w:rFonts w:cs="Arial"/>
        </w:rPr>
        <w:t>ší o</w:t>
      </w:r>
      <w:r>
        <w:rPr>
          <w:rFonts w:cs="Arial"/>
        </w:rPr>
        <w:t> </w:t>
      </w:r>
      <w:r w:rsidR="00B16DA5">
        <w:rPr>
          <w:rFonts w:cs="Arial"/>
        </w:rPr>
        <w:t>1</w:t>
      </w:r>
      <w:r>
        <w:rPr>
          <w:rFonts w:cs="Arial"/>
        </w:rPr>
        <w:t>,</w:t>
      </w:r>
      <w:r w:rsidR="00B16DA5">
        <w:rPr>
          <w:rFonts w:cs="Arial"/>
        </w:rPr>
        <w:t>6</w:t>
      </w:r>
      <w:r w:rsidRPr="004725CA">
        <w:rPr>
          <w:rFonts w:cs="Arial"/>
        </w:rPr>
        <w:t xml:space="preserve"> %. </w:t>
      </w:r>
      <w:r w:rsidRPr="00B6560E">
        <w:rPr>
          <w:rFonts w:cs="Arial"/>
        </w:rPr>
        <w:t>Meziročně</w:t>
      </w:r>
      <w:r w:rsidRPr="00B6560E">
        <w:rPr>
          <w:rStyle w:val="Zdraznn"/>
          <w:rFonts w:ascii="Arial" w:hAnsi="Arial" w:cs="Arial"/>
          <w:szCs w:val="20"/>
        </w:rPr>
        <w:t xml:space="preserve"> </w:t>
      </w:r>
      <w:r w:rsidRPr="00B6560E">
        <w:rPr>
          <w:rStyle w:val="Zdraznn"/>
          <w:rFonts w:ascii="Arial" w:hAnsi="Arial" w:cs="Arial"/>
          <w:i w:val="0"/>
          <w:szCs w:val="20"/>
        </w:rPr>
        <w:t xml:space="preserve">produkce </w:t>
      </w:r>
      <w:r>
        <w:rPr>
          <w:rStyle w:val="Zdraznn"/>
          <w:rFonts w:ascii="Arial" w:hAnsi="Arial" w:cs="Arial"/>
          <w:i w:val="0"/>
          <w:szCs w:val="20"/>
        </w:rPr>
        <w:t>vzrostla</w:t>
      </w:r>
      <w:r w:rsidRPr="004725CA">
        <w:rPr>
          <w:rStyle w:val="Zdraznn"/>
          <w:rFonts w:ascii="Arial" w:hAnsi="Arial" w:cs="Arial"/>
          <w:i w:val="0"/>
          <w:szCs w:val="20"/>
        </w:rPr>
        <w:t xml:space="preserve"> o </w:t>
      </w:r>
      <w:r w:rsidR="00B16DA5">
        <w:rPr>
          <w:rStyle w:val="Zdraznn"/>
          <w:rFonts w:ascii="Arial" w:hAnsi="Arial" w:cs="Arial"/>
          <w:i w:val="0"/>
          <w:szCs w:val="20"/>
        </w:rPr>
        <w:t>1</w:t>
      </w:r>
      <w:r w:rsidRPr="004725CA">
        <w:rPr>
          <w:rStyle w:val="Zdraznn"/>
          <w:rFonts w:ascii="Arial" w:hAnsi="Arial" w:cs="Arial"/>
          <w:i w:val="0"/>
          <w:szCs w:val="20"/>
        </w:rPr>
        <w:t>,</w:t>
      </w:r>
      <w:r w:rsidR="00B16DA5">
        <w:rPr>
          <w:rStyle w:val="Zdraznn"/>
          <w:rFonts w:ascii="Arial" w:hAnsi="Arial" w:cs="Arial"/>
          <w:i w:val="0"/>
          <w:szCs w:val="20"/>
        </w:rPr>
        <w:t>3</w:t>
      </w:r>
      <w:r w:rsidRPr="004725CA">
        <w:rPr>
          <w:rStyle w:val="Zdraznn"/>
          <w:rFonts w:ascii="Arial" w:hAnsi="Arial" w:cs="Arial"/>
          <w:i w:val="0"/>
          <w:szCs w:val="20"/>
        </w:rPr>
        <w:t> %</w:t>
      </w:r>
      <w:r w:rsidRPr="004725CA">
        <w:rPr>
          <w:rFonts w:cs="Arial"/>
          <w:i/>
          <w:szCs w:val="20"/>
        </w:rPr>
        <w:t>.</w:t>
      </w:r>
      <w:r>
        <w:rPr>
          <w:rFonts w:cs="Arial"/>
          <w:szCs w:val="20"/>
        </w:rPr>
        <w:t xml:space="preserve"> </w:t>
      </w:r>
      <w:r w:rsidRPr="004725CA">
        <w:rPr>
          <w:rFonts w:cs="Arial"/>
        </w:rPr>
        <w:t>Produkce pozemního stavitelství</w:t>
      </w:r>
      <w:r>
        <w:rPr>
          <w:rFonts w:cs="Arial"/>
        </w:rPr>
        <w:t xml:space="preserve"> se</w:t>
      </w:r>
      <w:r w:rsidRPr="004725CA">
        <w:rPr>
          <w:rFonts w:cs="Arial"/>
        </w:rPr>
        <w:t xml:space="preserve"> meziročně </w:t>
      </w:r>
      <w:r>
        <w:rPr>
          <w:rFonts w:cs="Arial"/>
        </w:rPr>
        <w:t>zvýšila</w:t>
      </w:r>
      <w:r w:rsidRPr="004725CA">
        <w:rPr>
          <w:rFonts w:cs="Arial"/>
        </w:rPr>
        <w:t xml:space="preserve"> o </w:t>
      </w:r>
      <w:r w:rsidR="00B16DA5">
        <w:rPr>
          <w:rFonts w:cs="Arial"/>
        </w:rPr>
        <w:t>1</w:t>
      </w:r>
      <w:r w:rsidRPr="004725CA">
        <w:rPr>
          <w:rFonts w:cs="Arial"/>
        </w:rPr>
        <w:t>,</w:t>
      </w:r>
      <w:r w:rsidR="00B16DA5">
        <w:rPr>
          <w:rFonts w:cs="Arial"/>
        </w:rPr>
        <w:t>2</w:t>
      </w:r>
      <w:r w:rsidRPr="004725CA">
        <w:rPr>
          <w:rFonts w:cs="Arial"/>
        </w:rPr>
        <w:t xml:space="preserve"> % (příspěvek </w:t>
      </w:r>
      <w:r>
        <w:rPr>
          <w:rFonts w:cs="Arial"/>
        </w:rPr>
        <w:t>+</w:t>
      </w:r>
      <w:r w:rsidR="00B16DA5">
        <w:rPr>
          <w:rFonts w:cs="Arial"/>
        </w:rPr>
        <w:t>0</w:t>
      </w:r>
      <w:r w:rsidRPr="004725CA">
        <w:rPr>
          <w:rFonts w:cs="Arial"/>
        </w:rPr>
        <w:t>,</w:t>
      </w:r>
      <w:r w:rsidR="00B16DA5">
        <w:rPr>
          <w:rFonts w:cs="Arial"/>
        </w:rPr>
        <w:t>9</w:t>
      </w:r>
      <w:r w:rsidRPr="004725CA">
        <w:rPr>
          <w:rFonts w:cs="Arial"/>
        </w:rPr>
        <w:t xml:space="preserve"> p. b.) a inženýrské stavitelství zaznamenalo meziroční </w:t>
      </w:r>
      <w:r>
        <w:rPr>
          <w:rFonts w:cs="Arial"/>
        </w:rPr>
        <w:t>růst</w:t>
      </w:r>
      <w:r w:rsidRPr="004725CA">
        <w:rPr>
          <w:rFonts w:cs="Arial"/>
        </w:rPr>
        <w:t xml:space="preserve"> o </w:t>
      </w:r>
      <w:r w:rsidR="00B16DA5">
        <w:rPr>
          <w:rFonts w:cs="Arial"/>
        </w:rPr>
        <w:t>1</w:t>
      </w:r>
      <w:r>
        <w:rPr>
          <w:rFonts w:cs="Arial"/>
        </w:rPr>
        <w:t>,</w:t>
      </w:r>
      <w:r w:rsidR="00B16DA5">
        <w:rPr>
          <w:rFonts w:cs="Arial"/>
        </w:rPr>
        <w:t>5</w:t>
      </w:r>
      <w:r w:rsidRPr="004725CA">
        <w:rPr>
          <w:rFonts w:cs="Arial"/>
        </w:rPr>
        <w:t xml:space="preserve"> % (příspěvek </w:t>
      </w:r>
      <w:r>
        <w:rPr>
          <w:rFonts w:cs="Arial"/>
        </w:rPr>
        <w:t>+</w:t>
      </w:r>
      <w:r w:rsidR="00B16DA5">
        <w:rPr>
          <w:rFonts w:cs="Arial"/>
        </w:rPr>
        <w:t>0</w:t>
      </w:r>
      <w:r w:rsidRPr="004725CA">
        <w:rPr>
          <w:rFonts w:cs="Arial"/>
        </w:rPr>
        <w:t>,</w:t>
      </w:r>
      <w:r w:rsidR="00B16DA5">
        <w:rPr>
          <w:rFonts w:cs="Arial"/>
        </w:rPr>
        <w:t>4</w:t>
      </w:r>
      <w:r w:rsidRPr="004725CA">
        <w:rPr>
          <w:rFonts w:cs="Arial"/>
        </w:rPr>
        <w:t> p. b.).</w:t>
      </w:r>
      <w:r>
        <w:rPr>
          <w:rFonts w:cs="Arial"/>
        </w:rPr>
        <w:t xml:space="preserve"> </w:t>
      </w:r>
    </w:p>
    <w:p w:rsidR="001E1208" w:rsidRDefault="001E1208" w:rsidP="001E1208">
      <w:pPr>
        <w:spacing w:before="200"/>
        <w:rPr>
          <w:color w:val="FF0000"/>
        </w:rPr>
      </w:pPr>
      <w:r>
        <w:rPr>
          <w:b/>
          <w:bCs/>
        </w:rPr>
        <w:t>Průměrný evidenční počet zaměstnanců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ve stavebnictví se ve </w:t>
      </w:r>
      <w:r w:rsidR="0013795B">
        <w:t>3</w:t>
      </w:r>
      <w:r>
        <w:t>. čtvrtletí 2021 meziročně</w:t>
      </w:r>
      <w:r>
        <w:rPr>
          <w:bCs/>
        </w:rPr>
        <w:t xml:space="preserve"> </w:t>
      </w:r>
      <w:r>
        <w:t>snížil o </w:t>
      </w:r>
      <w:r w:rsidR="00D16B52">
        <w:t>1</w:t>
      </w:r>
      <w:r>
        <w:t>,</w:t>
      </w:r>
      <w:r w:rsidR="00D16B52">
        <w:t>2</w:t>
      </w:r>
      <w:r>
        <w:t xml:space="preserve"> %. </w:t>
      </w:r>
      <w:r>
        <w:rPr>
          <w:b/>
        </w:rPr>
        <w:t>Průměrná hrubá měsíční nominální mzda</w:t>
      </w:r>
      <w:r>
        <w:t xml:space="preserve"> těchto zaměstnanců ve </w:t>
      </w:r>
      <w:r w:rsidR="0013795B">
        <w:t>3</w:t>
      </w:r>
      <w:r>
        <w:t>. čtvrtletí 2021 meziročně vzrostla o </w:t>
      </w:r>
      <w:r w:rsidR="00D16B52">
        <w:t>6</w:t>
      </w:r>
      <w:r>
        <w:t>,</w:t>
      </w:r>
      <w:r w:rsidR="00D16B52">
        <w:t>5</w:t>
      </w:r>
      <w:r>
        <w:t> %.</w:t>
      </w:r>
    </w:p>
    <w:p w:rsidR="001E1208" w:rsidRPr="00AF5276" w:rsidRDefault="001E1208" w:rsidP="001E1208">
      <w:pPr>
        <w:spacing w:before="200"/>
        <w:rPr>
          <w:rFonts w:cs="Arial"/>
          <w:b/>
          <w:bCs/>
          <w:szCs w:val="20"/>
          <w:highlight w:val="yellow"/>
        </w:rPr>
      </w:pPr>
      <w:r>
        <w:t>Stavební podniky s 50 a více zaměstnanci ve </w:t>
      </w:r>
      <w:r w:rsidR="0013795B">
        <w:t>3</w:t>
      </w:r>
      <w:r>
        <w:t>. čtvrtletí 2021</w:t>
      </w:r>
      <w:r w:rsidRPr="001A6501">
        <w:t xml:space="preserve"> </w:t>
      </w:r>
      <w:r>
        <w:t xml:space="preserve">v tuzemsku uzavřely </w:t>
      </w:r>
      <w:r w:rsidR="00666BC8">
        <w:t>21</w:t>
      </w:r>
      <w:r w:rsidRPr="001A6501">
        <w:t> </w:t>
      </w:r>
      <w:r w:rsidR="00666BC8">
        <w:t>279</w:t>
      </w:r>
      <w:r>
        <w:rPr>
          <w:b/>
        </w:rPr>
        <w:t xml:space="preserve"> stavebních zakázek </w:t>
      </w:r>
      <w:r w:rsidRPr="00D3634B">
        <w:t>a</w:t>
      </w:r>
      <w:r w:rsidRPr="00D3634B">
        <w:rPr>
          <w:bCs/>
        </w:rPr>
        <w:t xml:space="preserve"> </w:t>
      </w:r>
      <w:r>
        <w:t>meziročně tento počet vzrostl o </w:t>
      </w:r>
      <w:r w:rsidR="00666BC8">
        <w:t>12</w:t>
      </w:r>
      <w:r w:rsidRPr="001A6501">
        <w:t>,</w:t>
      </w:r>
      <w:r w:rsidR="00666BC8">
        <w:t>8</w:t>
      </w:r>
      <w:r w:rsidRPr="001A6501">
        <w:t> %</w:t>
      </w:r>
      <w:r>
        <w:t xml:space="preserve">. </w:t>
      </w:r>
      <w:r w:rsidRPr="001A6501">
        <w:rPr>
          <w:b/>
          <w:bCs/>
        </w:rPr>
        <w:t>Celková hodnota</w:t>
      </w:r>
      <w:r w:rsidRPr="001A6501">
        <w:t xml:space="preserve"> těchto zakázek </w:t>
      </w:r>
      <w:r>
        <w:t xml:space="preserve">se </w:t>
      </w:r>
      <w:r w:rsidRPr="001A6501">
        <w:t xml:space="preserve">meziročně </w:t>
      </w:r>
      <w:r>
        <w:t>zvýšila</w:t>
      </w:r>
      <w:r w:rsidRPr="001A6501">
        <w:t xml:space="preserve"> o </w:t>
      </w:r>
      <w:r w:rsidR="004E2630">
        <w:t>7</w:t>
      </w:r>
      <w:r w:rsidRPr="001A6501">
        <w:t>,</w:t>
      </w:r>
      <w:r w:rsidR="004E2630">
        <w:t>7</w:t>
      </w:r>
      <w:r w:rsidRPr="001A6501">
        <w:t xml:space="preserve"> % a činila </w:t>
      </w:r>
      <w:r w:rsidR="004E2630">
        <w:t>70</w:t>
      </w:r>
      <w:r w:rsidRPr="001A6501">
        <w:t>,</w:t>
      </w:r>
      <w:r w:rsidR="004E2630">
        <w:t>1</w:t>
      </w:r>
      <w:r w:rsidRPr="001A6501">
        <w:t xml:space="preserve"> mld. Kč, na pozemním stavitelství </w:t>
      </w:r>
      <w:r w:rsidR="004E2630">
        <w:t>30</w:t>
      </w:r>
      <w:r w:rsidRPr="001A6501">
        <w:t>,</w:t>
      </w:r>
      <w:r w:rsidR="004E2630">
        <w:t>3</w:t>
      </w:r>
      <w:r w:rsidRPr="001A6501">
        <w:t> mld. Kč (růst o </w:t>
      </w:r>
      <w:r w:rsidR="004E2630">
        <w:t>13</w:t>
      </w:r>
      <w:r w:rsidRPr="001A6501">
        <w:t>,</w:t>
      </w:r>
      <w:r w:rsidR="004E2630">
        <w:t>4</w:t>
      </w:r>
      <w:r w:rsidRPr="001A6501">
        <w:t xml:space="preserve"> %) </w:t>
      </w:r>
      <w:r w:rsidRPr="00AB2126">
        <w:t xml:space="preserve">a na inženýrském stavitelství </w:t>
      </w:r>
      <w:r w:rsidR="004E2630">
        <w:t>39</w:t>
      </w:r>
      <w:r w:rsidRPr="00AB2126">
        <w:t>,</w:t>
      </w:r>
      <w:r w:rsidR="004E2630">
        <w:t>8</w:t>
      </w:r>
      <w:r w:rsidRPr="00AB2126">
        <w:t> mld. Kč (</w:t>
      </w:r>
      <w:r>
        <w:t>růst</w:t>
      </w:r>
      <w:r w:rsidRPr="00AB2126">
        <w:t xml:space="preserve"> o </w:t>
      </w:r>
      <w:r w:rsidR="004E2630">
        <w:t>3</w:t>
      </w:r>
      <w:r w:rsidRPr="00AB2126">
        <w:t>,</w:t>
      </w:r>
      <w:r w:rsidR="004E2630">
        <w:t>7</w:t>
      </w:r>
      <w:r w:rsidRPr="00AB2126">
        <w:t xml:space="preserve"> %). Průměrná hodnota nově uzavřené stavební zakázky činila </w:t>
      </w:r>
      <w:r w:rsidR="00A61EC6">
        <w:t>3</w:t>
      </w:r>
      <w:r w:rsidRPr="00AB2126">
        <w:t>,</w:t>
      </w:r>
      <w:r w:rsidR="00A61EC6">
        <w:t>3</w:t>
      </w:r>
      <w:r w:rsidRPr="00AB2126">
        <w:t> mil. Kč a byla meziročně o </w:t>
      </w:r>
      <w:r w:rsidR="00A61EC6">
        <w:t>4</w:t>
      </w:r>
      <w:r w:rsidRPr="00AB2126">
        <w:t>,</w:t>
      </w:r>
      <w:r w:rsidR="00A61EC6">
        <w:t>6</w:t>
      </w:r>
      <w:r w:rsidRPr="00AB2126">
        <w:t xml:space="preserve"> % </w:t>
      </w:r>
      <w:r w:rsidR="00A61EC6">
        <w:t>niž</w:t>
      </w:r>
      <w:r>
        <w:t>ší</w:t>
      </w:r>
      <w:r w:rsidRPr="00AB2126">
        <w:t>.</w:t>
      </w:r>
      <w:r>
        <w:t xml:space="preserve"> </w:t>
      </w:r>
    </w:p>
    <w:p w:rsidR="001E1208" w:rsidRDefault="001E1208" w:rsidP="001E1208">
      <w:pPr>
        <w:spacing w:before="200"/>
      </w:pPr>
      <w:r w:rsidRPr="0035008E">
        <w:rPr>
          <w:rFonts w:cs="Arial"/>
          <w:bCs/>
          <w:szCs w:val="20"/>
        </w:rPr>
        <w:t xml:space="preserve">Stavební úřady </w:t>
      </w:r>
      <w:r>
        <w:t>ve </w:t>
      </w:r>
      <w:r w:rsidR="0013795B">
        <w:t>3</w:t>
      </w:r>
      <w:r>
        <w:t xml:space="preserve">. čtvrtletí 2021 </w:t>
      </w:r>
      <w:r w:rsidRPr="0035008E">
        <w:rPr>
          <w:rFonts w:cs="Arial"/>
          <w:bCs/>
          <w:szCs w:val="20"/>
        </w:rPr>
        <w:t xml:space="preserve">vydaly </w:t>
      </w:r>
      <w:r w:rsidR="00B54230">
        <w:t>23</w:t>
      </w:r>
      <w:r>
        <w:t> </w:t>
      </w:r>
      <w:r w:rsidR="00B54230">
        <w:t>328</w:t>
      </w:r>
      <w:r>
        <w:rPr>
          <w:rFonts w:cs="Arial"/>
          <w:b/>
          <w:bCs/>
          <w:szCs w:val="20"/>
        </w:rPr>
        <w:t xml:space="preserve"> stavebních povolení, </w:t>
      </w:r>
      <w:r>
        <w:rPr>
          <w:rFonts w:cs="Arial"/>
          <w:szCs w:val="20"/>
        </w:rPr>
        <w:t>meziročně o </w:t>
      </w:r>
      <w:r w:rsidR="00B54230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B54230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 více.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B54230">
        <w:t>162</w:t>
      </w:r>
      <w:r>
        <w:t>,</w:t>
      </w:r>
      <w:r w:rsidR="00B54230">
        <w:t>7</w:t>
      </w:r>
      <w:r>
        <w:t xml:space="preserve"> mld. Kč a ve srovnání se stejným obdobím roku 2020 </w:t>
      </w:r>
      <w:r w:rsidRPr="00F612FE">
        <w:rPr>
          <w:rFonts w:cs="Arial"/>
          <w:szCs w:val="20"/>
        </w:rPr>
        <w:t>vzrostl</w:t>
      </w:r>
      <w:r>
        <w:rPr>
          <w:rFonts w:cs="Arial"/>
          <w:szCs w:val="20"/>
        </w:rPr>
        <w:t>a</w:t>
      </w:r>
      <w:r>
        <w:t xml:space="preserve"> o </w:t>
      </w:r>
      <w:r w:rsidR="00B54230">
        <w:t>69</w:t>
      </w:r>
      <w:r>
        <w:t>,</w:t>
      </w:r>
      <w:r w:rsidR="00B54230">
        <w:t>7</w:t>
      </w:r>
      <w:r>
        <w:t> %.</w:t>
      </w:r>
    </w:p>
    <w:p w:rsidR="001E1208" w:rsidRDefault="001E1208" w:rsidP="001E1208">
      <w:pPr>
        <w:spacing w:before="200"/>
      </w:pPr>
      <w:r>
        <w:rPr>
          <w:b/>
        </w:rPr>
        <w:t>Počet zahájených bytů</w:t>
      </w:r>
      <w:r>
        <w:t xml:space="preserve"> ve </w:t>
      </w:r>
      <w:r w:rsidR="002261A9">
        <w:t>3</w:t>
      </w:r>
      <w:r>
        <w:t xml:space="preserve">. čtvrtletí 2021 meziročně </w:t>
      </w:r>
      <w:r>
        <w:rPr>
          <w:rFonts w:cs="Arial"/>
          <w:szCs w:val="20"/>
        </w:rPr>
        <w:t>vzrostl</w:t>
      </w:r>
      <w:r>
        <w:t xml:space="preserve"> o </w:t>
      </w:r>
      <w:r w:rsidR="001E5632">
        <w:t>42</w:t>
      </w:r>
      <w:r>
        <w:t>,</w:t>
      </w:r>
      <w:r w:rsidR="001E5632">
        <w:t>1</w:t>
      </w:r>
      <w:r>
        <w:t xml:space="preserve"> % a činil </w:t>
      </w:r>
      <w:r w:rsidR="001E5632">
        <w:t>12</w:t>
      </w:r>
      <w:r>
        <w:t> </w:t>
      </w:r>
      <w:r w:rsidR="001E5632">
        <w:t>096</w:t>
      </w:r>
      <w:r>
        <w:t xml:space="preserve"> bytů. Počet zahájených bytů v rodinných domech </w:t>
      </w:r>
      <w:r>
        <w:rPr>
          <w:rFonts w:cs="Arial"/>
          <w:szCs w:val="20"/>
        </w:rPr>
        <w:t>rostl</w:t>
      </w:r>
      <w:r>
        <w:t xml:space="preserve"> o </w:t>
      </w:r>
      <w:r w:rsidR="001E5632">
        <w:t>13</w:t>
      </w:r>
      <w:r>
        <w:t>,</w:t>
      </w:r>
      <w:r w:rsidR="001E5632">
        <w:t>4</w:t>
      </w:r>
      <w:r>
        <w:t> %, u bytů v bytových domech byl zaznamenán růst o </w:t>
      </w:r>
      <w:r w:rsidR="001E5632">
        <w:t>171</w:t>
      </w:r>
      <w:r>
        <w:t>,</w:t>
      </w:r>
      <w:r w:rsidR="001E5632">
        <w:t>6</w:t>
      </w:r>
      <w:r>
        <w:t> %.</w:t>
      </w:r>
      <w:r w:rsidR="008A361E">
        <w:t xml:space="preserve"> </w:t>
      </w:r>
      <w:r>
        <w:rPr>
          <w:b/>
          <w:bCs/>
        </w:rPr>
        <w:t>Počet dokončených bytů</w:t>
      </w:r>
      <w:r>
        <w:t xml:space="preserve"> ve </w:t>
      </w:r>
      <w:r w:rsidR="002261A9">
        <w:t>3</w:t>
      </w:r>
      <w:r>
        <w:t xml:space="preserve">. čtvrtletí 2021 meziročně </w:t>
      </w:r>
      <w:r w:rsidR="000D13D5">
        <w:rPr>
          <w:rFonts w:cs="Arial"/>
          <w:szCs w:val="20"/>
        </w:rPr>
        <w:t>klesl</w:t>
      </w:r>
      <w:r>
        <w:t xml:space="preserve"> o </w:t>
      </w:r>
      <w:r w:rsidR="000D13D5">
        <w:t>9</w:t>
      </w:r>
      <w:r>
        <w:t>,</w:t>
      </w:r>
      <w:r w:rsidR="000D13D5">
        <w:t>3</w:t>
      </w:r>
      <w:r>
        <w:t xml:space="preserve"> % a činil </w:t>
      </w:r>
      <w:r w:rsidR="000D13D5">
        <w:t>7</w:t>
      </w:r>
      <w:r>
        <w:t> </w:t>
      </w:r>
      <w:r w:rsidR="000D13D5">
        <w:t>293</w:t>
      </w:r>
      <w:r>
        <w:t xml:space="preserve"> bytů. Počet dokončených bytů v rodinných domech klesl o </w:t>
      </w:r>
      <w:r w:rsidR="000D13D5">
        <w:t>17</w:t>
      </w:r>
      <w:r>
        <w:t>,</w:t>
      </w:r>
      <w:r w:rsidR="000D13D5">
        <w:t>0</w:t>
      </w:r>
      <w:r>
        <w:t> %,</w:t>
      </w:r>
      <w:r w:rsidRPr="00DB54B5">
        <w:t xml:space="preserve"> </w:t>
      </w:r>
      <w:r>
        <w:t>u bytových domů byl růst o </w:t>
      </w:r>
      <w:r w:rsidR="000D13D5">
        <w:t>12</w:t>
      </w:r>
      <w:r>
        <w:t>,</w:t>
      </w:r>
      <w:r w:rsidR="000D13D5">
        <w:t>9</w:t>
      </w:r>
      <w:r>
        <w:t> %.</w:t>
      </w:r>
    </w:p>
    <w:p w:rsidR="00D209A7" w:rsidRPr="00627B07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r w:rsidRPr="00627B07">
        <w:t>P</w:t>
      </w:r>
      <w:r w:rsidR="00D209A7" w:rsidRPr="00627B07">
        <w:t>oznámky</w:t>
      </w:r>
      <w:r w:rsidR="007A2048" w:rsidRPr="00627B07">
        <w:t>:</w:t>
      </w:r>
    </w:p>
    <w:p w:rsidR="00960439" w:rsidRPr="00627B07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27B07">
        <w:rPr>
          <w:iCs/>
          <w:vertAlign w:val="superscript"/>
        </w:rPr>
        <w:t>1 </w:t>
      </w:r>
      <w:r w:rsidRPr="00627B07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27B07">
        <w:t>.</w:t>
      </w:r>
      <w:r w:rsidR="00546ED9" w:rsidRPr="00627B07">
        <w:t xml:space="preserve"> </w:t>
      </w:r>
    </w:p>
    <w:p w:rsidR="00E351E1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  <w:vertAlign w:val="superscript"/>
        </w:rPr>
        <w:t>2 </w:t>
      </w:r>
      <w:r w:rsidRPr="00627B07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627B07">
        <w:rPr>
          <w:i/>
        </w:rPr>
        <w:t>736168543</w:t>
      </w:r>
      <w:r w:rsidRPr="00627B07">
        <w:rPr>
          <w:i/>
        </w:rPr>
        <w:t>, e</w:t>
      </w:r>
      <w:r w:rsidRPr="00627B07">
        <w:rPr>
          <w:i/>
        </w:rPr>
        <w:noBreakHyphen/>
        <w:t>mail: </w:t>
      </w:r>
      <w:hyperlink r:id="rId7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</w:t>
      </w:r>
      <w:r w:rsidR="00BE0826" w:rsidRPr="00627B07">
        <w:rPr>
          <w:i/>
        </w:rPr>
        <w:t>737280494</w:t>
      </w:r>
      <w:r w:rsidRPr="00627B07">
        <w:rPr>
          <w:i/>
        </w:rPr>
        <w:t xml:space="preserve">, e-mail: 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3B20CE">
        <w:rPr>
          <w:i/>
        </w:rPr>
        <w:t>2</w:t>
      </w:r>
      <w:r w:rsidRPr="00627B07">
        <w:rPr>
          <w:i/>
        </w:rPr>
        <w:t xml:space="preserve">. </w:t>
      </w:r>
      <w:r w:rsidR="005E1EF0">
        <w:rPr>
          <w:i/>
        </w:rPr>
        <w:t>1</w:t>
      </w:r>
      <w:r w:rsidR="002261A9">
        <w:rPr>
          <w:i/>
        </w:rPr>
        <w:t>1</w:t>
      </w:r>
      <w:r w:rsidRPr="00627B07">
        <w:rPr>
          <w:i/>
        </w:rPr>
        <w:t>. 202</w:t>
      </w:r>
      <w:r w:rsidR="0018579E" w:rsidRPr="00627B07">
        <w:rPr>
          <w:i/>
        </w:rPr>
        <w:t>1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9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0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517831">
        <w:rPr>
          <w:i/>
        </w:rPr>
        <w:t>7</w:t>
      </w:r>
      <w:r w:rsidRPr="00627B07">
        <w:rPr>
          <w:i/>
        </w:rPr>
        <w:t xml:space="preserve">. </w:t>
      </w:r>
      <w:r w:rsidR="00724BF4">
        <w:rPr>
          <w:i/>
        </w:rPr>
        <w:t>1</w:t>
      </w:r>
      <w:r w:rsidR="00517831">
        <w:rPr>
          <w:i/>
        </w:rPr>
        <w:t>2</w:t>
      </w:r>
      <w:r w:rsidRPr="00627B07">
        <w:rPr>
          <w:i/>
        </w:rPr>
        <w:t>. 202</w:t>
      </w:r>
      <w:r w:rsidR="0046472E" w:rsidRPr="00627B07">
        <w:rPr>
          <w:i/>
        </w:rPr>
        <w:t>1</w:t>
      </w:r>
    </w:p>
    <w:p w:rsidR="006A157B" w:rsidRPr="00627B07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627B07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546ED9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1029AA" w:rsidRDefault="001E1208" w:rsidP="001E1208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lastRenderedPageBreak/>
        <w:t>Tab. 2 Index stavební produkce, stavební zakázky, stavební povolení a bytová výstavba (</w:t>
      </w:r>
      <w:r w:rsidRPr="00D91FAA">
        <w:rPr>
          <w:lang w:eastAsia="en-US"/>
        </w:rPr>
        <w:t>sezónně neočištěno, meziroční indexy</w:t>
      </w:r>
      <w:r>
        <w:rPr>
          <w:rFonts w:eastAsia="Calibri"/>
          <w:lang w:eastAsia="en-US"/>
        </w:rPr>
        <w:t>, čtvrtletí)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627B07">
        <w:t>Graf 3 Index stavební produkce – mezinárodní porovnání</w:t>
      </w:r>
      <w:r w:rsidR="00E13D64" w:rsidRPr="00627B07">
        <w:t xml:space="preserve"> (bazické</w:t>
      </w:r>
      <w:r w:rsidR="00E13D64">
        <w:t xml:space="preserve"> indexy)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67" w:rsidRDefault="003A3267" w:rsidP="00BA6370">
      <w:r>
        <w:separator/>
      </w:r>
    </w:p>
  </w:endnote>
  <w:endnote w:type="continuationSeparator" w:id="0">
    <w:p w:rsidR="003A3267" w:rsidRDefault="003A32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A1B6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A1B6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606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67" w:rsidRDefault="003A3267" w:rsidP="00BA6370">
      <w:r>
        <w:separator/>
      </w:r>
    </w:p>
  </w:footnote>
  <w:footnote w:type="continuationSeparator" w:id="0">
    <w:p w:rsidR="003A3267" w:rsidRDefault="003A326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1067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B"/>
    <w:rsid w:val="00000929"/>
    <w:rsid w:val="00001EE9"/>
    <w:rsid w:val="000024C9"/>
    <w:rsid w:val="00003FC4"/>
    <w:rsid w:val="000074D8"/>
    <w:rsid w:val="000129FA"/>
    <w:rsid w:val="00013541"/>
    <w:rsid w:val="000147E2"/>
    <w:rsid w:val="00023175"/>
    <w:rsid w:val="00024B2F"/>
    <w:rsid w:val="00026868"/>
    <w:rsid w:val="00026A19"/>
    <w:rsid w:val="000316B3"/>
    <w:rsid w:val="0003608B"/>
    <w:rsid w:val="00036132"/>
    <w:rsid w:val="0004020F"/>
    <w:rsid w:val="00040BEF"/>
    <w:rsid w:val="000416EC"/>
    <w:rsid w:val="00043423"/>
    <w:rsid w:val="00043BF4"/>
    <w:rsid w:val="0004440A"/>
    <w:rsid w:val="0004594E"/>
    <w:rsid w:val="00046BBF"/>
    <w:rsid w:val="00050770"/>
    <w:rsid w:val="000533DD"/>
    <w:rsid w:val="00053668"/>
    <w:rsid w:val="000560DA"/>
    <w:rsid w:val="00057CD9"/>
    <w:rsid w:val="00057D52"/>
    <w:rsid w:val="000643F0"/>
    <w:rsid w:val="00065EE0"/>
    <w:rsid w:val="000674E2"/>
    <w:rsid w:val="00070CD9"/>
    <w:rsid w:val="000751E8"/>
    <w:rsid w:val="000752E2"/>
    <w:rsid w:val="000760D3"/>
    <w:rsid w:val="00077B7C"/>
    <w:rsid w:val="00081741"/>
    <w:rsid w:val="0008179D"/>
    <w:rsid w:val="00082243"/>
    <w:rsid w:val="000843A5"/>
    <w:rsid w:val="000854D9"/>
    <w:rsid w:val="0008597A"/>
    <w:rsid w:val="0009090C"/>
    <w:rsid w:val="000910DA"/>
    <w:rsid w:val="0009506E"/>
    <w:rsid w:val="00096D6C"/>
    <w:rsid w:val="000A277A"/>
    <w:rsid w:val="000A3439"/>
    <w:rsid w:val="000A5D7E"/>
    <w:rsid w:val="000A6E3E"/>
    <w:rsid w:val="000A7462"/>
    <w:rsid w:val="000B3A72"/>
    <w:rsid w:val="000B6C1F"/>
    <w:rsid w:val="000B6F63"/>
    <w:rsid w:val="000C0440"/>
    <w:rsid w:val="000C0DA1"/>
    <w:rsid w:val="000C2C02"/>
    <w:rsid w:val="000C64DF"/>
    <w:rsid w:val="000D093F"/>
    <w:rsid w:val="000D13D5"/>
    <w:rsid w:val="000D2FC6"/>
    <w:rsid w:val="000D5553"/>
    <w:rsid w:val="000E359E"/>
    <w:rsid w:val="000E43CC"/>
    <w:rsid w:val="000E7EC9"/>
    <w:rsid w:val="000F04AD"/>
    <w:rsid w:val="000F2B0D"/>
    <w:rsid w:val="000F57E7"/>
    <w:rsid w:val="000F71A3"/>
    <w:rsid w:val="000F7371"/>
    <w:rsid w:val="000F7B16"/>
    <w:rsid w:val="001029AA"/>
    <w:rsid w:val="001034B5"/>
    <w:rsid w:val="0010621B"/>
    <w:rsid w:val="001076BF"/>
    <w:rsid w:val="00112AD1"/>
    <w:rsid w:val="00113AC7"/>
    <w:rsid w:val="0011654A"/>
    <w:rsid w:val="001174F2"/>
    <w:rsid w:val="00121B10"/>
    <w:rsid w:val="00122BB0"/>
    <w:rsid w:val="00123164"/>
    <w:rsid w:val="00125DCA"/>
    <w:rsid w:val="0012794B"/>
    <w:rsid w:val="00134BE0"/>
    <w:rsid w:val="0013795B"/>
    <w:rsid w:val="001404AB"/>
    <w:rsid w:val="00150887"/>
    <w:rsid w:val="001515E1"/>
    <w:rsid w:val="0015171B"/>
    <w:rsid w:val="00156BA0"/>
    <w:rsid w:val="00157B5B"/>
    <w:rsid w:val="00164846"/>
    <w:rsid w:val="0017231D"/>
    <w:rsid w:val="001807F6"/>
    <w:rsid w:val="001810DC"/>
    <w:rsid w:val="0018579E"/>
    <w:rsid w:val="00187830"/>
    <w:rsid w:val="00187F4C"/>
    <w:rsid w:val="00190B36"/>
    <w:rsid w:val="00190B92"/>
    <w:rsid w:val="00190C15"/>
    <w:rsid w:val="0019518F"/>
    <w:rsid w:val="00197D0E"/>
    <w:rsid w:val="001A0762"/>
    <w:rsid w:val="001A2A81"/>
    <w:rsid w:val="001B3574"/>
    <w:rsid w:val="001B4739"/>
    <w:rsid w:val="001B607F"/>
    <w:rsid w:val="001B7967"/>
    <w:rsid w:val="001C0321"/>
    <w:rsid w:val="001C2364"/>
    <w:rsid w:val="001C5ED9"/>
    <w:rsid w:val="001D1ACB"/>
    <w:rsid w:val="001D369A"/>
    <w:rsid w:val="001E0625"/>
    <w:rsid w:val="001E1208"/>
    <w:rsid w:val="001E1B6D"/>
    <w:rsid w:val="001E285F"/>
    <w:rsid w:val="001E2FE0"/>
    <w:rsid w:val="001E5632"/>
    <w:rsid w:val="001E7129"/>
    <w:rsid w:val="001F08B3"/>
    <w:rsid w:val="001F18DF"/>
    <w:rsid w:val="001F2FE0"/>
    <w:rsid w:val="001F5599"/>
    <w:rsid w:val="001F66C0"/>
    <w:rsid w:val="00200854"/>
    <w:rsid w:val="00201103"/>
    <w:rsid w:val="0020271E"/>
    <w:rsid w:val="00203A5B"/>
    <w:rsid w:val="00203D63"/>
    <w:rsid w:val="00206465"/>
    <w:rsid w:val="002070FB"/>
    <w:rsid w:val="00210CAA"/>
    <w:rsid w:val="0021321B"/>
    <w:rsid w:val="00213729"/>
    <w:rsid w:val="00216DBC"/>
    <w:rsid w:val="002215B5"/>
    <w:rsid w:val="002219AB"/>
    <w:rsid w:val="00222C54"/>
    <w:rsid w:val="00222FCF"/>
    <w:rsid w:val="002249A4"/>
    <w:rsid w:val="002261A9"/>
    <w:rsid w:val="00226705"/>
    <w:rsid w:val="002278D1"/>
    <w:rsid w:val="002305B4"/>
    <w:rsid w:val="00232115"/>
    <w:rsid w:val="00234461"/>
    <w:rsid w:val="002359C3"/>
    <w:rsid w:val="00236040"/>
    <w:rsid w:val="00237126"/>
    <w:rsid w:val="002406FA"/>
    <w:rsid w:val="00241827"/>
    <w:rsid w:val="0024402A"/>
    <w:rsid w:val="00246B52"/>
    <w:rsid w:val="002519A5"/>
    <w:rsid w:val="00256339"/>
    <w:rsid w:val="00260951"/>
    <w:rsid w:val="0026107B"/>
    <w:rsid w:val="002624DA"/>
    <w:rsid w:val="00266FB2"/>
    <w:rsid w:val="00270816"/>
    <w:rsid w:val="002713E0"/>
    <w:rsid w:val="0027262D"/>
    <w:rsid w:val="00277E9F"/>
    <w:rsid w:val="0028046F"/>
    <w:rsid w:val="0028215D"/>
    <w:rsid w:val="002827B8"/>
    <w:rsid w:val="002856BB"/>
    <w:rsid w:val="002A32DF"/>
    <w:rsid w:val="002A369F"/>
    <w:rsid w:val="002B1229"/>
    <w:rsid w:val="002B20ED"/>
    <w:rsid w:val="002B2E47"/>
    <w:rsid w:val="002C122A"/>
    <w:rsid w:val="002C1244"/>
    <w:rsid w:val="002C1925"/>
    <w:rsid w:val="002C5D97"/>
    <w:rsid w:val="002D01EF"/>
    <w:rsid w:val="002E0028"/>
    <w:rsid w:val="002E35F7"/>
    <w:rsid w:val="002E4538"/>
    <w:rsid w:val="002E54C3"/>
    <w:rsid w:val="002F01F4"/>
    <w:rsid w:val="002F08FD"/>
    <w:rsid w:val="002F78ED"/>
    <w:rsid w:val="00305654"/>
    <w:rsid w:val="00306167"/>
    <w:rsid w:val="0030645A"/>
    <w:rsid w:val="00306745"/>
    <w:rsid w:val="00313DDC"/>
    <w:rsid w:val="00314981"/>
    <w:rsid w:val="003301A3"/>
    <w:rsid w:val="00334878"/>
    <w:rsid w:val="00334DBE"/>
    <w:rsid w:val="003356A9"/>
    <w:rsid w:val="00337F70"/>
    <w:rsid w:val="0034176C"/>
    <w:rsid w:val="0034217E"/>
    <w:rsid w:val="00342452"/>
    <w:rsid w:val="00344D44"/>
    <w:rsid w:val="0035069F"/>
    <w:rsid w:val="00351B4D"/>
    <w:rsid w:val="003553BC"/>
    <w:rsid w:val="00356157"/>
    <w:rsid w:val="00356A96"/>
    <w:rsid w:val="00357D65"/>
    <w:rsid w:val="00364240"/>
    <w:rsid w:val="0036650A"/>
    <w:rsid w:val="0036777B"/>
    <w:rsid w:val="0036782B"/>
    <w:rsid w:val="003679C4"/>
    <w:rsid w:val="00367D70"/>
    <w:rsid w:val="00376072"/>
    <w:rsid w:val="0038282A"/>
    <w:rsid w:val="00384F6E"/>
    <w:rsid w:val="00390929"/>
    <w:rsid w:val="0039316D"/>
    <w:rsid w:val="003946F9"/>
    <w:rsid w:val="0039698E"/>
    <w:rsid w:val="00397580"/>
    <w:rsid w:val="003A0F96"/>
    <w:rsid w:val="003A3267"/>
    <w:rsid w:val="003A45C8"/>
    <w:rsid w:val="003A5414"/>
    <w:rsid w:val="003A554A"/>
    <w:rsid w:val="003A56BA"/>
    <w:rsid w:val="003A5934"/>
    <w:rsid w:val="003A6425"/>
    <w:rsid w:val="003A69F3"/>
    <w:rsid w:val="003B20CE"/>
    <w:rsid w:val="003B2D30"/>
    <w:rsid w:val="003B4891"/>
    <w:rsid w:val="003B525B"/>
    <w:rsid w:val="003B5341"/>
    <w:rsid w:val="003B569E"/>
    <w:rsid w:val="003B62DF"/>
    <w:rsid w:val="003B6FFA"/>
    <w:rsid w:val="003B7589"/>
    <w:rsid w:val="003C0366"/>
    <w:rsid w:val="003C2740"/>
    <w:rsid w:val="003C2DCF"/>
    <w:rsid w:val="003C53BC"/>
    <w:rsid w:val="003C5B44"/>
    <w:rsid w:val="003C634F"/>
    <w:rsid w:val="003C7FE7"/>
    <w:rsid w:val="003D0499"/>
    <w:rsid w:val="003D1348"/>
    <w:rsid w:val="003D18E0"/>
    <w:rsid w:val="003D3576"/>
    <w:rsid w:val="003D3E99"/>
    <w:rsid w:val="003E0AD7"/>
    <w:rsid w:val="003E4D72"/>
    <w:rsid w:val="003E7B03"/>
    <w:rsid w:val="003F169E"/>
    <w:rsid w:val="003F526A"/>
    <w:rsid w:val="003F614B"/>
    <w:rsid w:val="003F6998"/>
    <w:rsid w:val="0040103E"/>
    <w:rsid w:val="004014FD"/>
    <w:rsid w:val="00405244"/>
    <w:rsid w:val="0041506A"/>
    <w:rsid w:val="004154C7"/>
    <w:rsid w:val="00417578"/>
    <w:rsid w:val="0042070F"/>
    <w:rsid w:val="00422BEF"/>
    <w:rsid w:val="00431C5E"/>
    <w:rsid w:val="0043279E"/>
    <w:rsid w:val="0043457A"/>
    <w:rsid w:val="00436EA9"/>
    <w:rsid w:val="00436FC8"/>
    <w:rsid w:val="004374BB"/>
    <w:rsid w:val="004436EE"/>
    <w:rsid w:val="00446904"/>
    <w:rsid w:val="004531E9"/>
    <w:rsid w:val="00453CDB"/>
    <w:rsid w:val="0045547F"/>
    <w:rsid w:val="00456403"/>
    <w:rsid w:val="004574CE"/>
    <w:rsid w:val="00457FE9"/>
    <w:rsid w:val="0046465A"/>
    <w:rsid w:val="0046472E"/>
    <w:rsid w:val="004669D4"/>
    <w:rsid w:val="00467259"/>
    <w:rsid w:val="004672EB"/>
    <w:rsid w:val="00471DEF"/>
    <w:rsid w:val="004728EA"/>
    <w:rsid w:val="004731FE"/>
    <w:rsid w:val="00474E0E"/>
    <w:rsid w:val="00476975"/>
    <w:rsid w:val="004815EC"/>
    <w:rsid w:val="0048469B"/>
    <w:rsid w:val="004859F9"/>
    <w:rsid w:val="00485CAE"/>
    <w:rsid w:val="00487524"/>
    <w:rsid w:val="004920AD"/>
    <w:rsid w:val="00495909"/>
    <w:rsid w:val="004A34E9"/>
    <w:rsid w:val="004A35AE"/>
    <w:rsid w:val="004A4EA2"/>
    <w:rsid w:val="004B1934"/>
    <w:rsid w:val="004B3B76"/>
    <w:rsid w:val="004B558B"/>
    <w:rsid w:val="004B6001"/>
    <w:rsid w:val="004C20D4"/>
    <w:rsid w:val="004C3DD7"/>
    <w:rsid w:val="004D05B3"/>
    <w:rsid w:val="004D19B3"/>
    <w:rsid w:val="004E22B7"/>
    <w:rsid w:val="004E2630"/>
    <w:rsid w:val="004E2BFE"/>
    <w:rsid w:val="004E479E"/>
    <w:rsid w:val="004E6E35"/>
    <w:rsid w:val="004E73FF"/>
    <w:rsid w:val="004F03EA"/>
    <w:rsid w:val="004F35D9"/>
    <w:rsid w:val="004F4A12"/>
    <w:rsid w:val="004F5B4A"/>
    <w:rsid w:val="004F60C4"/>
    <w:rsid w:val="004F686C"/>
    <w:rsid w:val="004F73EA"/>
    <w:rsid w:val="004F78E6"/>
    <w:rsid w:val="0050420E"/>
    <w:rsid w:val="00504C3A"/>
    <w:rsid w:val="00506FE9"/>
    <w:rsid w:val="00507B05"/>
    <w:rsid w:val="005100A9"/>
    <w:rsid w:val="00511DA1"/>
    <w:rsid w:val="00512D99"/>
    <w:rsid w:val="00513C64"/>
    <w:rsid w:val="00517831"/>
    <w:rsid w:val="00517BF7"/>
    <w:rsid w:val="005203F3"/>
    <w:rsid w:val="00522CE5"/>
    <w:rsid w:val="005246C5"/>
    <w:rsid w:val="00524C3C"/>
    <w:rsid w:val="00524C43"/>
    <w:rsid w:val="00526170"/>
    <w:rsid w:val="0053019E"/>
    <w:rsid w:val="00531DBB"/>
    <w:rsid w:val="00537755"/>
    <w:rsid w:val="00544874"/>
    <w:rsid w:val="00544C65"/>
    <w:rsid w:val="00546ED9"/>
    <w:rsid w:val="00546F32"/>
    <w:rsid w:val="005472EB"/>
    <w:rsid w:val="00547A7C"/>
    <w:rsid w:val="0055124F"/>
    <w:rsid w:val="00552C4C"/>
    <w:rsid w:val="00552CE1"/>
    <w:rsid w:val="00554397"/>
    <w:rsid w:val="00562FAD"/>
    <w:rsid w:val="00573943"/>
    <w:rsid w:val="00573994"/>
    <w:rsid w:val="00574273"/>
    <w:rsid w:val="00576F63"/>
    <w:rsid w:val="00595D29"/>
    <w:rsid w:val="005A0F68"/>
    <w:rsid w:val="005A1334"/>
    <w:rsid w:val="005A1B62"/>
    <w:rsid w:val="005B24A0"/>
    <w:rsid w:val="005B3238"/>
    <w:rsid w:val="005B50F6"/>
    <w:rsid w:val="005B536B"/>
    <w:rsid w:val="005B5464"/>
    <w:rsid w:val="005B54AF"/>
    <w:rsid w:val="005B79E2"/>
    <w:rsid w:val="005C45A5"/>
    <w:rsid w:val="005C780D"/>
    <w:rsid w:val="005D132F"/>
    <w:rsid w:val="005D7ABB"/>
    <w:rsid w:val="005E1EF0"/>
    <w:rsid w:val="005E2D52"/>
    <w:rsid w:val="005E32EE"/>
    <w:rsid w:val="005E39C1"/>
    <w:rsid w:val="005E5671"/>
    <w:rsid w:val="005F0B28"/>
    <w:rsid w:val="005F1771"/>
    <w:rsid w:val="005F4960"/>
    <w:rsid w:val="005F4C34"/>
    <w:rsid w:val="005F5940"/>
    <w:rsid w:val="005F6E31"/>
    <w:rsid w:val="005F79FB"/>
    <w:rsid w:val="00604406"/>
    <w:rsid w:val="006053AF"/>
    <w:rsid w:val="00605D89"/>
    <w:rsid w:val="00605F4A"/>
    <w:rsid w:val="00607822"/>
    <w:rsid w:val="006103AA"/>
    <w:rsid w:val="00612547"/>
    <w:rsid w:val="00613BBF"/>
    <w:rsid w:val="0061415B"/>
    <w:rsid w:val="006201AB"/>
    <w:rsid w:val="006214BF"/>
    <w:rsid w:val="00622B80"/>
    <w:rsid w:val="00622EBB"/>
    <w:rsid w:val="00623513"/>
    <w:rsid w:val="00623F6C"/>
    <w:rsid w:val="00624CC8"/>
    <w:rsid w:val="00627B07"/>
    <w:rsid w:val="00631744"/>
    <w:rsid w:val="00631E6C"/>
    <w:rsid w:val="00634DED"/>
    <w:rsid w:val="006369DB"/>
    <w:rsid w:val="00637443"/>
    <w:rsid w:val="0064139A"/>
    <w:rsid w:val="006447BA"/>
    <w:rsid w:val="00646E30"/>
    <w:rsid w:val="00652471"/>
    <w:rsid w:val="006524BC"/>
    <w:rsid w:val="00653A26"/>
    <w:rsid w:val="00653C4C"/>
    <w:rsid w:val="00653FDA"/>
    <w:rsid w:val="00666BC8"/>
    <w:rsid w:val="006704E1"/>
    <w:rsid w:val="00683C2F"/>
    <w:rsid w:val="006931CF"/>
    <w:rsid w:val="006962D7"/>
    <w:rsid w:val="006A05D5"/>
    <w:rsid w:val="006A157B"/>
    <w:rsid w:val="006A1FE9"/>
    <w:rsid w:val="006B1446"/>
    <w:rsid w:val="006B1AC7"/>
    <w:rsid w:val="006B1B2F"/>
    <w:rsid w:val="006B2481"/>
    <w:rsid w:val="006B4730"/>
    <w:rsid w:val="006B4E10"/>
    <w:rsid w:val="006C0643"/>
    <w:rsid w:val="006C50A9"/>
    <w:rsid w:val="006C77D3"/>
    <w:rsid w:val="006D3A04"/>
    <w:rsid w:val="006D4079"/>
    <w:rsid w:val="006D66EF"/>
    <w:rsid w:val="006D7971"/>
    <w:rsid w:val="006E024F"/>
    <w:rsid w:val="006E32C8"/>
    <w:rsid w:val="006E38CC"/>
    <w:rsid w:val="006E4E81"/>
    <w:rsid w:val="006E5FF1"/>
    <w:rsid w:val="006F35E2"/>
    <w:rsid w:val="00703BD6"/>
    <w:rsid w:val="00705341"/>
    <w:rsid w:val="00706F52"/>
    <w:rsid w:val="00707C92"/>
    <w:rsid w:val="00707F7D"/>
    <w:rsid w:val="00717156"/>
    <w:rsid w:val="00717EC5"/>
    <w:rsid w:val="007221BF"/>
    <w:rsid w:val="0072249C"/>
    <w:rsid w:val="00724BF4"/>
    <w:rsid w:val="00727811"/>
    <w:rsid w:val="007306D1"/>
    <w:rsid w:val="00734385"/>
    <w:rsid w:val="00736380"/>
    <w:rsid w:val="00737938"/>
    <w:rsid w:val="00746B4E"/>
    <w:rsid w:val="00754C20"/>
    <w:rsid w:val="00755255"/>
    <w:rsid w:val="00755A5B"/>
    <w:rsid w:val="00755EF5"/>
    <w:rsid w:val="00756E96"/>
    <w:rsid w:val="0076094E"/>
    <w:rsid w:val="007645B9"/>
    <w:rsid w:val="00764682"/>
    <w:rsid w:val="00773C0F"/>
    <w:rsid w:val="00774000"/>
    <w:rsid w:val="00780705"/>
    <w:rsid w:val="00781C42"/>
    <w:rsid w:val="00783749"/>
    <w:rsid w:val="00783F5F"/>
    <w:rsid w:val="0078658F"/>
    <w:rsid w:val="00786683"/>
    <w:rsid w:val="00790207"/>
    <w:rsid w:val="00790C34"/>
    <w:rsid w:val="00790F75"/>
    <w:rsid w:val="00795A0D"/>
    <w:rsid w:val="007970F8"/>
    <w:rsid w:val="007A2048"/>
    <w:rsid w:val="007A2CB1"/>
    <w:rsid w:val="007A3A77"/>
    <w:rsid w:val="007A57F2"/>
    <w:rsid w:val="007A7FEC"/>
    <w:rsid w:val="007B1333"/>
    <w:rsid w:val="007B3B2B"/>
    <w:rsid w:val="007B41EC"/>
    <w:rsid w:val="007B63CF"/>
    <w:rsid w:val="007C1568"/>
    <w:rsid w:val="007C4D23"/>
    <w:rsid w:val="007D012F"/>
    <w:rsid w:val="007D6230"/>
    <w:rsid w:val="007D69EC"/>
    <w:rsid w:val="007E1A2B"/>
    <w:rsid w:val="007E7126"/>
    <w:rsid w:val="007E7B76"/>
    <w:rsid w:val="007F102E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3F4F"/>
    <w:rsid w:val="00816B6F"/>
    <w:rsid w:val="008174B6"/>
    <w:rsid w:val="00821A3E"/>
    <w:rsid w:val="0082301C"/>
    <w:rsid w:val="00825A31"/>
    <w:rsid w:val="00825B25"/>
    <w:rsid w:val="00831B1B"/>
    <w:rsid w:val="00831B20"/>
    <w:rsid w:val="00832461"/>
    <w:rsid w:val="00832F1E"/>
    <w:rsid w:val="00833FC6"/>
    <w:rsid w:val="00842A38"/>
    <w:rsid w:val="00844EBA"/>
    <w:rsid w:val="00846D92"/>
    <w:rsid w:val="00846E49"/>
    <w:rsid w:val="00846F4A"/>
    <w:rsid w:val="008507A1"/>
    <w:rsid w:val="0085251E"/>
    <w:rsid w:val="00852B16"/>
    <w:rsid w:val="00855FB3"/>
    <w:rsid w:val="00861D0E"/>
    <w:rsid w:val="0086232A"/>
    <w:rsid w:val="0086456B"/>
    <w:rsid w:val="00865397"/>
    <w:rsid w:val="008662BB"/>
    <w:rsid w:val="00867569"/>
    <w:rsid w:val="008707D5"/>
    <w:rsid w:val="00870883"/>
    <w:rsid w:val="00871247"/>
    <w:rsid w:val="00873268"/>
    <w:rsid w:val="00874A36"/>
    <w:rsid w:val="00895C98"/>
    <w:rsid w:val="00897601"/>
    <w:rsid w:val="008A2044"/>
    <w:rsid w:val="008A3318"/>
    <w:rsid w:val="008A361E"/>
    <w:rsid w:val="008A37BE"/>
    <w:rsid w:val="008A6110"/>
    <w:rsid w:val="008A750A"/>
    <w:rsid w:val="008A7F10"/>
    <w:rsid w:val="008B043B"/>
    <w:rsid w:val="008B3970"/>
    <w:rsid w:val="008B40C3"/>
    <w:rsid w:val="008B57F7"/>
    <w:rsid w:val="008B6393"/>
    <w:rsid w:val="008B6E7A"/>
    <w:rsid w:val="008C384C"/>
    <w:rsid w:val="008C687C"/>
    <w:rsid w:val="008D067A"/>
    <w:rsid w:val="008D0F11"/>
    <w:rsid w:val="008D366F"/>
    <w:rsid w:val="008D3F41"/>
    <w:rsid w:val="008D44AA"/>
    <w:rsid w:val="008D4EC8"/>
    <w:rsid w:val="008D5BEE"/>
    <w:rsid w:val="008D680A"/>
    <w:rsid w:val="008E346A"/>
    <w:rsid w:val="008E5361"/>
    <w:rsid w:val="008F0F9F"/>
    <w:rsid w:val="008F73B4"/>
    <w:rsid w:val="008F795B"/>
    <w:rsid w:val="00901A58"/>
    <w:rsid w:val="00902A6C"/>
    <w:rsid w:val="00920054"/>
    <w:rsid w:val="0092045D"/>
    <w:rsid w:val="0092731B"/>
    <w:rsid w:val="009358E3"/>
    <w:rsid w:val="00935CCD"/>
    <w:rsid w:val="0094202E"/>
    <w:rsid w:val="0095562E"/>
    <w:rsid w:val="00957DAB"/>
    <w:rsid w:val="00960439"/>
    <w:rsid w:val="00960A19"/>
    <w:rsid w:val="00961497"/>
    <w:rsid w:val="0096194F"/>
    <w:rsid w:val="00962E41"/>
    <w:rsid w:val="00964A35"/>
    <w:rsid w:val="00965D6C"/>
    <w:rsid w:val="009669E2"/>
    <w:rsid w:val="009767DD"/>
    <w:rsid w:val="00983A29"/>
    <w:rsid w:val="009840D5"/>
    <w:rsid w:val="009844F2"/>
    <w:rsid w:val="00984A7C"/>
    <w:rsid w:val="00986D8D"/>
    <w:rsid w:val="00986DD7"/>
    <w:rsid w:val="00990496"/>
    <w:rsid w:val="00990571"/>
    <w:rsid w:val="00990C6E"/>
    <w:rsid w:val="00993AAC"/>
    <w:rsid w:val="009956F5"/>
    <w:rsid w:val="009A1D4F"/>
    <w:rsid w:val="009A3A34"/>
    <w:rsid w:val="009A48C8"/>
    <w:rsid w:val="009A4D16"/>
    <w:rsid w:val="009A7478"/>
    <w:rsid w:val="009B100E"/>
    <w:rsid w:val="009B2727"/>
    <w:rsid w:val="009B55B1"/>
    <w:rsid w:val="009B653D"/>
    <w:rsid w:val="009D375C"/>
    <w:rsid w:val="009D66F6"/>
    <w:rsid w:val="009E063D"/>
    <w:rsid w:val="009E136A"/>
    <w:rsid w:val="009E2F58"/>
    <w:rsid w:val="009E3E2B"/>
    <w:rsid w:val="009E642F"/>
    <w:rsid w:val="009F18EE"/>
    <w:rsid w:val="009F1FF8"/>
    <w:rsid w:val="009F2071"/>
    <w:rsid w:val="009F3AF2"/>
    <w:rsid w:val="009F4AB1"/>
    <w:rsid w:val="009F7776"/>
    <w:rsid w:val="00A00076"/>
    <w:rsid w:val="00A0165F"/>
    <w:rsid w:val="00A070C6"/>
    <w:rsid w:val="00A0762A"/>
    <w:rsid w:val="00A11084"/>
    <w:rsid w:val="00A12C9C"/>
    <w:rsid w:val="00A133CA"/>
    <w:rsid w:val="00A14FDA"/>
    <w:rsid w:val="00A15375"/>
    <w:rsid w:val="00A155FB"/>
    <w:rsid w:val="00A167B1"/>
    <w:rsid w:val="00A23EF4"/>
    <w:rsid w:val="00A25AED"/>
    <w:rsid w:val="00A27AE3"/>
    <w:rsid w:val="00A3776C"/>
    <w:rsid w:val="00A40235"/>
    <w:rsid w:val="00A4343D"/>
    <w:rsid w:val="00A44483"/>
    <w:rsid w:val="00A502F1"/>
    <w:rsid w:val="00A51ABA"/>
    <w:rsid w:val="00A51FDC"/>
    <w:rsid w:val="00A550A2"/>
    <w:rsid w:val="00A57661"/>
    <w:rsid w:val="00A57B09"/>
    <w:rsid w:val="00A57DB4"/>
    <w:rsid w:val="00A61EC6"/>
    <w:rsid w:val="00A65ACA"/>
    <w:rsid w:val="00A70A83"/>
    <w:rsid w:val="00A73666"/>
    <w:rsid w:val="00A75B72"/>
    <w:rsid w:val="00A76580"/>
    <w:rsid w:val="00A8044E"/>
    <w:rsid w:val="00A81EB3"/>
    <w:rsid w:val="00A91A43"/>
    <w:rsid w:val="00AA1CE0"/>
    <w:rsid w:val="00AA3C50"/>
    <w:rsid w:val="00AB1756"/>
    <w:rsid w:val="00AB3410"/>
    <w:rsid w:val="00AB6711"/>
    <w:rsid w:val="00AC057A"/>
    <w:rsid w:val="00AC2E5B"/>
    <w:rsid w:val="00AC2FB9"/>
    <w:rsid w:val="00AD121E"/>
    <w:rsid w:val="00AD1446"/>
    <w:rsid w:val="00AD1886"/>
    <w:rsid w:val="00AD32B4"/>
    <w:rsid w:val="00AD4C27"/>
    <w:rsid w:val="00AD6C25"/>
    <w:rsid w:val="00AE09CD"/>
    <w:rsid w:val="00AE31C0"/>
    <w:rsid w:val="00AF1318"/>
    <w:rsid w:val="00AF5276"/>
    <w:rsid w:val="00AF5D4B"/>
    <w:rsid w:val="00B00C1D"/>
    <w:rsid w:val="00B02FDB"/>
    <w:rsid w:val="00B04242"/>
    <w:rsid w:val="00B068A1"/>
    <w:rsid w:val="00B1182E"/>
    <w:rsid w:val="00B16DA5"/>
    <w:rsid w:val="00B22ED6"/>
    <w:rsid w:val="00B23525"/>
    <w:rsid w:val="00B2370D"/>
    <w:rsid w:val="00B237E3"/>
    <w:rsid w:val="00B25066"/>
    <w:rsid w:val="00B3707B"/>
    <w:rsid w:val="00B37CAA"/>
    <w:rsid w:val="00B44127"/>
    <w:rsid w:val="00B45F86"/>
    <w:rsid w:val="00B46798"/>
    <w:rsid w:val="00B50DA4"/>
    <w:rsid w:val="00B54230"/>
    <w:rsid w:val="00B55375"/>
    <w:rsid w:val="00B62C83"/>
    <w:rsid w:val="00B632CC"/>
    <w:rsid w:val="00B64884"/>
    <w:rsid w:val="00B66306"/>
    <w:rsid w:val="00B70709"/>
    <w:rsid w:val="00B70781"/>
    <w:rsid w:val="00B71AB3"/>
    <w:rsid w:val="00B74A4E"/>
    <w:rsid w:val="00B76359"/>
    <w:rsid w:val="00B84D3B"/>
    <w:rsid w:val="00B943AA"/>
    <w:rsid w:val="00B96143"/>
    <w:rsid w:val="00BA12F1"/>
    <w:rsid w:val="00BA226A"/>
    <w:rsid w:val="00BA3FF5"/>
    <w:rsid w:val="00BA439F"/>
    <w:rsid w:val="00BA6370"/>
    <w:rsid w:val="00BB2938"/>
    <w:rsid w:val="00BB4A0B"/>
    <w:rsid w:val="00BB6A75"/>
    <w:rsid w:val="00BC1200"/>
    <w:rsid w:val="00BC667D"/>
    <w:rsid w:val="00BD10D7"/>
    <w:rsid w:val="00BD7AA0"/>
    <w:rsid w:val="00BE02C6"/>
    <w:rsid w:val="00BE0826"/>
    <w:rsid w:val="00BE146B"/>
    <w:rsid w:val="00BE2E24"/>
    <w:rsid w:val="00BE3E77"/>
    <w:rsid w:val="00BE5243"/>
    <w:rsid w:val="00BE601F"/>
    <w:rsid w:val="00BE60EF"/>
    <w:rsid w:val="00BF7118"/>
    <w:rsid w:val="00C01F2E"/>
    <w:rsid w:val="00C0302E"/>
    <w:rsid w:val="00C05D5D"/>
    <w:rsid w:val="00C12B85"/>
    <w:rsid w:val="00C21672"/>
    <w:rsid w:val="00C217D4"/>
    <w:rsid w:val="00C2245F"/>
    <w:rsid w:val="00C269D4"/>
    <w:rsid w:val="00C26C0D"/>
    <w:rsid w:val="00C26DED"/>
    <w:rsid w:val="00C31724"/>
    <w:rsid w:val="00C32D3A"/>
    <w:rsid w:val="00C37ADB"/>
    <w:rsid w:val="00C40BFF"/>
    <w:rsid w:val="00C40EFF"/>
    <w:rsid w:val="00C4160D"/>
    <w:rsid w:val="00C45848"/>
    <w:rsid w:val="00C468C2"/>
    <w:rsid w:val="00C47644"/>
    <w:rsid w:val="00C47E58"/>
    <w:rsid w:val="00C50E69"/>
    <w:rsid w:val="00C514EA"/>
    <w:rsid w:val="00C55DCD"/>
    <w:rsid w:val="00C576F0"/>
    <w:rsid w:val="00C604F6"/>
    <w:rsid w:val="00C6055F"/>
    <w:rsid w:val="00C624D8"/>
    <w:rsid w:val="00C63A24"/>
    <w:rsid w:val="00C716EB"/>
    <w:rsid w:val="00C75577"/>
    <w:rsid w:val="00C76C8E"/>
    <w:rsid w:val="00C77DFE"/>
    <w:rsid w:val="00C82ED2"/>
    <w:rsid w:val="00C8406E"/>
    <w:rsid w:val="00C85D11"/>
    <w:rsid w:val="00C91B9C"/>
    <w:rsid w:val="00C93163"/>
    <w:rsid w:val="00CA07A5"/>
    <w:rsid w:val="00CA08DA"/>
    <w:rsid w:val="00CA20AD"/>
    <w:rsid w:val="00CA79BD"/>
    <w:rsid w:val="00CB02AA"/>
    <w:rsid w:val="00CB0974"/>
    <w:rsid w:val="00CB2709"/>
    <w:rsid w:val="00CB2D50"/>
    <w:rsid w:val="00CB342F"/>
    <w:rsid w:val="00CB6F89"/>
    <w:rsid w:val="00CC0908"/>
    <w:rsid w:val="00CC0AE9"/>
    <w:rsid w:val="00CC31E2"/>
    <w:rsid w:val="00CC323A"/>
    <w:rsid w:val="00CC48E1"/>
    <w:rsid w:val="00CC4E9C"/>
    <w:rsid w:val="00CC5018"/>
    <w:rsid w:val="00CC51C3"/>
    <w:rsid w:val="00CC67AB"/>
    <w:rsid w:val="00CC69AD"/>
    <w:rsid w:val="00CD0626"/>
    <w:rsid w:val="00CD3727"/>
    <w:rsid w:val="00CE08EA"/>
    <w:rsid w:val="00CE228C"/>
    <w:rsid w:val="00CE38B2"/>
    <w:rsid w:val="00CE393E"/>
    <w:rsid w:val="00CE5893"/>
    <w:rsid w:val="00CE6FA0"/>
    <w:rsid w:val="00CE71D9"/>
    <w:rsid w:val="00CF1152"/>
    <w:rsid w:val="00CF263B"/>
    <w:rsid w:val="00CF545B"/>
    <w:rsid w:val="00CF5C63"/>
    <w:rsid w:val="00CF6393"/>
    <w:rsid w:val="00CF64F5"/>
    <w:rsid w:val="00D0584F"/>
    <w:rsid w:val="00D07531"/>
    <w:rsid w:val="00D10ABA"/>
    <w:rsid w:val="00D11329"/>
    <w:rsid w:val="00D16648"/>
    <w:rsid w:val="00D16B52"/>
    <w:rsid w:val="00D209A7"/>
    <w:rsid w:val="00D21E22"/>
    <w:rsid w:val="00D246DC"/>
    <w:rsid w:val="00D24DEB"/>
    <w:rsid w:val="00D26122"/>
    <w:rsid w:val="00D27D69"/>
    <w:rsid w:val="00D30910"/>
    <w:rsid w:val="00D33658"/>
    <w:rsid w:val="00D35C44"/>
    <w:rsid w:val="00D4205C"/>
    <w:rsid w:val="00D42A01"/>
    <w:rsid w:val="00D4442C"/>
    <w:rsid w:val="00D448C2"/>
    <w:rsid w:val="00D463CE"/>
    <w:rsid w:val="00D56DEF"/>
    <w:rsid w:val="00D5736C"/>
    <w:rsid w:val="00D614B0"/>
    <w:rsid w:val="00D628B5"/>
    <w:rsid w:val="00D63DD9"/>
    <w:rsid w:val="00D63F70"/>
    <w:rsid w:val="00D640CB"/>
    <w:rsid w:val="00D66102"/>
    <w:rsid w:val="00D666C3"/>
    <w:rsid w:val="00D66959"/>
    <w:rsid w:val="00D66AD4"/>
    <w:rsid w:val="00D6773C"/>
    <w:rsid w:val="00D67E93"/>
    <w:rsid w:val="00D67F9C"/>
    <w:rsid w:val="00D778C7"/>
    <w:rsid w:val="00D80CCB"/>
    <w:rsid w:val="00D849A5"/>
    <w:rsid w:val="00D84DB7"/>
    <w:rsid w:val="00D8500F"/>
    <w:rsid w:val="00D85C14"/>
    <w:rsid w:val="00D9189F"/>
    <w:rsid w:val="00D92026"/>
    <w:rsid w:val="00D94E0E"/>
    <w:rsid w:val="00D96896"/>
    <w:rsid w:val="00DA11FB"/>
    <w:rsid w:val="00DA23D2"/>
    <w:rsid w:val="00DA26A1"/>
    <w:rsid w:val="00DA47B3"/>
    <w:rsid w:val="00DA5FE3"/>
    <w:rsid w:val="00DA7E10"/>
    <w:rsid w:val="00DC5EC3"/>
    <w:rsid w:val="00DF00A4"/>
    <w:rsid w:val="00DF3678"/>
    <w:rsid w:val="00DF3F1C"/>
    <w:rsid w:val="00DF4403"/>
    <w:rsid w:val="00DF47FE"/>
    <w:rsid w:val="00DF734F"/>
    <w:rsid w:val="00E0156A"/>
    <w:rsid w:val="00E05786"/>
    <w:rsid w:val="00E101D9"/>
    <w:rsid w:val="00E1031D"/>
    <w:rsid w:val="00E105CC"/>
    <w:rsid w:val="00E13D64"/>
    <w:rsid w:val="00E222BD"/>
    <w:rsid w:val="00E22693"/>
    <w:rsid w:val="00E228D3"/>
    <w:rsid w:val="00E2388A"/>
    <w:rsid w:val="00E23F1C"/>
    <w:rsid w:val="00E2589A"/>
    <w:rsid w:val="00E26704"/>
    <w:rsid w:val="00E276C8"/>
    <w:rsid w:val="00E30070"/>
    <w:rsid w:val="00E31431"/>
    <w:rsid w:val="00E31980"/>
    <w:rsid w:val="00E34F25"/>
    <w:rsid w:val="00E351E1"/>
    <w:rsid w:val="00E41B61"/>
    <w:rsid w:val="00E43CD3"/>
    <w:rsid w:val="00E54A4B"/>
    <w:rsid w:val="00E56EE8"/>
    <w:rsid w:val="00E57D38"/>
    <w:rsid w:val="00E613EB"/>
    <w:rsid w:val="00E6423C"/>
    <w:rsid w:val="00E652F3"/>
    <w:rsid w:val="00E6728B"/>
    <w:rsid w:val="00E67967"/>
    <w:rsid w:val="00E7434D"/>
    <w:rsid w:val="00E759B9"/>
    <w:rsid w:val="00E759D5"/>
    <w:rsid w:val="00E76209"/>
    <w:rsid w:val="00E76FE2"/>
    <w:rsid w:val="00E84A7C"/>
    <w:rsid w:val="00E8699B"/>
    <w:rsid w:val="00E86BA4"/>
    <w:rsid w:val="00E917BA"/>
    <w:rsid w:val="00E93830"/>
    <w:rsid w:val="00E93E0E"/>
    <w:rsid w:val="00E9531E"/>
    <w:rsid w:val="00E95401"/>
    <w:rsid w:val="00E95C1A"/>
    <w:rsid w:val="00EA0D1B"/>
    <w:rsid w:val="00EA29DE"/>
    <w:rsid w:val="00EB0CB6"/>
    <w:rsid w:val="00EB1773"/>
    <w:rsid w:val="00EB1ED3"/>
    <w:rsid w:val="00EB3C66"/>
    <w:rsid w:val="00EC13C5"/>
    <w:rsid w:val="00EC46F6"/>
    <w:rsid w:val="00EC6F96"/>
    <w:rsid w:val="00ED1221"/>
    <w:rsid w:val="00ED1B0A"/>
    <w:rsid w:val="00ED23FF"/>
    <w:rsid w:val="00ED4529"/>
    <w:rsid w:val="00ED51FA"/>
    <w:rsid w:val="00EE129C"/>
    <w:rsid w:val="00EE743B"/>
    <w:rsid w:val="00EE7761"/>
    <w:rsid w:val="00EE7EF3"/>
    <w:rsid w:val="00EF7715"/>
    <w:rsid w:val="00F00DF7"/>
    <w:rsid w:val="00F02B97"/>
    <w:rsid w:val="00F03F70"/>
    <w:rsid w:val="00F07AA3"/>
    <w:rsid w:val="00F10D82"/>
    <w:rsid w:val="00F12027"/>
    <w:rsid w:val="00F14195"/>
    <w:rsid w:val="00F24FC0"/>
    <w:rsid w:val="00F27244"/>
    <w:rsid w:val="00F31CAB"/>
    <w:rsid w:val="00F326EC"/>
    <w:rsid w:val="00F3618A"/>
    <w:rsid w:val="00F36442"/>
    <w:rsid w:val="00F3735F"/>
    <w:rsid w:val="00F40045"/>
    <w:rsid w:val="00F428FF"/>
    <w:rsid w:val="00F42D20"/>
    <w:rsid w:val="00F45C55"/>
    <w:rsid w:val="00F5038F"/>
    <w:rsid w:val="00F51163"/>
    <w:rsid w:val="00F518BD"/>
    <w:rsid w:val="00F527C9"/>
    <w:rsid w:val="00F52CE9"/>
    <w:rsid w:val="00F54ABB"/>
    <w:rsid w:val="00F55F3D"/>
    <w:rsid w:val="00F605A3"/>
    <w:rsid w:val="00F612FE"/>
    <w:rsid w:val="00F6528D"/>
    <w:rsid w:val="00F65646"/>
    <w:rsid w:val="00F75F2A"/>
    <w:rsid w:val="00F80EE2"/>
    <w:rsid w:val="00F8317C"/>
    <w:rsid w:val="00F84CBE"/>
    <w:rsid w:val="00F926AB"/>
    <w:rsid w:val="00F963D3"/>
    <w:rsid w:val="00FA003C"/>
    <w:rsid w:val="00FA2231"/>
    <w:rsid w:val="00FA5835"/>
    <w:rsid w:val="00FA650C"/>
    <w:rsid w:val="00FB0A6C"/>
    <w:rsid w:val="00FB24CB"/>
    <w:rsid w:val="00FB2758"/>
    <w:rsid w:val="00FB29D0"/>
    <w:rsid w:val="00FB60F4"/>
    <w:rsid w:val="00FB687C"/>
    <w:rsid w:val="00FB7802"/>
    <w:rsid w:val="00FC1196"/>
    <w:rsid w:val="00FC3759"/>
    <w:rsid w:val="00FC3A91"/>
    <w:rsid w:val="00FC6EC8"/>
    <w:rsid w:val="00FD0617"/>
    <w:rsid w:val="00FD17A6"/>
    <w:rsid w:val="00FD499C"/>
    <w:rsid w:val="00FE62C8"/>
    <w:rsid w:val="00FF19F0"/>
    <w:rsid w:val="00FF24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D19A0D0"/>
  <w15:docId w15:val="{6A28C59D-B4FC-4246-848E-8A37C3D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10B-4DFA-495B-BBBB-7A97DD83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426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Cuřínová Petra</cp:lastModifiedBy>
  <cp:revision>51</cp:revision>
  <cp:lastPrinted>2021-11-03T15:25:00Z</cp:lastPrinted>
  <dcterms:created xsi:type="dcterms:W3CDTF">2021-10-04T04:52:00Z</dcterms:created>
  <dcterms:modified xsi:type="dcterms:W3CDTF">2021-11-05T09:09:00Z</dcterms:modified>
</cp:coreProperties>
</file>