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304176" w:rsidP="00867569">
      <w:pPr>
        <w:pStyle w:val="Datum"/>
      </w:pPr>
      <w:proofErr w:type="gramStart"/>
      <w:r>
        <w:t>1.7.2015</w:t>
      </w:r>
      <w:proofErr w:type="gramEnd"/>
    </w:p>
    <w:p w:rsidR="008B3970" w:rsidRDefault="00304176" w:rsidP="008B3970">
      <w:pPr>
        <w:pStyle w:val="Nzev"/>
      </w:pPr>
      <w:r>
        <w:t>Deficit a dluh vládních institucí – 1. čtvrtletí 2015</w:t>
      </w:r>
    </w:p>
    <w:p w:rsidR="008B3970" w:rsidRPr="008B3970" w:rsidRDefault="00CC6422" w:rsidP="008B3970">
      <w:pPr>
        <w:pStyle w:val="Podtitulek"/>
        <w:rPr>
          <w:color w:val="BD1B21"/>
        </w:rPr>
      </w:pPr>
      <w:r>
        <w:t>Deficit meziročně poklesl, dluh na stabilizované úrovni</w:t>
      </w:r>
    </w:p>
    <w:p w:rsidR="00EB44BC" w:rsidRDefault="00EB44BC" w:rsidP="00043BF4">
      <w:r w:rsidRPr="008D7FDA">
        <w:rPr>
          <w:b/>
        </w:rPr>
        <w:t xml:space="preserve">Deficit </w:t>
      </w:r>
      <w:r w:rsidR="00474A48">
        <w:rPr>
          <w:b/>
        </w:rPr>
        <w:t xml:space="preserve">sektoru </w:t>
      </w:r>
      <w:r w:rsidRPr="008D7FDA">
        <w:rPr>
          <w:b/>
        </w:rPr>
        <w:t>vládních institucí</w:t>
      </w:r>
      <w:r>
        <w:t xml:space="preserve"> v prvním čtvrtletí 2015 dosáhl úrovně </w:t>
      </w:r>
      <w:r w:rsidRPr="008D7FDA">
        <w:rPr>
          <w:b/>
        </w:rPr>
        <w:t>1,</w:t>
      </w:r>
      <w:r w:rsidR="00B7682C">
        <w:rPr>
          <w:b/>
        </w:rPr>
        <w:t>5</w:t>
      </w:r>
      <w:r w:rsidR="00D208F1">
        <w:rPr>
          <w:b/>
        </w:rPr>
        <w:t>6</w:t>
      </w:r>
      <w:r w:rsidRPr="008D7FDA">
        <w:rPr>
          <w:b/>
        </w:rPr>
        <w:t xml:space="preserve"> % HDP</w:t>
      </w:r>
      <w:r>
        <w:t>. Ve srovnání se stejným obdobím minulého roku došlo ke snížení deficitu o</w:t>
      </w:r>
      <w:r w:rsidR="00C65A6E">
        <w:t xml:space="preserve"> téměř</w:t>
      </w:r>
      <w:r>
        <w:t xml:space="preserve"> 2,</w:t>
      </w:r>
      <w:r w:rsidR="00C65A6E">
        <w:t>3</w:t>
      </w:r>
      <w:r>
        <w:t xml:space="preserve"> procentního bodu.</w:t>
      </w:r>
      <w:r w:rsidR="008D7FDA">
        <w:t xml:space="preserve"> </w:t>
      </w:r>
      <w:r w:rsidR="002F7846">
        <w:t>Data jsou založena na akruálním principu.</w:t>
      </w:r>
      <w:bookmarkStart w:id="0" w:name="_GoBack"/>
      <w:bookmarkEnd w:id="0"/>
    </w:p>
    <w:p w:rsidR="00A94B28" w:rsidRDefault="00A94B28" w:rsidP="00043BF4"/>
    <w:p w:rsidR="00A94B28" w:rsidRPr="00043BF4" w:rsidRDefault="00A94B28" w:rsidP="00A94B28">
      <w:pPr>
        <w:pStyle w:val="TabulkaGraf"/>
      </w:pPr>
      <w:r>
        <w:t xml:space="preserve">Saldo hospodaření sektoru vládních institucí, Česká </w:t>
      </w:r>
      <w:proofErr w:type="gramStart"/>
      <w:r w:rsidR="00B7752A">
        <w:t>republika, 1.Q 2014</w:t>
      </w:r>
      <w:proofErr w:type="gramEnd"/>
      <w:r w:rsidR="00B85D5E">
        <w:t xml:space="preserve"> </w:t>
      </w:r>
      <w:r>
        <w:t>-</w:t>
      </w:r>
      <w:r w:rsidR="00B85D5E">
        <w:t xml:space="preserve"> </w:t>
      </w:r>
      <w:r>
        <w:t>1.Q</w:t>
      </w:r>
      <w:r w:rsidR="00990C86">
        <w:t xml:space="preserve"> </w:t>
      </w:r>
      <w:r>
        <w:t>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156"/>
        <w:gridCol w:w="973"/>
        <w:gridCol w:w="993"/>
        <w:gridCol w:w="993"/>
        <w:gridCol w:w="993"/>
        <w:gridCol w:w="993"/>
      </w:tblGrid>
      <w:tr w:rsidR="008D7FDA" w:rsidTr="008D7FDA">
        <w:tc>
          <w:tcPr>
            <w:tcW w:w="2518" w:type="dxa"/>
            <w:vMerge w:val="restart"/>
            <w:vAlign w:val="center"/>
          </w:tcPr>
          <w:p w:rsidR="008D7FDA" w:rsidRDefault="008D7FDA" w:rsidP="008D7FDA">
            <w:pPr>
              <w:jc w:val="center"/>
            </w:pPr>
          </w:p>
        </w:tc>
        <w:tc>
          <w:tcPr>
            <w:tcW w:w="1156" w:type="dxa"/>
            <w:vMerge w:val="restart"/>
            <w:vAlign w:val="center"/>
          </w:tcPr>
          <w:p w:rsidR="008D7FDA" w:rsidRDefault="008D7FDA" w:rsidP="008D7FDA">
            <w:pPr>
              <w:jc w:val="center"/>
            </w:pPr>
            <w:r>
              <w:t>Jednotka</w:t>
            </w:r>
          </w:p>
        </w:tc>
        <w:tc>
          <w:tcPr>
            <w:tcW w:w="3952" w:type="dxa"/>
            <w:gridSpan w:val="4"/>
          </w:tcPr>
          <w:p w:rsidR="008D7FDA" w:rsidRDefault="008D7FDA" w:rsidP="008D7FDA">
            <w:pPr>
              <w:jc w:val="center"/>
            </w:pPr>
            <w:r>
              <w:t>2014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2015</w:t>
            </w:r>
          </w:p>
        </w:tc>
      </w:tr>
      <w:tr w:rsidR="008D7FDA" w:rsidTr="008D7FDA">
        <w:tc>
          <w:tcPr>
            <w:tcW w:w="2518" w:type="dxa"/>
            <w:vMerge/>
          </w:tcPr>
          <w:p w:rsidR="008D7FDA" w:rsidRDefault="008D7FDA" w:rsidP="00043BF4"/>
        </w:tc>
        <w:tc>
          <w:tcPr>
            <w:tcW w:w="1156" w:type="dxa"/>
            <w:vMerge/>
          </w:tcPr>
          <w:p w:rsidR="008D7FDA" w:rsidRDefault="008D7FDA" w:rsidP="00043BF4"/>
        </w:tc>
        <w:tc>
          <w:tcPr>
            <w:tcW w:w="973" w:type="dxa"/>
          </w:tcPr>
          <w:p w:rsidR="008D7FDA" w:rsidRDefault="008D7FDA" w:rsidP="008D7FDA">
            <w:pPr>
              <w:jc w:val="center"/>
            </w:pPr>
            <w:r>
              <w:t>1.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2.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3.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4.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1. čtvrtletí</w:t>
            </w:r>
          </w:p>
        </w:tc>
      </w:tr>
      <w:tr w:rsidR="008D7FDA" w:rsidTr="008D7FDA">
        <w:tc>
          <w:tcPr>
            <w:tcW w:w="2518" w:type="dxa"/>
            <w:vMerge w:val="restart"/>
          </w:tcPr>
          <w:p w:rsidR="008D7FDA" w:rsidRDefault="00BF02C9" w:rsidP="00BF02C9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156" w:type="dxa"/>
          </w:tcPr>
          <w:p w:rsidR="008D7FDA" w:rsidRDefault="008D7FDA" w:rsidP="005F0EFC">
            <w:pPr>
              <w:jc w:val="center"/>
            </w:pPr>
            <w:r>
              <w:t>mil. Kč</w:t>
            </w:r>
          </w:p>
        </w:tc>
        <w:tc>
          <w:tcPr>
            <w:tcW w:w="973" w:type="dxa"/>
          </w:tcPr>
          <w:p w:rsidR="008D7FDA" w:rsidRDefault="00B7682C" w:rsidP="00B7682C">
            <w:pPr>
              <w:jc w:val="center"/>
            </w:pPr>
            <w:r>
              <w:t>-37 802</w:t>
            </w:r>
          </w:p>
        </w:tc>
        <w:tc>
          <w:tcPr>
            <w:tcW w:w="993" w:type="dxa"/>
          </w:tcPr>
          <w:p w:rsidR="008D7FDA" w:rsidRDefault="00B7682C" w:rsidP="00B7682C">
            <w:pPr>
              <w:jc w:val="center"/>
            </w:pPr>
            <w:r>
              <w:t>-7 350</w:t>
            </w:r>
          </w:p>
        </w:tc>
        <w:tc>
          <w:tcPr>
            <w:tcW w:w="993" w:type="dxa"/>
          </w:tcPr>
          <w:p w:rsidR="008D7FDA" w:rsidRDefault="00B7682C" w:rsidP="00B7682C">
            <w:pPr>
              <w:jc w:val="center"/>
            </w:pPr>
            <w:r>
              <w:t>-2 534</w:t>
            </w:r>
          </w:p>
        </w:tc>
        <w:tc>
          <w:tcPr>
            <w:tcW w:w="993" w:type="dxa"/>
          </w:tcPr>
          <w:p w:rsidR="008D7FDA" w:rsidRDefault="00B7682C" w:rsidP="00B56382">
            <w:pPr>
              <w:jc w:val="center"/>
            </w:pPr>
            <w:r>
              <w:t xml:space="preserve">-36 </w:t>
            </w:r>
            <w:r w:rsidR="00B56382">
              <w:t>87</w:t>
            </w:r>
            <w:r>
              <w:t>2</w:t>
            </w:r>
          </w:p>
        </w:tc>
        <w:tc>
          <w:tcPr>
            <w:tcW w:w="993" w:type="dxa"/>
          </w:tcPr>
          <w:p w:rsidR="008D7FDA" w:rsidRDefault="00C135E6" w:rsidP="00D208F1">
            <w:pPr>
              <w:jc w:val="center"/>
            </w:pPr>
            <w:r>
              <w:t xml:space="preserve">-16 </w:t>
            </w:r>
            <w:r w:rsidR="00B7682C">
              <w:t>0</w:t>
            </w:r>
            <w:r w:rsidR="00D208F1">
              <w:t>96</w:t>
            </w:r>
          </w:p>
        </w:tc>
      </w:tr>
      <w:tr w:rsidR="008D7FDA" w:rsidTr="008D7FDA">
        <w:tc>
          <w:tcPr>
            <w:tcW w:w="2518" w:type="dxa"/>
            <w:vMerge/>
          </w:tcPr>
          <w:p w:rsidR="008D7FDA" w:rsidRDefault="008D7FDA" w:rsidP="00043BF4"/>
        </w:tc>
        <w:tc>
          <w:tcPr>
            <w:tcW w:w="1156" w:type="dxa"/>
          </w:tcPr>
          <w:p w:rsidR="008D7FDA" w:rsidRDefault="008D7FDA" w:rsidP="005F0EFC">
            <w:pPr>
              <w:jc w:val="center"/>
            </w:pPr>
            <w:r>
              <w:t>% (HDP)</w:t>
            </w:r>
          </w:p>
        </w:tc>
        <w:tc>
          <w:tcPr>
            <w:tcW w:w="973" w:type="dxa"/>
          </w:tcPr>
          <w:p w:rsidR="008D7FDA" w:rsidRDefault="00B7682C" w:rsidP="00B7682C">
            <w:pPr>
              <w:jc w:val="center"/>
            </w:pPr>
            <w:r>
              <w:t>-3,84</w:t>
            </w:r>
          </w:p>
        </w:tc>
        <w:tc>
          <w:tcPr>
            <w:tcW w:w="993" w:type="dxa"/>
          </w:tcPr>
          <w:p w:rsidR="008D7FDA" w:rsidRDefault="00B7682C" w:rsidP="00B7682C">
            <w:pPr>
              <w:jc w:val="center"/>
            </w:pPr>
            <w:r>
              <w:t>-0,69</w:t>
            </w:r>
          </w:p>
        </w:tc>
        <w:tc>
          <w:tcPr>
            <w:tcW w:w="993" w:type="dxa"/>
          </w:tcPr>
          <w:p w:rsidR="008D7FDA" w:rsidRDefault="00B7682C" w:rsidP="00B7682C">
            <w:pPr>
              <w:jc w:val="center"/>
            </w:pPr>
            <w:r>
              <w:t>-0,23</w:t>
            </w:r>
          </w:p>
        </w:tc>
        <w:tc>
          <w:tcPr>
            <w:tcW w:w="993" w:type="dxa"/>
          </w:tcPr>
          <w:p w:rsidR="008D7FDA" w:rsidRDefault="00B7682C" w:rsidP="00B7682C">
            <w:pPr>
              <w:jc w:val="center"/>
            </w:pPr>
            <w:r>
              <w:t>-3,29</w:t>
            </w:r>
          </w:p>
        </w:tc>
        <w:tc>
          <w:tcPr>
            <w:tcW w:w="993" w:type="dxa"/>
          </w:tcPr>
          <w:p w:rsidR="008D7FDA" w:rsidRDefault="00B7682C" w:rsidP="00D208F1">
            <w:pPr>
              <w:jc w:val="center"/>
            </w:pPr>
            <w:r>
              <w:t>-1,5</w:t>
            </w:r>
            <w:r w:rsidR="00D208F1">
              <w:t>6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>
        <w:rPr>
          <w:i/>
        </w:rPr>
        <w:t>údaje v tabulce nejsou sezónně očištěny, nelze je srovnávat mezičtvrtletně</w:t>
      </w:r>
    </w:p>
    <w:p w:rsidR="000A18CB" w:rsidRDefault="000A18CB" w:rsidP="00043BF4"/>
    <w:p w:rsidR="00EB44BC" w:rsidRDefault="00C65A6E" w:rsidP="00043BF4">
      <w:r>
        <w:t>Meziročně došlo ke zlepšení hospodaření na úrovni centrální</w:t>
      </w:r>
      <w:r w:rsidR="005B0489">
        <w:t>ch</w:t>
      </w:r>
      <w:r>
        <w:t xml:space="preserve"> a místní</w:t>
      </w:r>
      <w:r w:rsidR="005B0489">
        <w:t>ch</w:t>
      </w:r>
      <w:r>
        <w:t xml:space="preserve"> </w:t>
      </w:r>
      <w:r w:rsidR="005B0489">
        <w:t>vládních institucí</w:t>
      </w:r>
      <w:r>
        <w:t xml:space="preserve">, </w:t>
      </w:r>
      <w:r w:rsidR="00BF02C9">
        <w:t xml:space="preserve">naopak </w:t>
      </w:r>
      <w:r w:rsidR="005B0489">
        <w:t>zdravotní pojišťovny dosáhly oproti stejnému období předchozího roku o 2 mld. nižšího přebytku</w:t>
      </w:r>
      <w:r>
        <w:t>. Meziroční pokles deficitu</w:t>
      </w:r>
      <w:r w:rsidR="00546A7F">
        <w:t xml:space="preserve"> sektoru vládních institucí</w:t>
      </w:r>
      <w:r>
        <w:t xml:space="preserve"> je způsoben zejména faktory na </w:t>
      </w:r>
      <w:r w:rsidR="00DF1723">
        <w:t>straně příjmové</w:t>
      </w:r>
      <w:r w:rsidR="00BF02C9">
        <w:t>,</w:t>
      </w:r>
      <w:r>
        <w:t xml:space="preserve"> </w:t>
      </w:r>
      <w:r w:rsidR="00BF02C9">
        <w:t>n</w:t>
      </w:r>
      <w:r>
        <w:t>a straně výdajové došlo k meziročnímu poklesu objemu vyplacených sociálních dávek a investičních výdajů.</w:t>
      </w:r>
      <w:r w:rsidR="000A18CB">
        <w:t xml:space="preserve"> </w:t>
      </w:r>
    </w:p>
    <w:p w:rsidR="00B632CC" w:rsidRDefault="00B632CC" w:rsidP="00043BF4"/>
    <w:p w:rsidR="00A94B28" w:rsidRDefault="00A94B28" w:rsidP="00A94B28">
      <w:r>
        <w:rPr>
          <w:b/>
        </w:rPr>
        <w:t>Dluh</w:t>
      </w:r>
      <w:r w:rsidRPr="008D7FDA">
        <w:rPr>
          <w:b/>
        </w:rPr>
        <w:t xml:space="preserve"> </w:t>
      </w:r>
      <w:r w:rsidR="00474A48">
        <w:rPr>
          <w:b/>
        </w:rPr>
        <w:t xml:space="preserve">sektoru </w:t>
      </w:r>
      <w:r w:rsidRPr="008D7FDA">
        <w:rPr>
          <w:b/>
        </w:rPr>
        <w:t>vládních institucí</w:t>
      </w:r>
      <w:r>
        <w:t xml:space="preserve"> </w:t>
      </w:r>
      <w:r w:rsidR="00546A7F">
        <w:t xml:space="preserve">poklesl meziročně z úrovně 44,59 na </w:t>
      </w:r>
      <w:r w:rsidR="00A86C04" w:rsidRPr="00474A48">
        <w:rPr>
          <w:b/>
        </w:rPr>
        <w:t>42,</w:t>
      </w:r>
      <w:r w:rsidR="00C3546B" w:rsidRPr="00474A48">
        <w:rPr>
          <w:b/>
        </w:rPr>
        <w:t>40</w:t>
      </w:r>
      <w:r w:rsidR="00474A48" w:rsidRPr="00474A48">
        <w:rPr>
          <w:b/>
        </w:rPr>
        <w:t xml:space="preserve"> % HDP</w:t>
      </w:r>
      <w:r w:rsidR="00546A7F">
        <w:t xml:space="preserve">, </w:t>
      </w:r>
      <w:proofErr w:type="spellStart"/>
      <w:r w:rsidR="00546A7F">
        <w:t>mezičtvrtletně</w:t>
      </w:r>
      <w:proofErr w:type="spellEnd"/>
      <w:r w:rsidR="00546A7F">
        <w:t xml:space="preserve"> poté o </w:t>
      </w:r>
      <w:r w:rsidR="00A86C04">
        <w:t>0,</w:t>
      </w:r>
      <w:r w:rsidR="0036141C">
        <w:t>22</w:t>
      </w:r>
      <w:r w:rsidR="00A86C04">
        <w:t xml:space="preserve"> </w:t>
      </w:r>
      <w:r w:rsidR="00546A7F">
        <w:t>procentního bodu. Klesající úroveň dluhu vládních institucí je výsledkem jak růstu nominálního HDP, tak stabilizací úrovně státního dluhu</w:t>
      </w:r>
      <w:r w:rsidR="00927342">
        <w:t xml:space="preserve">, jenž </w:t>
      </w:r>
      <w:r w:rsidR="005B0489">
        <w:t>tvoří dominantní část celkového dluhu vládních institucí</w:t>
      </w:r>
      <w:r w:rsidR="00546A7F">
        <w:t>.</w:t>
      </w:r>
    </w:p>
    <w:p w:rsidR="00A94B28" w:rsidRDefault="00A94B28" w:rsidP="00A94B28"/>
    <w:p w:rsidR="00A94B28" w:rsidRPr="00043BF4" w:rsidRDefault="00A94B28" w:rsidP="00A94B28">
      <w:pPr>
        <w:pStyle w:val="TabulkaGraf"/>
      </w:pPr>
      <w:r>
        <w:t xml:space="preserve">Dluh sektoru vládních institucí, Česká </w:t>
      </w:r>
      <w:proofErr w:type="gramStart"/>
      <w:r w:rsidR="00B7752A">
        <w:t>republika, 1.Q 2014</w:t>
      </w:r>
      <w:proofErr w:type="gramEnd"/>
      <w:r w:rsidR="00B85D5E">
        <w:t xml:space="preserve"> </w:t>
      </w:r>
      <w:r>
        <w:t>-</w:t>
      </w:r>
      <w:r w:rsidR="00B85D5E">
        <w:t xml:space="preserve"> </w:t>
      </w:r>
      <w:r>
        <w:t>1.Q</w:t>
      </w:r>
      <w:r w:rsidR="00990C86">
        <w:t xml:space="preserve"> </w:t>
      </w:r>
      <w:r>
        <w:t>2015</w:t>
      </w:r>
    </w:p>
    <w:tbl>
      <w:tblPr>
        <w:tblStyle w:val="Mkatabulky"/>
        <w:tblW w:w="8931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70"/>
        <w:gridCol w:w="1170"/>
        <w:gridCol w:w="1204"/>
        <w:gridCol w:w="1168"/>
      </w:tblGrid>
      <w:tr w:rsidR="00A94B28" w:rsidTr="00281B97">
        <w:tc>
          <w:tcPr>
            <w:tcW w:w="1951" w:type="dxa"/>
            <w:vMerge w:val="restart"/>
            <w:vAlign w:val="center"/>
          </w:tcPr>
          <w:p w:rsidR="00A94B28" w:rsidRDefault="00A94B28" w:rsidP="0037269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94B28" w:rsidRDefault="00A94B28" w:rsidP="00372699">
            <w:pPr>
              <w:jc w:val="center"/>
            </w:pPr>
            <w:r>
              <w:t>Jednotka</w:t>
            </w:r>
          </w:p>
        </w:tc>
        <w:tc>
          <w:tcPr>
            <w:tcW w:w="4678" w:type="dxa"/>
            <w:gridSpan w:val="4"/>
          </w:tcPr>
          <w:p w:rsidR="00A94B28" w:rsidRDefault="00A94B28" w:rsidP="00372699">
            <w:pPr>
              <w:jc w:val="center"/>
            </w:pPr>
            <w:r>
              <w:t>2014</w:t>
            </w:r>
          </w:p>
        </w:tc>
        <w:tc>
          <w:tcPr>
            <w:tcW w:w="1168" w:type="dxa"/>
          </w:tcPr>
          <w:p w:rsidR="00A94B28" w:rsidRDefault="00A94B28" w:rsidP="00372699">
            <w:pPr>
              <w:jc w:val="center"/>
            </w:pPr>
            <w:r>
              <w:t>2015</w:t>
            </w:r>
          </w:p>
        </w:tc>
      </w:tr>
      <w:tr w:rsidR="00A94B28" w:rsidTr="00281B97">
        <w:tc>
          <w:tcPr>
            <w:tcW w:w="1951" w:type="dxa"/>
            <w:vMerge/>
          </w:tcPr>
          <w:p w:rsidR="00A94B28" w:rsidRDefault="00A94B28" w:rsidP="00372699"/>
        </w:tc>
        <w:tc>
          <w:tcPr>
            <w:tcW w:w="1134" w:type="dxa"/>
            <w:vMerge/>
          </w:tcPr>
          <w:p w:rsidR="00A94B28" w:rsidRDefault="00A94B28" w:rsidP="00372699"/>
        </w:tc>
        <w:tc>
          <w:tcPr>
            <w:tcW w:w="1134" w:type="dxa"/>
          </w:tcPr>
          <w:p w:rsidR="00A94B28" w:rsidRDefault="00A94B28" w:rsidP="00372699">
            <w:pPr>
              <w:jc w:val="center"/>
            </w:pPr>
            <w:r>
              <w:t>1. čtvrtletí</w:t>
            </w:r>
          </w:p>
        </w:tc>
        <w:tc>
          <w:tcPr>
            <w:tcW w:w="1170" w:type="dxa"/>
          </w:tcPr>
          <w:p w:rsidR="00A94B28" w:rsidRDefault="00A94B28" w:rsidP="00372699">
            <w:pPr>
              <w:jc w:val="center"/>
            </w:pPr>
            <w:r>
              <w:t>2. čtvrtletí</w:t>
            </w:r>
          </w:p>
        </w:tc>
        <w:tc>
          <w:tcPr>
            <w:tcW w:w="1170" w:type="dxa"/>
          </w:tcPr>
          <w:p w:rsidR="00A94B28" w:rsidRDefault="00A94B28" w:rsidP="00372699">
            <w:pPr>
              <w:jc w:val="center"/>
            </w:pPr>
            <w:r>
              <w:t>3. čtvrtletí</w:t>
            </w:r>
          </w:p>
        </w:tc>
        <w:tc>
          <w:tcPr>
            <w:tcW w:w="1204" w:type="dxa"/>
          </w:tcPr>
          <w:p w:rsidR="00A94B28" w:rsidRDefault="00A94B28" w:rsidP="00372699">
            <w:pPr>
              <w:jc w:val="center"/>
            </w:pPr>
            <w:r>
              <w:t>4. čtvrtletí</w:t>
            </w:r>
          </w:p>
        </w:tc>
        <w:tc>
          <w:tcPr>
            <w:tcW w:w="1168" w:type="dxa"/>
          </w:tcPr>
          <w:p w:rsidR="00A94B28" w:rsidRDefault="00A94B28" w:rsidP="00372699">
            <w:pPr>
              <w:jc w:val="center"/>
            </w:pPr>
            <w:r>
              <w:t>1. čtvrtletí</w:t>
            </w:r>
          </w:p>
        </w:tc>
      </w:tr>
      <w:tr w:rsidR="00A94B28" w:rsidTr="005F0EFC">
        <w:tc>
          <w:tcPr>
            <w:tcW w:w="1951" w:type="dxa"/>
            <w:vMerge w:val="restart"/>
          </w:tcPr>
          <w:p w:rsidR="00A94B28" w:rsidRDefault="00EA2DE9" w:rsidP="00372699">
            <w:pPr>
              <w:jc w:val="left"/>
            </w:pPr>
            <w:r>
              <w:rPr>
                <w:rFonts w:cs="Arial"/>
                <w:szCs w:val="20"/>
              </w:rPr>
              <w:t>Konsolidovaný hrubý dluh sektoru vládních institucí</w:t>
            </w:r>
            <w:r w:rsidR="00A94B28" w:rsidRPr="00E155B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94B28" w:rsidRDefault="00A94B28" w:rsidP="005F0EFC">
            <w:pPr>
              <w:jc w:val="center"/>
            </w:pPr>
            <w:r>
              <w:t>mil. Kč</w:t>
            </w:r>
          </w:p>
        </w:tc>
        <w:tc>
          <w:tcPr>
            <w:tcW w:w="1134" w:type="dxa"/>
            <w:vAlign w:val="center"/>
          </w:tcPr>
          <w:p w:rsidR="00A94B28" w:rsidRDefault="00EA2DE9" w:rsidP="00281B97">
            <w:pPr>
              <w:jc w:val="center"/>
            </w:pPr>
            <w:r>
              <w:t>1 836 613</w:t>
            </w:r>
          </w:p>
        </w:tc>
        <w:tc>
          <w:tcPr>
            <w:tcW w:w="1170" w:type="dxa"/>
            <w:vAlign w:val="center"/>
          </w:tcPr>
          <w:p w:rsidR="00A94B28" w:rsidRDefault="00EA2DE9" w:rsidP="00281B97">
            <w:pPr>
              <w:jc w:val="center"/>
            </w:pPr>
            <w:r>
              <w:t>1 817 712</w:t>
            </w:r>
          </w:p>
        </w:tc>
        <w:tc>
          <w:tcPr>
            <w:tcW w:w="1170" w:type="dxa"/>
            <w:vAlign w:val="center"/>
          </w:tcPr>
          <w:p w:rsidR="00A94B28" w:rsidRDefault="00EA2DE9" w:rsidP="00281B97">
            <w:pPr>
              <w:jc w:val="center"/>
            </w:pPr>
            <w:r>
              <w:t>1 821 584</w:t>
            </w:r>
          </w:p>
        </w:tc>
        <w:tc>
          <w:tcPr>
            <w:tcW w:w="1204" w:type="dxa"/>
            <w:vAlign w:val="center"/>
          </w:tcPr>
          <w:p w:rsidR="00A94B28" w:rsidRDefault="00EA2DE9" w:rsidP="00281B97">
            <w:pPr>
              <w:jc w:val="center"/>
            </w:pPr>
            <w:r>
              <w:t>1 816 137</w:t>
            </w:r>
          </w:p>
        </w:tc>
        <w:tc>
          <w:tcPr>
            <w:tcW w:w="1168" w:type="dxa"/>
            <w:vAlign w:val="center"/>
          </w:tcPr>
          <w:p w:rsidR="00A94B28" w:rsidRDefault="00A86C04" w:rsidP="00F75711">
            <w:pPr>
              <w:jc w:val="center"/>
            </w:pPr>
            <w:r>
              <w:t>1</w:t>
            </w:r>
            <w:r w:rsidR="00F75711">
              <w:t> 828 140</w:t>
            </w:r>
          </w:p>
        </w:tc>
      </w:tr>
      <w:tr w:rsidR="00A94B28" w:rsidTr="005F0EFC">
        <w:tc>
          <w:tcPr>
            <w:tcW w:w="1951" w:type="dxa"/>
            <w:vMerge/>
          </w:tcPr>
          <w:p w:rsidR="00A94B28" w:rsidRDefault="00A94B28" w:rsidP="00372699"/>
        </w:tc>
        <w:tc>
          <w:tcPr>
            <w:tcW w:w="1134" w:type="dxa"/>
            <w:vAlign w:val="center"/>
          </w:tcPr>
          <w:p w:rsidR="00A94B28" w:rsidRDefault="00A94B28" w:rsidP="005F0EFC">
            <w:pPr>
              <w:jc w:val="center"/>
            </w:pPr>
            <w:r>
              <w:t>% (HDP)</w:t>
            </w:r>
          </w:p>
        </w:tc>
        <w:tc>
          <w:tcPr>
            <w:tcW w:w="1134" w:type="dxa"/>
            <w:vAlign w:val="center"/>
          </w:tcPr>
          <w:p w:rsidR="00A94B28" w:rsidRDefault="00EA2DE9" w:rsidP="00281B97">
            <w:pPr>
              <w:jc w:val="center"/>
            </w:pPr>
            <w:r>
              <w:t>44,59</w:t>
            </w:r>
          </w:p>
        </w:tc>
        <w:tc>
          <w:tcPr>
            <w:tcW w:w="1170" w:type="dxa"/>
            <w:vAlign w:val="center"/>
          </w:tcPr>
          <w:p w:rsidR="00A94B28" w:rsidRDefault="00EA2DE9" w:rsidP="00281B97">
            <w:pPr>
              <w:jc w:val="center"/>
            </w:pPr>
            <w:r>
              <w:t>43,59</w:t>
            </w:r>
          </w:p>
        </w:tc>
        <w:tc>
          <w:tcPr>
            <w:tcW w:w="1170" w:type="dxa"/>
            <w:vAlign w:val="center"/>
          </w:tcPr>
          <w:p w:rsidR="00A94B28" w:rsidRDefault="00EA2DE9" w:rsidP="00281B97">
            <w:pPr>
              <w:jc w:val="center"/>
            </w:pPr>
            <w:r>
              <w:t>43,08</w:t>
            </w:r>
          </w:p>
        </w:tc>
        <w:tc>
          <w:tcPr>
            <w:tcW w:w="1204" w:type="dxa"/>
            <w:vAlign w:val="center"/>
          </w:tcPr>
          <w:p w:rsidR="00A94B28" w:rsidRDefault="00EA2DE9" w:rsidP="00281B97">
            <w:pPr>
              <w:jc w:val="center"/>
            </w:pPr>
            <w:r>
              <w:t>42,62</w:t>
            </w:r>
          </w:p>
        </w:tc>
        <w:tc>
          <w:tcPr>
            <w:tcW w:w="1168" w:type="dxa"/>
            <w:vAlign w:val="center"/>
          </w:tcPr>
          <w:p w:rsidR="00A94B28" w:rsidRDefault="0036141C" w:rsidP="0036141C">
            <w:pPr>
              <w:jc w:val="center"/>
            </w:pPr>
            <w:r>
              <w:t>42,40</w:t>
            </w:r>
          </w:p>
        </w:tc>
      </w:tr>
    </w:tbl>
    <w:p w:rsidR="00A94B28" w:rsidRDefault="00A94B28" w:rsidP="00A94B28"/>
    <w:p w:rsidR="00546A7F" w:rsidRDefault="00546A7F" w:rsidP="00A94B28">
      <w:r>
        <w:t>Za meziročním nominálním poklesem dluhu stojí zejména klesající závazky ve formě státních dlouhodobých dluhopisů</w:t>
      </w:r>
      <w:r w:rsidR="00712924">
        <w:t xml:space="preserve"> a zapojování volných prostředků v rámci systému řízení likvidity. Podíl jednotlivých instrumentů na celkovém dluhu zůstává na stabilní úrovni s dominantním </w:t>
      </w:r>
      <w:r w:rsidR="0057429D">
        <w:t>zastoupením</w:t>
      </w:r>
      <w:r w:rsidR="00712924">
        <w:t xml:space="preserve"> dluhových cenných papírů (kolem 90 %).</w:t>
      </w:r>
    </w:p>
    <w:p w:rsidR="0005106B" w:rsidRDefault="0005106B" w:rsidP="00A94B28"/>
    <w:p w:rsidR="0005106B" w:rsidRDefault="0064756E" w:rsidP="00A94B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58FB7">
                <wp:simplePos x="0" y="0"/>
                <wp:positionH relativeFrom="column">
                  <wp:posOffset>829310</wp:posOffset>
                </wp:positionH>
                <wp:positionV relativeFrom="paragraph">
                  <wp:posOffset>39370</wp:posOffset>
                </wp:positionV>
                <wp:extent cx="3841750" cy="0"/>
                <wp:effectExtent l="10160" t="10795" r="5715" b="825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5.3pt;margin-top:3.1pt;width:3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em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"/>
            </w:pict>
          </mc:Fallback>
        </mc:AlternateContent>
      </w:r>
    </w:p>
    <w:p w:rsidR="0005106B" w:rsidRDefault="0005106B" w:rsidP="00A94B28"/>
    <w:p w:rsidR="008F7147" w:rsidRDefault="00546A7F" w:rsidP="00043BF4">
      <w:r>
        <w:lastRenderedPageBreak/>
        <w:t>Indikátory salda</w:t>
      </w:r>
      <w:r w:rsidR="0005106B">
        <w:t xml:space="preserve"> hospodaření a dluh</w:t>
      </w:r>
      <w:r>
        <w:t>u</w:t>
      </w:r>
      <w:r w:rsidR="0005106B">
        <w:t xml:space="preserve"> vládních institucí jsou založeny na akruálním principu požadovan</w:t>
      </w:r>
      <w:r w:rsidR="00635BB1">
        <w:t>é</w:t>
      </w:r>
      <w:r w:rsidR="0005106B">
        <w:t>m metodikou ESA2010 a Manuálem</w:t>
      </w:r>
      <w:r w:rsidR="008F7147">
        <w:t xml:space="preserve"> k deficitu a dluhu</w:t>
      </w:r>
      <w:r w:rsidR="0005106B">
        <w:t xml:space="preserve">. </w:t>
      </w:r>
      <w:r w:rsidR="00BB2C9A">
        <w:t xml:space="preserve">Dle akruálního principu </w:t>
      </w:r>
      <w:r w:rsidR="00705916">
        <w:t xml:space="preserve">jsou příjmy a výdaje </w:t>
      </w:r>
      <w:r w:rsidR="00BB2C9A">
        <w:t>přiřazen</w:t>
      </w:r>
      <w:r w:rsidR="00705916">
        <w:t>y</w:t>
      </w:r>
      <w:r w:rsidR="00BB2C9A">
        <w:t xml:space="preserve"> období, se kterým věcně souvisí, </w:t>
      </w:r>
      <w:r w:rsidR="00705916">
        <w:t>bez ohledu na období uskutečnění hotovostního toku</w:t>
      </w:r>
      <w:r w:rsidR="00BB2C9A">
        <w:t xml:space="preserve">. </w:t>
      </w:r>
      <w:r w:rsidR="00506867" w:rsidRPr="00506867">
        <w:rPr>
          <w:rFonts w:cs="Arial"/>
          <w:szCs w:val="20"/>
        </w:rPr>
        <w:t>Přebytek/deficit vládních institucí</w:t>
      </w:r>
      <w:r w:rsidR="00506867" w:rsidRPr="00E155B6">
        <w:rPr>
          <w:rFonts w:cs="Arial"/>
          <w:szCs w:val="20"/>
        </w:rPr>
        <w:t xml:space="preserve"> </w:t>
      </w:r>
      <w:r w:rsidR="00506867">
        <w:rPr>
          <w:rFonts w:cs="Arial"/>
          <w:szCs w:val="20"/>
        </w:rPr>
        <w:t>představuje výši</w:t>
      </w:r>
      <w:r w:rsidR="00506867" w:rsidRPr="00E155B6">
        <w:rPr>
          <w:rFonts w:cs="Arial"/>
          <w:szCs w:val="20"/>
        </w:rPr>
        <w:t xml:space="preserve"> čistých půjček (+) nebo výpůjček (-) v systému národního účetnictví. </w:t>
      </w:r>
      <w:r w:rsidR="0005106B">
        <w:t xml:space="preserve">Uvedené údaje jsou v metodickém souladu s údaji sloužícími pro účely EDP a pro hodnocení plnění maastrichtských kritérií. </w:t>
      </w:r>
    </w:p>
    <w:p w:rsidR="00A94B28" w:rsidRDefault="0005106B" w:rsidP="00043BF4">
      <w:r>
        <w:t xml:space="preserve">Saldo hospodaření v daném čtvrtletí je porovnáno s výší HDP </w:t>
      </w:r>
      <w:r w:rsidR="00C3546B">
        <w:t xml:space="preserve">v daném čtvrtletí </w:t>
      </w:r>
      <w:r>
        <w:t xml:space="preserve">v běžných cenách. Výše </w:t>
      </w:r>
      <w:r w:rsidR="00712924">
        <w:t xml:space="preserve">konsolidovaného </w:t>
      </w:r>
      <w:r>
        <w:t>dluhu vládních institucí</w:t>
      </w:r>
      <w:r w:rsidR="00712924">
        <w:t xml:space="preserve"> definovaného jako</w:t>
      </w:r>
      <w:r>
        <w:t xml:space="preserve"> </w:t>
      </w:r>
      <w:r w:rsidR="00712924">
        <w:t>součet položek Vklady a oběživo, Dluhové cenné papíry a</w:t>
      </w:r>
      <w:r w:rsidR="00F75711">
        <w:t xml:space="preserve"> </w:t>
      </w:r>
      <w:r w:rsidR="00712924">
        <w:t xml:space="preserve">Půjčky, </w:t>
      </w:r>
      <w:r>
        <w:t xml:space="preserve">je porovnána s výší HDP, jež je součtem HDP v běžných cenách za poslední čtyři čtvrtletí. </w:t>
      </w:r>
      <w:r w:rsidR="00A12EB7">
        <w:t>Údaje o saldu hospodaření a dluhu vládních institucí jsou součástí tabulek Transmisního programu (tabulka 25 a tabulka 2</w:t>
      </w:r>
      <w:r w:rsidR="00545931">
        <w:t>8</w:t>
      </w:r>
      <w:r w:rsidR="00A12EB7">
        <w:t>) publikovaných na stránkách ČSÚ</w:t>
      </w:r>
      <w:r w:rsidR="00AE305A">
        <w:t xml:space="preserve"> v sekci „HDP, </w:t>
      </w:r>
      <w:r w:rsidR="00AD1D04">
        <w:t>N</w:t>
      </w:r>
      <w:r w:rsidR="00990C86">
        <w:t>árodní účty“ (</w:t>
      </w:r>
      <w:hyperlink r:id="rId8" w:history="1">
        <w:r w:rsidR="00990C86" w:rsidRPr="00990C86">
          <w:rPr>
            <w:rStyle w:val="Hypertextovodkaz"/>
            <w:i/>
          </w:rPr>
          <w:t>http://apl.czso.cz/pll/rocenka/rocenka.indexnu_gov</w:t>
        </w:r>
      </w:hyperlink>
      <w:r w:rsidR="00990C86">
        <w:t>)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EA2DE9" w:rsidRPr="00F665DC" w:rsidRDefault="00EA2DE9" w:rsidP="00EA2DE9">
      <w:r w:rsidRPr="00F665DC">
        <w:rPr>
          <w:i/>
          <w:iCs/>
        </w:rPr>
        <w:t xml:space="preserve">Zodpovědný vedoucí pracovník ČSÚ: </w:t>
      </w:r>
      <w:r>
        <w:rPr>
          <w:i/>
          <w:iCs/>
        </w:rPr>
        <w:t>Ing. Václav Rybáček, Ph.D.</w:t>
      </w:r>
      <w:r w:rsidRPr="00F665DC">
        <w:rPr>
          <w:i/>
          <w:iCs/>
        </w:rPr>
        <w:t>, tel.: 274052</w:t>
      </w:r>
      <w:r>
        <w:rPr>
          <w:i/>
          <w:iCs/>
        </w:rPr>
        <w:t>5</w:t>
      </w:r>
      <w:r w:rsidRPr="00F665DC">
        <w:rPr>
          <w:i/>
          <w:iCs/>
        </w:rPr>
        <w:t>9</w:t>
      </w:r>
      <w:r>
        <w:rPr>
          <w:i/>
          <w:iCs/>
        </w:rPr>
        <w:t>6</w:t>
      </w:r>
      <w:r w:rsidRPr="00F665DC">
        <w:rPr>
          <w:i/>
          <w:iCs/>
        </w:rPr>
        <w:t xml:space="preserve">, e-mail: </w:t>
      </w:r>
      <w:hyperlink r:id="rId9" w:history="1">
        <w:r w:rsidRPr="000249DE">
          <w:rPr>
            <w:rStyle w:val="Hypertextovodkaz"/>
            <w:i/>
            <w:iCs/>
          </w:rPr>
          <w:t>vaclav.rybacek@czso.cz</w:t>
        </w:r>
      </w:hyperlink>
      <w:r w:rsidRPr="00F665DC">
        <w:br/>
      </w:r>
      <w:r w:rsidRPr="00F665DC">
        <w:rPr>
          <w:i/>
          <w:iCs/>
        </w:rPr>
        <w:t xml:space="preserve">Kontaktní osoba: </w:t>
      </w:r>
      <w:r>
        <w:rPr>
          <w:i/>
          <w:iCs/>
        </w:rPr>
        <w:t>Ing. Marie Trejbalová</w:t>
      </w:r>
      <w:r w:rsidRPr="00F665DC">
        <w:rPr>
          <w:i/>
          <w:iCs/>
        </w:rPr>
        <w:t>, tel.: 27405</w:t>
      </w:r>
      <w:r w:rsidR="00712924">
        <w:rPr>
          <w:i/>
          <w:iCs/>
        </w:rPr>
        <w:t>2706</w:t>
      </w:r>
      <w:r w:rsidRPr="00F665DC">
        <w:rPr>
          <w:i/>
          <w:iCs/>
        </w:rPr>
        <w:t xml:space="preserve">, e-mail: </w:t>
      </w:r>
      <w:hyperlink r:id="rId10" w:history="1">
        <w:r w:rsidRPr="000249DE">
          <w:rPr>
            <w:rStyle w:val="Hypertextovodkaz"/>
            <w:i/>
            <w:iCs/>
          </w:rPr>
          <w:t>marie.trejbalova@czso.cz</w:t>
        </w:r>
      </w:hyperlink>
      <w:r w:rsidRPr="00F665DC">
        <w:br/>
      </w:r>
      <w:r w:rsidRPr="00F665DC">
        <w:rPr>
          <w:i/>
          <w:iCs/>
        </w:rPr>
        <w:t xml:space="preserve">Termín zveřejnění další RI: 1. </w:t>
      </w:r>
      <w:r>
        <w:rPr>
          <w:i/>
          <w:iCs/>
        </w:rPr>
        <w:t>10. 2015</w:t>
      </w:r>
    </w:p>
    <w:p w:rsidR="00EA2DE9" w:rsidRPr="00EA2DE9" w:rsidRDefault="00EA2DE9" w:rsidP="00EA2DE9"/>
    <w:sectPr w:rsidR="00EA2DE9" w:rsidRPr="00EA2DE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70" w:rsidRDefault="00C52870" w:rsidP="00BA6370">
      <w:r>
        <w:separator/>
      </w:r>
    </w:p>
  </w:endnote>
  <w:endnote w:type="continuationSeparator" w:id="0">
    <w:p w:rsidR="00C52870" w:rsidRDefault="00C528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F784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F784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70" w:rsidRDefault="00C52870" w:rsidP="00BA6370">
      <w:r>
        <w:separator/>
      </w:r>
    </w:p>
  </w:footnote>
  <w:footnote w:type="continuationSeparator" w:id="0">
    <w:p w:rsidR="00C52870" w:rsidRDefault="00C5287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6"/>
    <w:rsid w:val="00024DDA"/>
    <w:rsid w:val="00031874"/>
    <w:rsid w:val="00043BF4"/>
    <w:rsid w:val="0005106B"/>
    <w:rsid w:val="000843A5"/>
    <w:rsid w:val="000910DA"/>
    <w:rsid w:val="00096D6C"/>
    <w:rsid w:val="000A18CB"/>
    <w:rsid w:val="000B6F63"/>
    <w:rsid w:val="000D093F"/>
    <w:rsid w:val="000E43CC"/>
    <w:rsid w:val="001404AB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81B97"/>
    <w:rsid w:val="002B2E47"/>
    <w:rsid w:val="002F7846"/>
    <w:rsid w:val="00304176"/>
    <w:rsid w:val="003301A3"/>
    <w:rsid w:val="0036141C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4A48"/>
    <w:rsid w:val="004920AD"/>
    <w:rsid w:val="004D05B3"/>
    <w:rsid w:val="004D7CFA"/>
    <w:rsid w:val="004E479E"/>
    <w:rsid w:val="004F686C"/>
    <w:rsid w:val="004F78E6"/>
    <w:rsid w:val="0050420E"/>
    <w:rsid w:val="00506867"/>
    <w:rsid w:val="00512D99"/>
    <w:rsid w:val="00531DBB"/>
    <w:rsid w:val="00545931"/>
    <w:rsid w:val="00546A7F"/>
    <w:rsid w:val="005543FD"/>
    <w:rsid w:val="00573994"/>
    <w:rsid w:val="0057429D"/>
    <w:rsid w:val="005B0489"/>
    <w:rsid w:val="005F0EFC"/>
    <w:rsid w:val="005F79FB"/>
    <w:rsid w:val="00604406"/>
    <w:rsid w:val="00605F4A"/>
    <w:rsid w:val="00607822"/>
    <w:rsid w:val="006103AA"/>
    <w:rsid w:val="00613BBF"/>
    <w:rsid w:val="00622B80"/>
    <w:rsid w:val="00635BB1"/>
    <w:rsid w:val="0064139A"/>
    <w:rsid w:val="0064756E"/>
    <w:rsid w:val="006931CF"/>
    <w:rsid w:val="006E024F"/>
    <w:rsid w:val="006E4E81"/>
    <w:rsid w:val="00705916"/>
    <w:rsid w:val="00707F7D"/>
    <w:rsid w:val="00712924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85B92"/>
    <w:rsid w:val="008A750A"/>
    <w:rsid w:val="008B3970"/>
    <w:rsid w:val="008C384C"/>
    <w:rsid w:val="008D0F11"/>
    <w:rsid w:val="008D7FDA"/>
    <w:rsid w:val="008F7147"/>
    <w:rsid w:val="008F73B4"/>
    <w:rsid w:val="00927342"/>
    <w:rsid w:val="00986DD7"/>
    <w:rsid w:val="00990C86"/>
    <w:rsid w:val="009B026E"/>
    <w:rsid w:val="009B55B1"/>
    <w:rsid w:val="00A0762A"/>
    <w:rsid w:val="00A12EB7"/>
    <w:rsid w:val="00A4343D"/>
    <w:rsid w:val="00A502F1"/>
    <w:rsid w:val="00A70A83"/>
    <w:rsid w:val="00A81EB3"/>
    <w:rsid w:val="00A86C04"/>
    <w:rsid w:val="00A94B28"/>
    <w:rsid w:val="00AB3410"/>
    <w:rsid w:val="00AD1D04"/>
    <w:rsid w:val="00AD5011"/>
    <w:rsid w:val="00AE305A"/>
    <w:rsid w:val="00B00C1D"/>
    <w:rsid w:val="00B55375"/>
    <w:rsid w:val="00B56382"/>
    <w:rsid w:val="00B632CC"/>
    <w:rsid w:val="00B7682C"/>
    <w:rsid w:val="00B7752A"/>
    <w:rsid w:val="00B85D5E"/>
    <w:rsid w:val="00BA12F1"/>
    <w:rsid w:val="00BA439F"/>
    <w:rsid w:val="00BA6370"/>
    <w:rsid w:val="00BB2C9A"/>
    <w:rsid w:val="00BF02C9"/>
    <w:rsid w:val="00C135E6"/>
    <w:rsid w:val="00C269D4"/>
    <w:rsid w:val="00C3546B"/>
    <w:rsid w:val="00C37ADB"/>
    <w:rsid w:val="00C4160D"/>
    <w:rsid w:val="00C52870"/>
    <w:rsid w:val="00C65A6E"/>
    <w:rsid w:val="00C8406E"/>
    <w:rsid w:val="00CB2709"/>
    <w:rsid w:val="00CB6F89"/>
    <w:rsid w:val="00CC0AE9"/>
    <w:rsid w:val="00CC6422"/>
    <w:rsid w:val="00CE228C"/>
    <w:rsid w:val="00CE71D9"/>
    <w:rsid w:val="00CF545B"/>
    <w:rsid w:val="00D208F1"/>
    <w:rsid w:val="00D209A7"/>
    <w:rsid w:val="00D27D69"/>
    <w:rsid w:val="00D33658"/>
    <w:rsid w:val="00D448C2"/>
    <w:rsid w:val="00D666C3"/>
    <w:rsid w:val="00D9189F"/>
    <w:rsid w:val="00DF1723"/>
    <w:rsid w:val="00DF47FE"/>
    <w:rsid w:val="00E0156A"/>
    <w:rsid w:val="00E26704"/>
    <w:rsid w:val="00E31980"/>
    <w:rsid w:val="00E6423C"/>
    <w:rsid w:val="00E93830"/>
    <w:rsid w:val="00E93E0E"/>
    <w:rsid w:val="00EA2DE9"/>
    <w:rsid w:val="00EB1ED3"/>
    <w:rsid w:val="00EB44BC"/>
    <w:rsid w:val="00EE06E6"/>
    <w:rsid w:val="00F75711"/>
    <w:rsid w:val="00F75F2A"/>
    <w:rsid w:val="00FB1DDD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.indexnu_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e.trejbal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rybac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vl&#225;da\RYCHL&#193;%20INFORMACE%20-%20Q%20deficit%20a%20dluh\1Q%20%202015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B602-F427-4AE6-9C0F-845B046E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100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VasikaZuzanka</cp:lastModifiedBy>
  <cp:revision>15</cp:revision>
  <cp:lastPrinted>2015-06-30T05:58:00Z</cp:lastPrinted>
  <dcterms:created xsi:type="dcterms:W3CDTF">2015-06-30T05:50:00Z</dcterms:created>
  <dcterms:modified xsi:type="dcterms:W3CDTF">2015-06-30T16:05:00Z</dcterms:modified>
</cp:coreProperties>
</file>