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7488B" w14:textId="4DE7BED0" w:rsidR="0095341A" w:rsidRDefault="001E1A6F" w:rsidP="00AB468D">
      <w:pPr>
        <w:pStyle w:val="Datum"/>
      </w:pPr>
      <w:bookmarkStart w:id="0" w:name="_GoBack"/>
      <w:bookmarkEnd w:id="0"/>
      <w:r>
        <w:t>1</w:t>
      </w:r>
      <w:r w:rsidR="000B12F3">
        <w:t>2</w:t>
      </w:r>
      <w:r w:rsidR="00F56F3F">
        <w:t xml:space="preserve"> </w:t>
      </w:r>
      <w:r>
        <w:t>June</w:t>
      </w:r>
      <w:r w:rsidR="00AB7F64">
        <w:t xml:space="preserve"> </w:t>
      </w:r>
      <w:r w:rsidR="00AB7F64" w:rsidRPr="00F8330F">
        <w:t>20</w:t>
      </w:r>
      <w:r w:rsidR="00574836">
        <w:t>20</w:t>
      </w:r>
    </w:p>
    <w:p w14:paraId="0966DB22" w14:textId="4967734F" w:rsidR="00F63983" w:rsidRPr="00B9343F" w:rsidRDefault="00455989" w:rsidP="00F63983">
      <w:pPr>
        <w:pStyle w:val="Nzev"/>
        <w:rPr>
          <w:spacing w:val="-4"/>
        </w:rPr>
      </w:pPr>
      <w:r>
        <w:rPr>
          <w:spacing w:val="-4"/>
        </w:rPr>
        <w:t xml:space="preserve">State of emergency also affected demographic </w:t>
      </w:r>
      <w:r w:rsidR="009C3259">
        <w:rPr>
          <w:spacing w:val="-4"/>
        </w:rPr>
        <w:t>data</w:t>
      </w:r>
    </w:p>
    <w:p w14:paraId="49F16AA3" w14:textId="6695C3E1" w:rsidR="00F63983" w:rsidRPr="00A27A0E" w:rsidRDefault="00F63983" w:rsidP="00F63983">
      <w:pPr>
        <w:pStyle w:val="Podtitulek"/>
      </w:pPr>
      <w:r w:rsidRPr="00102CE8">
        <w:t xml:space="preserve">Population change </w:t>
      </w:r>
      <w:r w:rsidRPr="008B3970">
        <w:t xml:space="preserve">– </w:t>
      </w:r>
      <w:r w:rsidR="00924BCC">
        <w:t>1st quarter of 2020</w:t>
      </w:r>
    </w:p>
    <w:p w14:paraId="379C1D03" w14:textId="7E849393" w:rsidR="00EA2E4A" w:rsidRDefault="004C57B6" w:rsidP="000B12F3">
      <w:pPr>
        <w:pStyle w:val="Perex"/>
      </w:pPr>
      <w:r w:rsidRPr="004C57B6">
        <w:t xml:space="preserve">The population of the Czech Republic continued to grow during the first quarter of 2020, but significantly less than in previous quarters. </w:t>
      </w:r>
      <w:r w:rsidR="003F6DB2">
        <w:t xml:space="preserve">The population increase by international migration was more than half lower </w:t>
      </w:r>
      <w:r w:rsidR="003F6DB2" w:rsidRPr="003F6DB2">
        <w:t xml:space="preserve">year-on-year </w:t>
      </w:r>
      <w:r w:rsidR="00EA2E4A">
        <w:t xml:space="preserve">and also the decrease by natural change was greater this year. </w:t>
      </w:r>
      <w:r w:rsidR="00EA2E4A" w:rsidRPr="00EA2E4A">
        <w:t xml:space="preserve">The state of emergency and </w:t>
      </w:r>
      <w:r w:rsidR="00EA2E4A">
        <w:t>its</w:t>
      </w:r>
      <w:r w:rsidR="00EA2E4A" w:rsidRPr="00EA2E4A">
        <w:t xml:space="preserve"> restrictions were reflected in the record low number of marriages </w:t>
      </w:r>
      <w:r w:rsidR="00405935">
        <w:t>entered into</w:t>
      </w:r>
      <w:r w:rsidR="00405935" w:rsidRPr="00EA2E4A">
        <w:t xml:space="preserve"> </w:t>
      </w:r>
      <w:r w:rsidR="00EA2E4A" w:rsidRPr="00EA2E4A">
        <w:t>in March</w:t>
      </w:r>
      <w:r w:rsidR="00EA2E4A">
        <w:t>.</w:t>
      </w:r>
      <w:r w:rsidR="00EA2E4A" w:rsidRPr="00EA2E4A">
        <w:t xml:space="preserve"> </w:t>
      </w:r>
    </w:p>
    <w:p w14:paraId="2B809B2A" w14:textId="1810ADEB" w:rsidR="00E23203" w:rsidRDefault="00DD1441" w:rsidP="000B12F3">
      <w:r w:rsidRPr="00E23203">
        <w:t>During</w:t>
      </w:r>
      <w:r w:rsidR="000009F0" w:rsidRPr="00E23203">
        <w:t xml:space="preserve"> </w:t>
      </w:r>
      <w:r w:rsidRPr="00E23203">
        <w:t>the</w:t>
      </w:r>
      <w:r>
        <w:t xml:space="preserve"> </w:t>
      </w:r>
      <w:r w:rsidR="000009F0">
        <w:t xml:space="preserve">first quarter, the </w:t>
      </w:r>
      <w:r w:rsidR="000009F0" w:rsidRPr="007B09D0">
        <w:rPr>
          <w:b/>
        </w:rPr>
        <w:t>population</w:t>
      </w:r>
      <w:r w:rsidR="000009F0">
        <w:t xml:space="preserve"> of the Czech Republic continued to grow.</w:t>
      </w:r>
      <w:r w:rsidR="00551A5A">
        <w:t xml:space="preserve"> </w:t>
      </w:r>
      <w:r w:rsidR="001940B1" w:rsidRPr="001940B1">
        <w:t>However, the population growth was only 425 people, and the population remained at 10.694 million</w:t>
      </w:r>
      <w:r w:rsidR="00551A5A">
        <w:t>.</w:t>
      </w:r>
      <w:r w:rsidR="00E23203">
        <w:t xml:space="preserve"> </w:t>
      </w:r>
      <w:r w:rsidR="00551A5A">
        <w:t>The</w:t>
      </w:r>
      <w:r w:rsidR="00940A89">
        <w:t xml:space="preserve"> balance of </w:t>
      </w:r>
      <w:r w:rsidR="000B12F3" w:rsidRPr="002A5DF0">
        <w:t>international mig</w:t>
      </w:r>
      <w:r w:rsidR="00551A5A">
        <w:t>ration was positive and reached 4.2 thousand.</w:t>
      </w:r>
      <w:r w:rsidR="00E23203">
        <w:t xml:space="preserve"> T</w:t>
      </w:r>
      <w:r w:rsidR="000B12F3">
        <w:t xml:space="preserve">he balance of natural change </w:t>
      </w:r>
      <w:r w:rsidR="006C1514" w:rsidRPr="006C1514">
        <w:t>reduced the population</w:t>
      </w:r>
      <w:r w:rsidR="00E23203">
        <w:t>, as the number of deaths was by 3.8 thousand higher than the number of live births.</w:t>
      </w:r>
    </w:p>
    <w:p w14:paraId="12C8F1F5" w14:textId="77777777" w:rsidR="00247240" w:rsidRDefault="00247240" w:rsidP="000B12F3"/>
    <w:p w14:paraId="160FFFD2" w14:textId="3F2110F0" w:rsidR="00247240" w:rsidRPr="00607CCA" w:rsidRDefault="000B12F3" w:rsidP="000B12F3">
      <w:pPr>
        <w:rPr>
          <w:spacing w:val="-4"/>
          <w:lang w:val="en-US"/>
        </w:rPr>
      </w:pPr>
      <w:r>
        <w:rPr>
          <w:spacing w:val="-4"/>
        </w:rPr>
        <w:t xml:space="preserve">A total of </w:t>
      </w:r>
      <w:r w:rsidR="00247240">
        <w:rPr>
          <w:spacing w:val="-4"/>
        </w:rPr>
        <w:t>26.2</w:t>
      </w:r>
      <w:r>
        <w:rPr>
          <w:spacing w:val="-4"/>
        </w:rPr>
        <w:t xml:space="preserve"> thousand children were </w:t>
      </w:r>
      <w:r w:rsidRPr="0041343A">
        <w:rPr>
          <w:b/>
          <w:spacing w:val="-4"/>
        </w:rPr>
        <w:t>born alive</w:t>
      </w:r>
      <w:r>
        <w:rPr>
          <w:spacing w:val="-4"/>
        </w:rPr>
        <w:t xml:space="preserve"> </w:t>
      </w:r>
      <w:r w:rsidR="00C43C67" w:rsidRPr="00C43C67">
        <w:rPr>
          <w:spacing w:val="-4"/>
        </w:rPr>
        <w:t>in the months of January to March</w:t>
      </w:r>
      <w:r w:rsidR="00D46183">
        <w:rPr>
          <w:spacing w:val="-4"/>
        </w:rPr>
        <w:t>,</w:t>
      </w:r>
      <w:r>
        <w:rPr>
          <w:spacing w:val="-4"/>
        </w:rPr>
        <w:t xml:space="preserve"> </w:t>
      </w:r>
      <w:r w:rsidR="00C43C67">
        <w:rPr>
          <w:spacing w:val="-4"/>
        </w:rPr>
        <w:t xml:space="preserve">which was </w:t>
      </w:r>
      <w:r>
        <w:rPr>
          <w:spacing w:val="-4"/>
        </w:rPr>
        <w:t xml:space="preserve">by </w:t>
      </w:r>
      <w:r w:rsidR="00C43C67">
        <w:rPr>
          <w:spacing w:val="-4"/>
        </w:rPr>
        <w:t>0.7</w:t>
      </w:r>
      <w:r>
        <w:rPr>
          <w:spacing w:val="-4"/>
        </w:rPr>
        <w:t xml:space="preserve"> thousand l</w:t>
      </w:r>
      <w:r w:rsidR="004A3824">
        <w:rPr>
          <w:spacing w:val="-4"/>
        </w:rPr>
        <w:t>ess</w:t>
      </w:r>
      <w:r>
        <w:rPr>
          <w:spacing w:val="-4"/>
        </w:rPr>
        <w:t xml:space="preserve"> than </w:t>
      </w:r>
      <w:r w:rsidR="00C43C67">
        <w:rPr>
          <w:spacing w:val="-4"/>
        </w:rPr>
        <w:t xml:space="preserve">in the first quarter of </w:t>
      </w:r>
      <w:r>
        <w:rPr>
          <w:spacing w:val="-4"/>
        </w:rPr>
        <w:t>201</w:t>
      </w:r>
      <w:r w:rsidR="00C43C67">
        <w:rPr>
          <w:spacing w:val="-4"/>
        </w:rPr>
        <w:t>9</w:t>
      </w:r>
      <w:r>
        <w:rPr>
          <w:spacing w:val="-4"/>
        </w:rPr>
        <w:t>.</w:t>
      </w:r>
      <w:r w:rsidR="00267479">
        <w:rPr>
          <w:spacing w:val="-4"/>
        </w:rPr>
        <w:t xml:space="preserve"> </w:t>
      </w:r>
      <w:r w:rsidR="00267479" w:rsidRPr="00C91284">
        <w:rPr>
          <w:spacing w:val="-4"/>
        </w:rPr>
        <w:t xml:space="preserve">The number of </w:t>
      </w:r>
      <w:r w:rsidR="00267479">
        <w:rPr>
          <w:spacing w:val="-4"/>
        </w:rPr>
        <w:t>children born to married women decreased more significantly (</w:t>
      </w:r>
      <w:r w:rsidR="00267479" w:rsidRPr="00495391">
        <w:rPr>
          <w:spacing w:val="-4"/>
        </w:rPr>
        <w:t xml:space="preserve">by 536) than the number of children born to unmarried women (by 149) in the year-on-year comparison. </w:t>
      </w:r>
      <w:r w:rsidR="00607CCA" w:rsidRPr="00495391">
        <w:rPr>
          <w:spacing w:val="-4"/>
        </w:rPr>
        <w:t xml:space="preserve">In terms of </w:t>
      </w:r>
      <w:r w:rsidR="00405935">
        <w:rPr>
          <w:spacing w:val="-4"/>
        </w:rPr>
        <w:t xml:space="preserve">birth </w:t>
      </w:r>
      <w:r w:rsidR="00607CCA" w:rsidRPr="00495391">
        <w:rPr>
          <w:spacing w:val="-4"/>
        </w:rPr>
        <w:t>order, the highest year-on-year decrease was re</w:t>
      </w:r>
      <w:r w:rsidR="00495391" w:rsidRPr="00495391">
        <w:rPr>
          <w:spacing w:val="-4"/>
        </w:rPr>
        <w:t>gistere</w:t>
      </w:r>
      <w:r w:rsidR="00607CCA" w:rsidRPr="00495391">
        <w:rPr>
          <w:spacing w:val="-4"/>
        </w:rPr>
        <w:t xml:space="preserve">d for children born in the third or higher order (by 327). </w:t>
      </w:r>
      <w:r w:rsidR="00814FEA" w:rsidRPr="00495391">
        <w:rPr>
          <w:spacing w:val="-4"/>
        </w:rPr>
        <w:t xml:space="preserve">The </w:t>
      </w:r>
      <w:r w:rsidR="00814FEA" w:rsidRPr="00C91284">
        <w:rPr>
          <w:spacing w:val="-4"/>
        </w:rPr>
        <w:t xml:space="preserve">live births outside marriage </w:t>
      </w:r>
      <w:r w:rsidR="00814FEA">
        <w:rPr>
          <w:spacing w:val="-4"/>
        </w:rPr>
        <w:t>represented 48.9</w:t>
      </w:r>
      <w:r w:rsidR="00814FEA" w:rsidRPr="00C91284">
        <w:rPr>
          <w:spacing w:val="-4"/>
        </w:rPr>
        <w:t xml:space="preserve">% </w:t>
      </w:r>
      <w:r w:rsidR="00814FEA">
        <w:rPr>
          <w:spacing w:val="-4"/>
        </w:rPr>
        <w:t>of all births</w:t>
      </w:r>
      <w:r w:rsidR="00405935">
        <w:rPr>
          <w:spacing w:val="-4"/>
        </w:rPr>
        <w:t xml:space="preserve">, and this </w:t>
      </w:r>
      <w:r w:rsidR="005A0748">
        <w:rPr>
          <w:spacing w:val="-4"/>
        </w:rPr>
        <w:t>share was</w:t>
      </w:r>
      <w:r w:rsidR="00814FEA">
        <w:rPr>
          <w:spacing w:val="-4"/>
        </w:rPr>
        <w:t xml:space="preserve"> by 0.7 pp higher than in the first quarter </w:t>
      </w:r>
      <w:r w:rsidR="00814FEA" w:rsidRPr="00814FEA">
        <w:rPr>
          <w:spacing w:val="-4"/>
        </w:rPr>
        <w:t>of the previous year.</w:t>
      </w:r>
      <w:r w:rsidR="00814FEA">
        <w:rPr>
          <w:spacing w:val="-4"/>
        </w:rPr>
        <w:t xml:space="preserve"> </w:t>
      </w:r>
      <w:r w:rsidR="00C43C67" w:rsidRPr="00693483">
        <w:rPr>
          <w:spacing w:val="-4"/>
          <w:lang w:val="en-US"/>
        </w:rPr>
        <w:t xml:space="preserve">The most children </w:t>
      </w:r>
      <w:r w:rsidR="00C43C67">
        <w:rPr>
          <w:spacing w:val="-4"/>
          <w:lang w:val="en-US"/>
        </w:rPr>
        <w:t xml:space="preserve">(30% of the total) </w:t>
      </w:r>
      <w:r w:rsidR="00C43C67" w:rsidRPr="00693483">
        <w:rPr>
          <w:spacing w:val="-4"/>
          <w:lang w:val="en-US"/>
        </w:rPr>
        <w:t xml:space="preserve">were born to women aged </w:t>
      </w:r>
      <w:r w:rsidR="00C43C67">
        <w:rPr>
          <w:spacing w:val="-4"/>
          <w:lang w:val="en-US"/>
        </w:rPr>
        <w:t>from 29 to 32 years.</w:t>
      </w:r>
    </w:p>
    <w:p w14:paraId="14434353" w14:textId="77777777" w:rsidR="00C43C67" w:rsidRDefault="00C43C67" w:rsidP="000B12F3">
      <w:pPr>
        <w:rPr>
          <w:spacing w:val="-4"/>
        </w:rPr>
      </w:pPr>
    </w:p>
    <w:p w14:paraId="5C23DF43" w14:textId="05BB25D5" w:rsidR="001B0A41" w:rsidRDefault="00CB71FC" w:rsidP="001B0A41">
      <w:pPr>
        <w:rPr>
          <w:spacing w:val="-4"/>
        </w:rPr>
      </w:pPr>
      <w:r w:rsidRPr="00CB71FC">
        <w:rPr>
          <w:spacing w:val="-4"/>
        </w:rPr>
        <w:t xml:space="preserve">The number of </w:t>
      </w:r>
      <w:r w:rsidRPr="00CB71FC">
        <w:rPr>
          <w:b/>
          <w:spacing w:val="-4"/>
        </w:rPr>
        <w:t>deaths</w:t>
      </w:r>
      <w:r w:rsidRPr="00CB71FC">
        <w:rPr>
          <w:spacing w:val="-4"/>
        </w:rPr>
        <w:t xml:space="preserve"> </w:t>
      </w:r>
      <w:r w:rsidR="005A0748">
        <w:rPr>
          <w:spacing w:val="-4"/>
        </w:rPr>
        <w:t>stood at</w:t>
      </w:r>
      <w:r w:rsidR="005A0748" w:rsidRPr="00CB71FC">
        <w:rPr>
          <w:spacing w:val="-4"/>
        </w:rPr>
        <w:t xml:space="preserve"> </w:t>
      </w:r>
      <w:r w:rsidRPr="00CB71FC">
        <w:rPr>
          <w:spacing w:val="-4"/>
        </w:rPr>
        <w:t>30.</w:t>
      </w:r>
      <w:r>
        <w:rPr>
          <w:spacing w:val="-4"/>
        </w:rPr>
        <w:t xml:space="preserve">0 thousand in the first quarter, </w:t>
      </w:r>
      <w:r w:rsidRPr="00CB71FC">
        <w:rPr>
          <w:spacing w:val="-4"/>
        </w:rPr>
        <w:t xml:space="preserve">almost </w:t>
      </w:r>
      <w:r>
        <w:rPr>
          <w:spacing w:val="-4"/>
        </w:rPr>
        <w:t xml:space="preserve">by </w:t>
      </w:r>
      <w:r w:rsidRPr="00CB71FC">
        <w:rPr>
          <w:spacing w:val="-4"/>
        </w:rPr>
        <w:t>200 l</w:t>
      </w:r>
      <w:r>
        <w:rPr>
          <w:spacing w:val="-4"/>
        </w:rPr>
        <w:t xml:space="preserve">ess </w:t>
      </w:r>
      <w:r w:rsidRPr="00CB71FC">
        <w:rPr>
          <w:spacing w:val="-4"/>
        </w:rPr>
        <w:t xml:space="preserve">than in the same period of 2019. </w:t>
      </w:r>
      <w:r w:rsidR="00986859">
        <w:rPr>
          <w:spacing w:val="-4"/>
        </w:rPr>
        <w:t>As far as</w:t>
      </w:r>
      <w:r w:rsidR="00495391">
        <w:rPr>
          <w:spacing w:val="-4"/>
        </w:rPr>
        <w:t xml:space="preserve"> monthly numbers</w:t>
      </w:r>
      <w:r w:rsidR="00986859">
        <w:rPr>
          <w:spacing w:val="-4"/>
        </w:rPr>
        <w:t xml:space="preserve"> are concerned</w:t>
      </w:r>
      <w:r w:rsidR="00495391">
        <w:rPr>
          <w:spacing w:val="-4"/>
        </w:rPr>
        <w:t xml:space="preserve">, only March number </w:t>
      </w:r>
      <w:r w:rsidRPr="00CB71FC">
        <w:rPr>
          <w:spacing w:val="-4"/>
        </w:rPr>
        <w:t>increased slightly year-on-year (by 2% to 10.1 thousand).</w:t>
      </w:r>
      <w:r w:rsidR="00495391">
        <w:rPr>
          <w:spacing w:val="-4"/>
        </w:rPr>
        <w:t xml:space="preserve"> </w:t>
      </w:r>
      <w:r w:rsidR="008B3AD8" w:rsidRPr="008B3AD8">
        <w:rPr>
          <w:spacing w:val="-4"/>
          <w:lang w:val="en-US"/>
        </w:rPr>
        <w:t>The highest monthly</w:t>
      </w:r>
      <w:r w:rsidR="00495391">
        <w:rPr>
          <w:spacing w:val="-4"/>
          <w:lang w:val="en-US"/>
        </w:rPr>
        <w:t xml:space="preserve"> number of deceased people (10.2</w:t>
      </w:r>
      <w:r w:rsidR="008B3AD8" w:rsidRPr="008B3AD8">
        <w:rPr>
          <w:spacing w:val="-4"/>
          <w:lang w:val="en-US"/>
        </w:rPr>
        <w:t xml:space="preserve"> thou</w:t>
      </w:r>
      <w:r w:rsidR="00495391">
        <w:rPr>
          <w:spacing w:val="-4"/>
          <w:lang w:val="en-US"/>
        </w:rPr>
        <w:t xml:space="preserve">sand) was registered in January, </w:t>
      </w:r>
      <w:r w:rsidR="00495391" w:rsidRPr="00495391">
        <w:rPr>
          <w:spacing w:val="-4"/>
        </w:rPr>
        <w:t>as in the previous year</w:t>
      </w:r>
      <w:r w:rsidR="00495391">
        <w:rPr>
          <w:spacing w:val="-4"/>
        </w:rPr>
        <w:t>.</w:t>
      </w:r>
      <w:r w:rsidR="00EC2100">
        <w:rPr>
          <w:spacing w:val="-4"/>
        </w:rPr>
        <w:t xml:space="preserve"> </w:t>
      </w:r>
      <w:r w:rsidR="00EC2100" w:rsidRPr="00EC2100">
        <w:rPr>
          <w:spacing w:val="-4"/>
        </w:rPr>
        <w:t xml:space="preserve">In the first quarter, only the number of deaths aged 75–79, 90–94 and 95–99 increased year-on-year, </w:t>
      </w:r>
      <w:r w:rsidR="00EC2100">
        <w:rPr>
          <w:spacing w:val="-4"/>
        </w:rPr>
        <w:t xml:space="preserve">whereas the number </w:t>
      </w:r>
      <w:r w:rsidR="00986859">
        <w:rPr>
          <w:spacing w:val="-4"/>
        </w:rPr>
        <w:t xml:space="preserve">of deaths </w:t>
      </w:r>
      <w:r w:rsidR="00EC2100">
        <w:rPr>
          <w:spacing w:val="-4"/>
        </w:rPr>
        <w:t>in all other age groups decreased.</w:t>
      </w:r>
      <w:r w:rsidR="00FD28BD">
        <w:rPr>
          <w:spacing w:val="-4"/>
        </w:rPr>
        <w:t xml:space="preserve"> More than a third deceased women </w:t>
      </w:r>
      <w:r w:rsidR="00FD28BD" w:rsidRPr="00FD28BD">
        <w:rPr>
          <w:spacing w:val="-4"/>
        </w:rPr>
        <w:t>(37%) were aged 80</w:t>
      </w:r>
      <w:r w:rsidR="00FD28BD" w:rsidRPr="00EC2100">
        <w:rPr>
          <w:spacing w:val="-4"/>
        </w:rPr>
        <w:t>–</w:t>
      </w:r>
      <w:r w:rsidR="00FD28BD" w:rsidRPr="00FD28BD">
        <w:rPr>
          <w:spacing w:val="-4"/>
        </w:rPr>
        <w:t>89 at the time of death,</w:t>
      </w:r>
      <w:r w:rsidR="00FD28BD">
        <w:rPr>
          <w:spacing w:val="-4"/>
        </w:rPr>
        <w:t xml:space="preserve"> </w:t>
      </w:r>
      <w:r w:rsidR="009271D6">
        <w:rPr>
          <w:spacing w:val="-4"/>
        </w:rPr>
        <w:t xml:space="preserve">while </w:t>
      </w:r>
      <w:r w:rsidR="00FD28BD">
        <w:rPr>
          <w:spacing w:val="-4"/>
        </w:rPr>
        <w:t>one third of deceased men were aged 70</w:t>
      </w:r>
      <w:r w:rsidR="00FD28BD" w:rsidRPr="00EC2100">
        <w:rPr>
          <w:spacing w:val="-4"/>
        </w:rPr>
        <w:t>–</w:t>
      </w:r>
      <w:r w:rsidR="00FD28BD">
        <w:rPr>
          <w:spacing w:val="-4"/>
        </w:rPr>
        <w:t>79.</w:t>
      </w:r>
      <w:r w:rsidR="001B0A41">
        <w:rPr>
          <w:spacing w:val="-4"/>
        </w:rPr>
        <w:t xml:space="preserve"> </w:t>
      </w:r>
      <w:r w:rsidR="004A02B2">
        <w:rPr>
          <w:spacing w:val="-4"/>
        </w:rPr>
        <w:t>A</w:t>
      </w:r>
      <w:r w:rsidR="00FD28BD">
        <w:rPr>
          <w:spacing w:val="-4"/>
        </w:rPr>
        <w:t xml:space="preserve"> total of 66</w:t>
      </w:r>
      <w:r w:rsidR="004A02B2" w:rsidRPr="003136ED">
        <w:rPr>
          <w:spacing w:val="-4"/>
        </w:rPr>
        <w:t xml:space="preserve"> children died </w:t>
      </w:r>
      <w:r w:rsidR="004A02B2">
        <w:rPr>
          <w:spacing w:val="-4"/>
        </w:rPr>
        <w:t>d</w:t>
      </w:r>
      <w:r w:rsidR="004A02B2" w:rsidRPr="003136ED">
        <w:rPr>
          <w:spacing w:val="-4"/>
        </w:rPr>
        <w:t>uring their first year of life</w:t>
      </w:r>
      <w:r w:rsidR="001B0A41" w:rsidRPr="001B0A41">
        <w:rPr>
          <w:spacing w:val="-4"/>
        </w:rPr>
        <w:t xml:space="preserve"> in the first quarter of 2</w:t>
      </w:r>
      <w:r w:rsidR="001B0A41">
        <w:rPr>
          <w:spacing w:val="-4"/>
        </w:rPr>
        <w:t xml:space="preserve">020, and </w:t>
      </w:r>
      <w:r w:rsidR="001B0A41" w:rsidRPr="001B0A41">
        <w:rPr>
          <w:spacing w:val="-4"/>
        </w:rPr>
        <w:t>infant mortality rate was 2.5‰.</w:t>
      </w:r>
    </w:p>
    <w:p w14:paraId="5CF737E1" w14:textId="77777777" w:rsidR="00CC6198" w:rsidRDefault="00CC6198" w:rsidP="00CC6198">
      <w:pPr>
        <w:rPr>
          <w:spacing w:val="-4"/>
        </w:rPr>
      </w:pPr>
    </w:p>
    <w:p w14:paraId="3DA52025" w14:textId="1C26216E" w:rsidR="005A73F4" w:rsidRDefault="00F77C84" w:rsidP="005A73F4">
      <w:r>
        <w:t>A</w:t>
      </w:r>
      <w:r w:rsidR="00CC6198">
        <w:rPr>
          <w:spacing w:val="-4"/>
        </w:rPr>
        <w:t xml:space="preserve"> total of 3.5</w:t>
      </w:r>
      <w:r w:rsidR="000B12F3" w:rsidRPr="00B2520E">
        <w:rPr>
          <w:spacing w:val="-4"/>
        </w:rPr>
        <w:t xml:space="preserve"> thousand </w:t>
      </w:r>
      <w:r w:rsidR="000B12F3" w:rsidRPr="0041343A">
        <w:rPr>
          <w:b/>
          <w:spacing w:val="-4"/>
        </w:rPr>
        <w:t>marriages</w:t>
      </w:r>
      <w:r w:rsidR="000B12F3" w:rsidRPr="00B2520E">
        <w:rPr>
          <w:spacing w:val="-4"/>
        </w:rPr>
        <w:t xml:space="preserve"> were entered into</w:t>
      </w:r>
      <w:r w:rsidR="00774BEC">
        <w:rPr>
          <w:spacing w:val="-4"/>
        </w:rPr>
        <w:t xml:space="preserve"> </w:t>
      </w:r>
      <w:r>
        <w:rPr>
          <w:spacing w:val="-4"/>
        </w:rPr>
        <w:t xml:space="preserve">by the inhabitants of the Czech Republic </w:t>
      </w:r>
      <w:r w:rsidR="00774BEC">
        <w:rPr>
          <w:spacing w:val="-4"/>
        </w:rPr>
        <w:t xml:space="preserve">during </w:t>
      </w:r>
      <w:r>
        <w:rPr>
          <w:spacing w:val="-4"/>
        </w:rPr>
        <w:t xml:space="preserve">the </w:t>
      </w:r>
      <w:r w:rsidR="00CC6198">
        <w:rPr>
          <w:spacing w:val="-4"/>
        </w:rPr>
        <w:t>first quarter</w:t>
      </w:r>
      <w:r w:rsidR="000B12F3">
        <w:rPr>
          <w:spacing w:val="-4"/>
        </w:rPr>
        <w:t xml:space="preserve">, </w:t>
      </w:r>
      <w:r w:rsidR="009C3259">
        <w:rPr>
          <w:spacing w:val="-4"/>
        </w:rPr>
        <w:t xml:space="preserve">almost </w:t>
      </w:r>
      <w:r w:rsidR="00AE2F79">
        <w:rPr>
          <w:spacing w:val="-4"/>
        </w:rPr>
        <w:t xml:space="preserve">by </w:t>
      </w:r>
      <w:r w:rsidR="00CC6198">
        <w:rPr>
          <w:spacing w:val="-4"/>
        </w:rPr>
        <w:t>6</w:t>
      </w:r>
      <w:r w:rsidR="00345EDB">
        <w:rPr>
          <w:spacing w:val="-4"/>
        </w:rPr>
        <w:t>00</w:t>
      </w:r>
      <w:r w:rsidR="00CC6198">
        <w:rPr>
          <w:spacing w:val="-4"/>
        </w:rPr>
        <w:t xml:space="preserve"> </w:t>
      </w:r>
      <w:r w:rsidR="00103A17">
        <w:rPr>
          <w:spacing w:val="-4"/>
        </w:rPr>
        <w:t>fewer</w:t>
      </w:r>
      <w:r w:rsidR="000B12F3">
        <w:rPr>
          <w:spacing w:val="-4"/>
        </w:rPr>
        <w:t xml:space="preserve"> than in </w:t>
      </w:r>
      <w:r w:rsidR="009C14BD">
        <w:rPr>
          <w:spacing w:val="-4"/>
        </w:rPr>
        <w:t xml:space="preserve">the </w:t>
      </w:r>
      <w:r w:rsidR="00345EDB">
        <w:rPr>
          <w:spacing w:val="-4"/>
        </w:rPr>
        <w:t xml:space="preserve">previous year. </w:t>
      </w:r>
      <w:r w:rsidR="00E07364" w:rsidRPr="00E07364">
        <w:rPr>
          <w:spacing w:val="-4"/>
        </w:rPr>
        <w:t>The lower number of marriages was mainly due to</w:t>
      </w:r>
      <w:r w:rsidR="009271D6">
        <w:rPr>
          <w:spacing w:val="-4"/>
        </w:rPr>
        <w:t xml:space="preserve"> low marriage rate in </w:t>
      </w:r>
      <w:r w:rsidR="00E07364" w:rsidRPr="00E07364">
        <w:rPr>
          <w:spacing w:val="-4"/>
        </w:rPr>
        <w:t>March, wh</w:t>
      </w:r>
      <w:r w:rsidR="00E76C3F">
        <w:rPr>
          <w:spacing w:val="-4"/>
        </w:rPr>
        <w:t>en</w:t>
      </w:r>
      <w:r w:rsidR="00E07364" w:rsidRPr="00E07364">
        <w:rPr>
          <w:spacing w:val="-4"/>
        </w:rPr>
        <w:t xml:space="preserve"> the possibility of </w:t>
      </w:r>
      <w:r w:rsidR="009271D6">
        <w:rPr>
          <w:spacing w:val="-4"/>
        </w:rPr>
        <w:t>entering into</w:t>
      </w:r>
      <w:r w:rsidR="009271D6" w:rsidRPr="00E07364">
        <w:rPr>
          <w:spacing w:val="-4"/>
        </w:rPr>
        <w:t xml:space="preserve"> </w:t>
      </w:r>
      <w:r w:rsidR="00E07364" w:rsidRPr="00E07364">
        <w:rPr>
          <w:spacing w:val="-4"/>
        </w:rPr>
        <w:t xml:space="preserve">a marriage was </w:t>
      </w:r>
      <w:r w:rsidR="00995940">
        <w:rPr>
          <w:spacing w:val="-4"/>
        </w:rPr>
        <w:t>affected</w:t>
      </w:r>
      <w:r w:rsidR="00995940" w:rsidRPr="00E07364">
        <w:rPr>
          <w:spacing w:val="-4"/>
        </w:rPr>
        <w:t xml:space="preserve"> </w:t>
      </w:r>
      <w:r w:rsidR="00E07364" w:rsidRPr="00E07364">
        <w:rPr>
          <w:spacing w:val="-4"/>
        </w:rPr>
        <w:t xml:space="preserve">by </w:t>
      </w:r>
      <w:r w:rsidR="00995940">
        <w:rPr>
          <w:spacing w:val="-4"/>
        </w:rPr>
        <w:t>epidemic prevention measures</w:t>
      </w:r>
      <w:r w:rsidR="00E07364">
        <w:rPr>
          <w:spacing w:val="-4"/>
        </w:rPr>
        <w:t xml:space="preserve">. </w:t>
      </w:r>
      <w:r w:rsidR="00E07364" w:rsidRPr="00E07364">
        <w:rPr>
          <w:spacing w:val="-4"/>
        </w:rPr>
        <w:t>According to the data available so far,</w:t>
      </w:r>
      <w:r w:rsidR="00E07364" w:rsidRPr="00E07364">
        <w:t xml:space="preserve"> </w:t>
      </w:r>
      <w:r w:rsidR="00E07364" w:rsidRPr="00E07364">
        <w:rPr>
          <w:spacing w:val="-4"/>
        </w:rPr>
        <w:t>there were less than 600 marriages</w:t>
      </w:r>
      <w:r w:rsidR="009271D6">
        <w:rPr>
          <w:spacing w:val="-4"/>
        </w:rPr>
        <w:t xml:space="preserve"> entered into</w:t>
      </w:r>
      <w:r w:rsidR="00E07364" w:rsidRPr="00E07364">
        <w:rPr>
          <w:spacing w:val="-4"/>
        </w:rPr>
        <w:t xml:space="preserve"> in March, which represents the lowest monthly number of marriages </w:t>
      </w:r>
      <w:r w:rsidR="009271D6">
        <w:rPr>
          <w:spacing w:val="-4"/>
        </w:rPr>
        <w:t>during the</w:t>
      </w:r>
      <w:r w:rsidR="00E07364" w:rsidRPr="00E07364">
        <w:rPr>
          <w:spacing w:val="-4"/>
        </w:rPr>
        <w:t xml:space="preserve"> more than 100-year history of the Czech Republic.</w:t>
      </w:r>
      <w:r w:rsidR="00E07364">
        <w:rPr>
          <w:spacing w:val="-4"/>
        </w:rPr>
        <w:t xml:space="preserve"> </w:t>
      </w:r>
      <w:r w:rsidR="00E07364" w:rsidRPr="00E07364">
        <w:rPr>
          <w:spacing w:val="-4"/>
        </w:rPr>
        <w:t>On the contrary, the number of marriages concluded in February was unusually high this year (2.2 thousand, the highest number in February since 2003), to which interesting dates in the calendar probably contributed.</w:t>
      </w:r>
      <w:r w:rsidR="00B13DE8">
        <w:rPr>
          <w:spacing w:val="-4"/>
        </w:rPr>
        <w:t xml:space="preserve"> Up to a third of </w:t>
      </w:r>
      <w:r w:rsidR="00B13DE8" w:rsidRPr="00B13DE8">
        <w:rPr>
          <w:spacing w:val="-4"/>
        </w:rPr>
        <w:t>February's</w:t>
      </w:r>
      <w:r w:rsidR="00B13DE8" w:rsidRPr="00B13DE8">
        <w:t xml:space="preserve"> </w:t>
      </w:r>
      <w:r w:rsidR="00B13DE8" w:rsidRPr="003136ED">
        <w:t>fiancées chose</w:t>
      </w:r>
      <w:r w:rsidR="00B13DE8">
        <w:t xml:space="preserve"> Saturday 22 February 2020 </w:t>
      </w:r>
      <w:r w:rsidR="00B13DE8" w:rsidRPr="003136ED">
        <w:t>for their wedding ceremony</w:t>
      </w:r>
      <w:r w:rsidR="00AE3945">
        <w:t>, and</w:t>
      </w:r>
      <w:r w:rsidR="00935C98">
        <w:t xml:space="preserve"> </w:t>
      </w:r>
      <w:r w:rsidR="00D27EA7">
        <w:t xml:space="preserve">there were also a lot of ceremonies on </w:t>
      </w:r>
      <w:r w:rsidR="00935C98">
        <w:t>Saturday 29 February and Thursday 20 February</w:t>
      </w:r>
      <w:r w:rsidR="00D27EA7">
        <w:t>.</w:t>
      </w:r>
    </w:p>
    <w:p w14:paraId="130B2417" w14:textId="6C053F96" w:rsidR="000B12F3" w:rsidRDefault="005A73F4" w:rsidP="00594901">
      <w:r>
        <w:lastRenderedPageBreak/>
        <w:t>The Czech courts issued 5.2</w:t>
      </w:r>
      <w:r w:rsidRPr="0055174D">
        <w:t xml:space="preserve"> thousand decisions about </w:t>
      </w:r>
      <w:r w:rsidRPr="005A73F4">
        <w:rPr>
          <w:b/>
        </w:rPr>
        <w:t>divorces</w:t>
      </w:r>
      <w:r w:rsidRPr="0055174D">
        <w:t xml:space="preserve"> </w:t>
      </w:r>
      <w:r w:rsidR="00AE3945">
        <w:t xml:space="preserve">this year </w:t>
      </w:r>
      <w:r>
        <w:t>by the end of March, by 0.9</w:t>
      </w:r>
      <w:r w:rsidRPr="0055174D">
        <w:t xml:space="preserve"> thousand less in the year-on-year comparison.</w:t>
      </w:r>
      <w:r w:rsidR="00976F6D">
        <w:t xml:space="preserve"> </w:t>
      </w:r>
      <w:r w:rsidR="00976F6D" w:rsidRPr="00976F6D">
        <w:t xml:space="preserve">However, the lower number of divorces is probably </w:t>
      </w:r>
      <w:r w:rsidR="00AE3945">
        <w:t xml:space="preserve">also </w:t>
      </w:r>
      <w:r w:rsidR="00976F6D" w:rsidRPr="00976F6D">
        <w:t>due to limited court activity in</w:t>
      </w:r>
      <w:r w:rsidR="00976F6D">
        <w:t xml:space="preserve"> the state</w:t>
      </w:r>
      <w:r w:rsidR="00976F6D" w:rsidRPr="00976F6D">
        <w:t xml:space="preserve"> of emergency.</w:t>
      </w:r>
      <w:r w:rsidR="00976F6D">
        <w:t xml:space="preserve"> </w:t>
      </w:r>
      <w:r w:rsidR="00242603" w:rsidRPr="00242603">
        <w:t>The majority of divorces</w:t>
      </w:r>
      <w:r w:rsidR="00242603">
        <w:t xml:space="preserve"> (</w:t>
      </w:r>
      <w:r w:rsidR="002725C4">
        <w:t>58</w:t>
      </w:r>
      <w:r w:rsidR="00242603" w:rsidRPr="00242603">
        <w:t>%</w:t>
      </w:r>
      <w:r w:rsidR="00242603">
        <w:t xml:space="preserve">) </w:t>
      </w:r>
      <w:r w:rsidR="00AE3945">
        <w:t xml:space="preserve">terminated </w:t>
      </w:r>
      <w:r w:rsidR="000B12F3">
        <w:t>marriage</w:t>
      </w:r>
      <w:r w:rsidR="0050750E">
        <w:t xml:space="preserve">s </w:t>
      </w:r>
      <w:r w:rsidR="003F6C15">
        <w:t>w</w:t>
      </w:r>
      <w:r w:rsidR="0050750E">
        <w:t>here the</w:t>
      </w:r>
      <w:r w:rsidR="000B12F3">
        <w:t xml:space="preserve"> minor</w:t>
      </w:r>
      <w:r w:rsidR="002F3CEA">
        <w:t xml:space="preserve"> children</w:t>
      </w:r>
      <w:r w:rsidR="0050750E">
        <w:t xml:space="preserve"> live</w:t>
      </w:r>
      <w:r w:rsidR="003F6C15">
        <w:t>d</w:t>
      </w:r>
      <w:r w:rsidR="002725C4">
        <w:t xml:space="preserve">. </w:t>
      </w:r>
      <w:r w:rsidR="0050750E">
        <w:t>The</w:t>
      </w:r>
      <w:r w:rsidR="003F6C15">
        <w:t xml:space="preserve">y amounted to </w:t>
      </w:r>
      <w:r w:rsidR="002725C4">
        <w:t>4.8</w:t>
      </w:r>
      <w:r w:rsidR="00242603">
        <w:t xml:space="preserve"> thousand </w:t>
      </w:r>
      <w:r w:rsidR="000B12F3">
        <w:t>minor</w:t>
      </w:r>
      <w:r w:rsidR="004E4F59">
        <w:t xml:space="preserve"> children</w:t>
      </w:r>
      <w:r w:rsidR="00242603">
        <w:t xml:space="preserve"> in total</w:t>
      </w:r>
      <w:r w:rsidR="000B12F3">
        <w:t>.</w:t>
      </w:r>
      <w:r w:rsidR="00594901">
        <w:t xml:space="preserve"> </w:t>
      </w:r>
      <w:r w:rsidR="00594901" w:rsidRPr="00594901">
        <w:t>On the contrary</w:t>
      </w:r>
      <w:r w:rsidR="00594901">
        <w:t>,</w:t>
      </w:r>
      <w:r w:rsidR="00594901" w:rsidRPr="00594901">
        <w:t xml:space="preserve"> </w:t>
      </w:r>
      <w:r w:rsidR="00594901">
        <w:t>a</w:t>
      </w:r>
      <w:r w:rsidR="002725C4" w:rsidRPr="002725C4">
        <w:t xml:space="preserve"> total of </w:t>
      </w:r>
      <w:r w:rsidR="002725C4">
        <w:t>42</w:t>
      </w:r>
      <w:r w:rsidR="002725C4" w:rsidRPr="002725C4">
        <w:t xml:space="preserve">% divorces terminated marriages </w:t>
      </w:r>
      <w:r w:rsidR="00594901">
        <w:t xml:space="preserve">without minor children. </w:t>
      </w:r>
      <w:r w:rsidR="00242603" w:rsidRPr="00242603">
        <w:t>In terms of duration of the marriage</w:t>
      </w:r>
      <w:r w:rsidR="003F6C15">
        <w:t xml:space="preserve"> at divorce</w:t>
      </w:r>
      <w:r w:rsidR="00242603" w:rsidRPr="00242603">
        <w:t xml:space="preserve">, </w:t>
      </w:r>
      <w:r w:rsidR="00242603">
        <w:t xml:space="preserve">there were most of </w:t>
      </w:r>
      <w:r w:rsidR="00242603" w:rsidRPr="00242603">
        <w:t xml:space="preserve">divorces </w:t>
      </w:r>
      <w:r w:rsidR="00242603">
        <w:t xml:space="preserve">with duration </w:t>
      </w:r>
      <w:r w:rsidR="008E1693">
        <w:t>from</w:t>
      </w:r>
      <w:r w:rsidR="00242603" w:rsidRPr="00242603">
        <w:t xml:space="preserve"> </w:t>
      </w:r>
      <w:r w:rsidR="002725C4">
        <w:t>2</w:t>
      </w:r>
      <w:r w:rsidR="00242603" w:rsidRPr="00242603">
        <w:t xml:space="preserve"> to </w:t>
      </w:r>
      <w:r w:rsidR="002725C4">
        <w:t>7</w:t>
      </w:r>
      <w:r w:rsidR="00242603" w:rsidRPr="00242603">
        <w:t xml:space="preserve"> years </w:t>
      </w:r>
      <w:r w:rsidR="00242603">
        <w:t>since</w:t>
      </w:r>
      <w:r w:rsidR="00242603" w:rsidRPr="00242603">
        <w:t xml:space="preserve"> the marriage.</w:t>
      </w:r>
      <w:r w:rsidR="0055174D" w:rsidRPr="0055174D">
        <w:t xml:space="preserve"> </w:t>
      </w:r>
      <w:r w:rsidR="00594901" w:rsidRPr="00594901">
        <w:t>This group accounted for a quarter of all divorces.</w:t>
      </w:r>
    </w:p>
    <w:p w14:paraId="1738E2AD" w14:textId="55108C50" w:rsidR="005A73F4" w:rsidRDefault="005A73F4" w:rsidP="000B12F3">
      <w:pPr>
        <w:pStyle w:val="Zhlav"/>
        <w:tabs>
          <w:tab w:val="clear" w:pos="4703"/>
          <w:tab w:val="clear" w:pos="9406"/>
        </w:tabs>
        <w:spacing w:line="276" w:lineRule="auto"/>
      </w:pPr>
    </w:p>
    <w:p w14:paraId="3476CA1B" w14:textId="7E276712" w:rsidR="00575E96" w:rsidRDefault="00923AB1" w:rsidP="0090488B">
      <w:pPr>
        <w:pStyle w:val="Zhlav"/>
        <w:tabs>
          <w:tab w:val="clear" w:pos="4703"/>
          <w:tab w:val="clear" w:pos="9406"/>
        </w:tabs>
        <w:spacing w:line="276" w:lineRule="auto"/>
      </w:pPr>
      <w:r w:rsidRPr="00923AB1">
        <w:t>According to the preliminary data</w:t>
      </w:r>
      <w:r>
        <w:t xml:space="preserve"> taken from administrative </w:t>
      </w:r>
      <w:r w:rsidR="003A5518">
        <w:t xml:space="preserve">data </w:t>
      </w:r>
      <w:r>
        <w:t>sources</w:t>
      </w:r>
      <w:r w:rsidRPr="00923AB1">
        <w:t xml:space="preserve"> </w:t>
      </w:r>
      <w:r w:rsidRPr="00DB40A4">
        <w:t xml:space="preserve">a total of </w:t>
      </w:r>
      <w:r>
        <w:t>16.1</w:t>
      </w:r>
      <w:r w:rsidR="0047743E">
        <w:t> </w:t>
      </w:r>
      <w:r w:rsidRPr="00DB40A4">
        <w:t>thousand persons immigrated from abroad to the Czech Republic</w:t>
      </w:r>
      <w:r w:rsidRPr="00923AB1">
        <w:t xml:space="preserve"> in the first three months</w:t>
      </w:r>
      <w:r w:rsidR="00976F6D">
        <w:t xml:space="preserve"> this year; by 0.8 thousand more than in the first quarter of 2019.</w:t>
      </w:r>
      <w:r w:rsidR="00BC754F">
        <w:t xml:space="preserve"> </w:t>
      </w:r>
      <w:r w:rsidR="00AB01BC" w:rsidRPr="00AB01BC">
        <w:t>The number of immigrants was higher year-on-year in January and February, while a year-on-year decline was recorded in March.</w:t>
      </w:r>
      <w:r w:rsidR="00575E96">
        <w:t xml:space="preserve"> T</w:t>
      </w:r>
      <w:r w:rsidR="00575E96" w:rsidRPr="00DB40A4">
        <w:t xml:space="preserve">he number of people </w:t>
      </w:r>
      <w:r w:rsidR="00575E96">
        <w:t>e</w:t>
      </w:r>
      <w:r w:rsidR="00575E96" w:rsidRPr="00DB40A4">
        <w:t xml:space="preserve">migrated from the Czech Republic </w:t>
      </w:r>
      <w:r w:rsidR="00575E96">
        <w:t xml:space="preserve">increased by 6.0 thousand to 11.9 thousand </w:t>
      </w:r>
      <w:r w:rsidR="00DD13B5">
        <w:t xml:space="preserve">in the first quarter. </w:t>
      </w:r>
      <w:r w:rsidR="00065141" w:rsidRPr="00065141">
        <w:t xml:space="preserve">The increase in the number of emigrants was partly due to administrative acts related to the limitation of the validity of the certificate of temporary residence for EU citizens for a period of 10 years. However, their </w:t>
      </w:r>
      <w:r w:rsidR="00DD13B5">
        <w:t>extent</w:t>
      </w:r>
      <w:r w:rsidR="00065141" w:rsidRPr="00065141">
        <w:t xml:space="preserve"> cannot be precisely determined from the available sources</w:t>
      </w:r>
      <w:r w:rsidR="00065141">
        <w:t>.</w:t>
      </w:r>
      <w:r w:rsidR="00DD13B5">
        <w:t xml:space="preserve"> </w:t>
      </w:r>
      <w:r w:rsidR="00575E96" w:rsidRPr="00894EDF">
        <w:t xml:space="preserve">The balance of </w:t>
      </w:r>
      <w:r w:rsidR="00575E96" w:rsidRPr="00575E96">
        <w:rPr>
          <w:b/>
        </w:rPr>
        <w:t>net migration</w:t>
      </w:r>
      <w:r w:rsidR="00575E96">
        <w:t xml:space="preserve"> amounted to 4.2</w:t>
      </w:r>
      <w:r w:rsidR="0047743E">
        <w:t> </w:t>
      </w:r>
      <w:r w:rsidR="00575E96" w:rsidRPr="00894EDF">
        <w:t xml:space="preserve">thousand during the </w:t>
      </w:r>
      <w:r w:rsidR="00575E96">
        <w:t xml:space="preserve">first quarter; </w:t>
      </w:r>
      <w:r w:rsidR="00575E96" w:rsidRPr="00894EDF">
        <w:t xml:space="preserve">it was </w:t>
      </w:r>
      <w:r w:rsidR="00575E96" w:rsidRPr="00575E96">
        <w:t>a year-on-year decrease of more than half</w:t>
      </w:r>
      <w:r w:rsidR="00575E96">
        <w:t xml:space="preserve">. </w:t>
      </w:r>
      <w:r w:rsidR="00575E96" w:rsidRPr="00575E96">
        <w:t>The highest positive migration balance</w:t>
      </w:r>
      <w:r w:rsidR="00575E96">
        <w:t xml:space="preserve"> (as in previous years)</w:t>
      </w:r>
      <w:r w:rsidR="00575E96" w:rsidRPr="00575E96">
        <w:t xml:space="preserve"> was registered with citizens of Ukraine</w:t>
      </w:r>
      <w:r w:rsidR="00575E96">
        <w:t xml:space="preserve"> (4.7 thousand)</w:t>
      </w:r>
      <w:r w:rsidR="00C91125">
        <w:t>; t</w:t>
      </w:r>
      <w:r w:rsidR="00C91125" w:rsidRPr="00687396">
        <w:t xml:space="preserve">he second highest was the migration balance of </w:t>
      </w:r>
      <w:r w:rsidR="008922B5">
        <w:t>Russian</w:t>
      </w:r>
      <w:r w:rsidR="00C91125" w:rsidRPr="00687396">
        <w:t xml:space="preserve"> nationals (</w:t>
      </w:r>
      <w:r w:rsidR="008922B5">
        <w:t>0.8</w:t>
      </w:r>
      <w:r w:rsidR="0047743E">
        <w:t> </w:t>
      </w:r>
      <w:r w:rsidR="00C91125" w:rsidRPr="00687396">
        <w:t>thousand)</w:t>
      </w:r>
      <w:r w:rsidR="00C91125">
        <w:t xml:space="preserve"> and the third one belonged to nationals </w:t>
      </w:r>
      <w:r w:rsidR="008922B5">
        <w:t>of Romania (0.3</w:t>
      </w:r>
      <w:r w:rsidR="00C91125">
        <w:t xml:space="preserve"> thousand).</w:t>
      </w:r>
      <w:r w:rsidR="008922B5">
        <w:t xml:space="preserve"> </w:t>
      </w:r>
      <w:r w:rsidR="008922B5" w:rsidRPr="005701E4">
        <w:t xml:space="preserve">Statistics of </w:t>
      </w:r>
      <w:r w:rsidR="008922B5">
        <w:t>international</w:t>
      </w:r>
      <w:r w:rsidR="008922B5" w:rsidRPr="005701E4">
        <w:t xml:space="preserve"> migration</w:t>
      </w:r>
      <w:r w:rsidR="008922B5">
        <w:t xml:space="preserve"> also recorded </w:t>
      </w:r>
      <w:r w:rsidR="008922B5" w:rsidRPr="008922B5">
        <w:t xml:space="preserve">considerable negative migration balances </w:t>
      </w:r>
      <w:r w:rsidR="003A5518">
        <w:t>for</w:t>
      </w:r>
      <w:r w:rsidR="003A5518" w:rsidRPr="008922B5">
        <w:t xml:space="preserve"> </w:t>
      </w:r>
      <w:r w:rsidR="008922B5" w:rsidRPr="008922B5">
        <w:t xml:space="preserve">subgroups </w:t>
      </w:r>
      <w:r w:rsidR="003A5518">
        <w:t xml:space="preserve">of foreigners </w:t>
      </w:r>
      <w:r w:rsidR="008922B5" w:rsidRPr="008922B5">
        <w:t>by citizenship</w:t>
      </w:r>
      <w:r w:rsidR="0090488B">
        <w:t xml:space="preserve">; </w:t>
      </w:r>
      <w:r w:rsidR="008922B5" w:rsidRPr="008922B5">
        <w:t xml:space="preserve">the </w:t>
      </w:r>
      <w:r w:rsidR="0090488B">
        <w:t>highest negative migration balance was</w:t>
      </w:r>
      <w:r w:rsidR="008922B5" w:rsidRPr="008922B5">
        <w:t xml:space="preserve"> </w:t>
      </w:r>
      <w:r w:rsidR="003A5518">
        <w:t>registered for</w:t>
      </w:r>
      <w:r w:rsidR="003A5518" w:rsidRPr="008922B5">
        <w:t xml:space="preserve"> </w:t>
      </w:r>
      <w:r w:rsidR="008922B5" w:rsidRPr="008922B5">
        <w:t>citizens of Great Britain (-1.5 thousand) and citizens of Germany (-0.7 thous</w:t>
      </w:r>
      <w:r w:rsidR="00DD13B5">
        <w:t xml:space="preserve">and), Poland (-0.6 thousand) </w:t>
      </w:r>
      <w:r w:rsidR="008922B5" w:rsidRPr="008922B5">
        <w:t>and Slovakia (-0.5 thousand).</w:t>
      </w:r>
    </w:p>
    <w:p w14:paraId="43F07968" w14:textId="20711856" w:rsidR="00D209A7" w:rsidRDefault="007221A1" w:rsidP="00D209A7">
      <w:pPr>
        <w:pStyle w:val="Poznmky0"/>
      </w:pPr>
      <w:r>
        <w:t>Notes</w:t>
      </w:r>
      <w:r w:rsidR="006D5C60">
        <w:t>:</w:t>
      </w:r>
    </w:p>
    <w:p w14:paraId="7B6E540F" w14:textId="6151DBD7" w:rsidR="00E40F98" w:rsidRPr="00EB5B88" w:rsidRDefault="00E40F98" w:rsidP="00E40F98">
      <w:pPr>
        <w:pStyle w:val="Poznmky"/>
        <w:spacing w:before="60"/>
        <w:jc w:val="both"/>
        <w:rPr>
          <w:i/>
          <w:lang w:val="en-GB"/>
        </w:rPr>
      </w:pPr>
      <w:r w:rsidRPr="00EB5B88">
        <w:rPr>
          <w:i/>
          <w:lang w:val="en-GB"/>
        </w:rPr>
        <w:t>All data refer to the Czech Republic</w:t>
      </w:r>
      <w:r w:rsidR="00A769A4">
        <w:rPr>
          <w:i/>
          <w:lang w:val="en-GB"/>
        </w:rPr>
        <w:t xml:space="preserve"> nationals and</w:t>
      </w:r>
      <w:r w:rsidRPr="00EB5B88">
        <w:rPr>
          <w:i/>
          <w:lang w:val="en-GB"/>
        </w:rPr>
        <w:t xml:space="preserve"> </w:t>
      </w:r>
      <w:r w:rsidR="00922F6D" w:rsidRPr="00922F6D">
        <w:rPr>
          <w:i/>
          <w:lang w:val="en-GB"/>
        </w:rPr>
        <w:t>foreigners</w:t>
      </w:r>
      <w:r w:rsidR="00A769A4">
        <w:rPr>
          <w:i/>
          <w:lang w:val="en-GB"/>
        </w:rPr>
        <w:t xml:space="preserve"> with permanent</w:t>
      </w:r>
      <w:r w:rsidR="00922F6D">
        <w:rPr>
          <w:i/>
          <w:lang w:val="en-GB"/>
        </w:rPr>
        <w:t xml:space="preserve"> residence</w:t>
      </w:r>
      <w:r w:rsidR="00922F6D" w:rsidRPr="00922F6D">
        <w:rPr>
          <w:i/>
          <w:lang w:val="en-GB"/>
        </w:rPr>
        <w:t>,</w:t>
      </w:r>
      <w:r w:rsidR="00922F6D" w:rsidRPr="00EB5B88">
        <w:rPr>
          <w:i/>
          <w:lang w:val="en-GB"/>
        </w:rPr>
        <w:t xml:space="preserve"> </w:t>
      </w:r>
      <w:r w:rsidR="00A769A4">
        <w:rPr>
          <w:i/>
          <w:lang w:val="en-GB"/>
        </w:rPr>
        <w:t>the</w:t>
      </w:r>
      <w:r w:rsidR="00922F6D" w:rsidRPr="00922F6D">
        <w:rPr>
          <w:i/>
          <w:lang w:val="en-GB"/>
        </w:rPr>
        <w:t xml:space="preserve"> third-country nationals with visa for </w:t>
      </w:r>
      <w:r w:rsidR="00922F6D">
        <w:rPr>
          <w:i/>
          <w:lang w:val="en-GB"/>
        </w:rPr>
        <w:t xml:space="preserve">stay </w:t>
      </w:r>
      <w:r w:rsidR="00922F6D" w:rsidRPr="00922F6D">
        <w:rPr>
          <w:i/>
          <w:lang w:val="en-GB"/>
        </w:rPr>
        <w:t xml:space="preserve">over 90 days or long-term residence permit, </w:t>
      </w:r>
      <w:r w:rsidR="00A769A4">
        <w:rPr>
          <w:i/>
          <w:lang w:val="en-GB"/>
        </w:rPr>
        <w:t xml:space="preserve">the </w:t>
      </w:r>
      <w:r w:rsidR="00922F6D" w:rsidRPr="00922F6D">
        <w:rPr>
          <w:i/>
          <w:lang w:val="en-GB"/>
        </w:rPr>
        <w:t xml:space="preserve">EU </w:t>
      </w:r>
      <w:r w:rsidR="00A769A4">
        <w:rPr>
          <w:i/>
          <w:lang w:val="en-GB"/>
        </w:rPr>
        <w:t>nationals</w:t>
      </w:r>
      <w:r w:rsidR="00922F6D" w:rsidRPr="00922F6D">
        <w:rPr>
          <w:i/>
          <w:lang w:val="en-GB"/>
        </w:rPr>
        <w:t xml:space="preserve"> with temporary residence</w:t>
      </w:r>
      <w:r w:rsidR="00922F6D">
        <w:rPr>
          <w:i/>
          <w:lang w:val="en-GB"/>
        </w:rPr>
        <w:t xml:space="preserve"> </w:t>
      </w:r>
      <w:r w:rsidR="00A769A4">
        <w:rPr>
          <w:i/>
          <w:lang w:val="en-GB"/>
        </w:rPr>
        <w:t>in</w:t>
      </w:r>
      <w:r w:rsidR="00922F6D">
        <w:rPr>
          <w:i/>
          <w:lang w:val="en-GB"/>
        </w:rPr>
        <w:t xml:space="preserve"> the territory of the Czech Republic</w:t>
      </w:r>
      <w:r w:rsidR="00A769A4">
        <w:rPr>
          <w:i/>
          <w:lang w:val="en-GB"/>
        </w:rPr>
        <w:t>,</w:t>
      </w:r>
      <w:r w:rsidR="00922F6D" w:rsidRPr="00922F6D">
        <w:rPr>
          <w:i/>
          <w:lang w:val="en-GB"/>
        </w:rPr>
        <w:t xml:space="preserve"> and foreigners with asylum</w:t>
      </w:r>
      <w:r w:rsidR="00922F6D">
        <w:rPr>
          <w:i/>
          <w:lang w:val="en-GB"/>
        </w:rPr>
        <w:t xml:space="preserve"> granted</w:t>
      </w:r>
      <w:r w:rsidR="00922F6D" w:rsidRPr="00922F6D">
        <w:rPr>
          <w:i/>
          <w:lang w:val="en-GB"/>
        </w:rPr>
        <w:t>.</w:t>
      </w:r>
      <w:r w:rsidR="00922F6D">
        <w:rPr>
          <w:i/>
          <w:lang w:val="en-GB"/>
        </w:rPr>
        <w:t xml:space="preserve"> </w:t>
      </w:r>
      <w:r w:rsidRPr="00EB5B88">
        <w:rPr>
          <w:i/>
          <w:lang w:val="en-GB"/>
        </w:rPr>
        <w:t xml:space="preserve">The data </w:t>
      </w:r>
      <w:r w:rsidR="00065595">
        <w:rPr>
          <w:i/>
          <w:lang w:val="en-GB"/>
        </w:rPr>
        <w:t>take into account</w:t>
      </w:r>
      <w:r w:rsidRPr="00EB5B88">
        <w:rPr>
          <w:i/>
          <w:lang w:val="en-GB"/>
        </w:rPr>
        <w:t xml:space="preserve"> </w:t>
      </w:r>
      <w:r>
        <w:rPr>
          <w:i/>
          <w:lang w:val="en-GB"/>
        </w:rPr>
        <w:t xml:space="preserve">also </w:t>
      </w:r>
      <w:r w:rsidRPr="00EB5B88">
        <w:rPr>
          <w:i/>
          <w:lang w:val="en-GB"/>
        </w:rPr>
        <w:t>information on events (marriages, births</w:t>
      </w:r>
      <w:r>
        <w:rPr>
          <w:i/>
          <w:lang w:val="en-GB"/>
        </w:rPr>
        <w:t>,</w:t>
      </w:r>
      <w:r w:rsidRPr="00EB5B88">
        <w:rPr>
          <w:i/>
          <w:lang w:val="en-GB"/>
        </w:rPr>
        <w:t xml:space="preserve"> and deaths) of </w:t>
      </w:r>
      <w:r>
        <w:rPr>
          <w:i/>
          <w:lang w:val="en-GB"/>
        </w:rPr>
        <w:t xml:space="preserve">Czech </w:t>
      </w:r>
      <w:r w:rsidR="00A769A4">
        <w:rPr>
          <w:i/>
          <w:lang w:val="en-GB"/>
        </w:rPr>
        <w:t>nationals</w:t>
      </w:r>
      <w:r>
        <w:rPr>
          <w:i/>
          <w:lang w:val="en-GB"/>
        </w:rPr>
        <w:t xml:space="preserve"> with the pe</w:t>
      </w:r>
      <w:r w:rsidRPr="00EB5B88">
        <w:rPr>
          <w:i/>
          <w:lang w:val="en-GB"/>
        </w:rPr>
        <w:t>rmanent residen</w:t>
      </w:r>
      <w:r>
        <w:rPr>
          <w:i/>
          <w:lang w:val="en-GB"/>
        </w:rPr>
        <w:t>ce</w:t>
      </w:r>
      <w:r w:rsidRPr="00EB5B88">
        <w:rPr>
          <w:i/>
          <w:lang w:val="en-GB"/>
        </w:rPr>
        <w:t xml:space="preserve"> </w:t>
      </w:r>
      <w:r>
        <w:rPr>
          <w:i/>
          <w:lang w:val="en-GB"/>
        </w:rPr>
        <w:t>in</w:t>
      </w:r>
      <w:r w:rsidRPr="00EB5B88">
        <w:rPr>
          <w:i/>
          <w:lang w:val="en-GB"/>
        </w:rPr>
        <w:t xml:space="preserve"> the Czech Republic that occurred abroad.</w:t>
      </w:r>
    </w:p>
    <w:p w14:paraId="529BCD04" w14:textId="72193358" w:rsidR="00F56F3F" w:rsidRDefault="00CA0E6E" w:rsidP="00010616">
      <w:pPr>
        <w:pStyle w:val="Poznmky"/>
        <w:spacing w:before="60"/>
        <w:rPr>
          <w:i/>
          <w:lang w:val="en-GB"/>
        </w:rPr>
      </w:pPr>
      <w:r>
        <w:rPr>
          <w:i/>
          <w:lang w:val="en-GB"/>
        </w:rPr>
        <w:t>All data for 2020</w:t>
      </w:r>
      <w:r w:rsidR="007221A1" w:rsidRPr="00EB5B88">
        <w:rPr>
          <w:i/>
          <w:lang w:val="en-GB"/>
        </w:rPr>
        <w:t xml:space="preserve"> are preliminary. </w:t>
      </w:r>
    </w:p>
    <w:p w14:paraId="3E14FF2D" w14:textId="77777777" w:rsidR="00366052" w:rsidRDefault="00366052" w:rsidP="007221A1">
      <w:pPr>
        <w:pStyle w:val="Poznmky"/>
        <w:spacing w:before="60"/>
        <w:ind w:left="2948" w:hanging="2948"/>
        <w:rPr>
          <w:i/>
          <w:lang w:val="en-GB"/>
        </w:rPr>
      </w:pPr>
    </w:p>
    <w:p w14:paraId="468E2A54" w14:textId="77777777" w:rsidR="007221A1" w:rsidRPr="00EB5B88" w:rsidRDefault="007221A1" w:rsidP="007221A1">
      <w:pPr>
        <w:pStyle w:val="Poznmky"/>
        <w:spacing w:before="60"/>
        <w:ind w:left="2948" w:hanging="2948"/>
        <w:rPr>
          <w:i/>
          <w:lang w:val="en-GB"/>
        </w:rPr>
      </w:pPr>
      <w:r w:rsidRPr="00EB5B88">
        <w:rPr>
          <w:i/>
          <w:lang w:val="en-GB"/>
        </w:rPr>
        <w:t>Responsible manager:</w:t>
      </w:r>
      <w:r w:rsidRPr="00EB5B88">
        <w:rPr>
          <w:i/>
          <w:lang w:val="en-GB"/>
        </w:rPr>
        <w:tab/>
      </w:r>
      <w:r w:rsidR="00010616">
        <w:rPr>
          <w:i/>
          <w:lang w:val="en-GB"/>
        </w:rPr>
        <w:t xml:space="preserve">Mgr. Robert </w:t>
      </w:r>
      <w:proofErr w:type="spellStart"/>
      <w:r w:rsidR="00010616">
        <w:rPr>
          <w:i/>
          <w:lang w:val="en-GB"/>
        </w:rPr>
        <w:t>Šanda</w:t>
      </w:r>
      <w:proofErr w:type="spellEnd"/>
      <w:r w:rsidRPr="00EB5B88">
        <w:rPr>
          <w:i/>
          <w:lang w:val="en-GB"/>
        </w:rPr>
        <w:t xml:space="preserve">, director of Population Statistics Department, </w:t>
      </w:r>
      <w:r>
        <w:rPr>
          <w:i/>
          <w:lang w:val="en-GB"/>
        </w:rPr>
        <w:br/>
      </w:r>
      <w:r w:rsidR="00010616">
        <w:rPr>
          <w:i/>
          <w:lang w:val="en-GB"/>
        </w:rPr>
        <w:t>tel. +420 274 052 160</w:t>
      </w:r>
      <w:r w:rsidRPr="00EB5B88">
        <w:rPr>
          <w:i/>
          <w:lang w:val="en-GB"/>
        </w:rPr>
        <w:t xml:space="preserve">, e-mail: </w:t>
      </w:r>
      <w:r w:rsidR="00366052">
        <w:rPr>
          <w:i/>
          <w:lang w:val="en-GB"/>
        </w:rPr>
        <w:t>r</w:t>
      </w:r>
      <w:r w:rsidR="00010616">
        <w:rPr>
          <w:i/>
          <w:lang w:val="en-GB"/>
        </w:rPr>
        <w:t>obert.sanda</w:t>
      </w:r>
      <w:r w:rsidRPr="00EB5B88">
        <w:rPr>
          <w:i/>
          <w:lang w:val="en-GB"/>
        </w:rPr>
        <w:t>@czso.cz</w:t>
      </w:r>
    </w:p>
    <w:p w14:paraId="56FAAF35" w14:textId="77777777"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sidR="00010616">
        <w:rPr>
          <w:lang w:val="en-GB"/>
        </w:rPr>
        <w:t xml:space="preserve">Mgr. </w:t>
      </w:r>
      <w:r>
        <w:rPr>
          <w:lang w:val="en-GB"/>
        </w:rPr>
        <w:t xml:space="preserve">Michaela </w:t>
      </w:r>
      <w:proofErr w:type="spellStart"/>
      <w:r>
        <w:rPr>
          <w:lang w:val="en-GB"/>
        </w:rPr>
        <w:t>Němečková</w:t>
      </w:r>
      <w:proofErr w:type="spellEnd"/>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14:paraId="6A206429" w14:textId="77777777" w:rsidR="00384CFF" w:rsidRDefault="007221A1" w:rsidP="00384CFF">
      <w:pPr>
        <w:pStyle w:val="Poznamkytexty"/>
        <w:ind w:left="2948" w:hanging="2948"/>
        <w:jc w:val="left"/>
        <w:rPr>
          <w:lang w:val="en-GB"/>
        </w:rPr>
      </w:pPr>
      <w:r w:rsidRPr="00EB5B88">
        <w:rPr>
          <w:lang w:val="en-GB"/>
        </w:rPr>
        <w:t>Data source:</w:t>
      </w:r>
      <w:r w:rsidRPr="00EB5B88">
        <w:rPr>
          <w:lang w:val="en-GB"/>
        </w:rPr>
        <w:tab/>
      </w:r>
      <w:r w:rsidR="00384CFF" w:rsidRPr="00EB5B88">
        <w:rPr>
          <w:lang w:val="en-GB"/>
        </w:rPr>
        <w:t xml:space="preserve">Demographic statistics – results of processing statistical reports of </w:t>
      </w:r>
      <w:proofErr w:type="spellStart"/>
      <w:r w:rsidR="00384CFF" w:rsidRPr="00EB5B88">
        <w:rPr>
          <w:lang w:val="en-GB"/>
        </w:rPr>
        <w:t>Obyv</w:t>
      </w:r>
      <w:proofErr w:type="spellEnd"/>
      <w:r w:rsidR="00384CFF" w:rsidRPr="00EB5B88">
        <w:rPr>
          <w:lang w:val="en-GB"/>
        </w:rPr>
        <w:t xml:space="preserve"> series</w:t>
      </w:r>
    </w:p>
    <w:p w14:paraId="77AF65EA" w14:textId="77777777" w:rsidR="00384CFF" w:rsidRDefault="00384CFF" w:rsidP="00384CFF">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Justice of the </w:t>
      </w:r>
      <w:r>
        <w:rPr>
          <w:lang w:val="en-GB"/>
        </w:rPr>
        <w:t>C</w:t>
      </w:r>
      <w:r w:rsidRPr="00EB5B88">
        <w:rPr>
          <w:lang w:val="en-GB"/>
        </w:rPr>
        <w:t>R</w:t>
      </w:r>
    </w:p>
    <w:p w14:paraId="6B3F32A4" w14:textId="77777777" w:rsidR="00384CFF" w:rsidRPr="00EB5B88" w:rsidRDefault="00384CFF" w:rsidP="00384CFF">
      <w:pPr>
        <w:pStyle w:val="Poznamkytexty"/>
        <w:ind w:left="2948"/>
        <w:jc w:val="left"/>
        <w:rPr>
          <w:color w:val="auto"/>
          <w:lang w:val="en-GB"/>
        </w:rPr>
      </w:pPr>
      <w:r w:rsidRPr="00EB5B88">
        <w:rPr>
          <w:color w:val="auto"/>
          <w:lang w:val="en-GB"/>
        </w:rPr>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p>
    <w:p w14:paraId="7286ACEB" w14:textId="3941F356" w:rsidR="007221A1" w:rsidRPr="00EB5B88" w:rsidRDefault="007221A1" w:rsidP="00384CFF">
      <w:pPr>
        <w:pStyle w:val="Poznamkytexty"/>
        <w:ind w:left="2948" w:hanging="2948"/>
        <w:jc w:val="left"/>
        <w:rPr>
          <w:color w:val="auto"/>
          <w:lang w:val="en-GB"/>
        </w:rPr>
      </w:pPr>
      <w:r w:rsidRPr="00EB5B88">
        <w:rPr>
          <w:color w:val="auto"/>
          <w:lang w:val="en-GB"/>
        </w:rPr>
        <w:t>End of data collection:</w:t>
      </w:r>
      <w:r w:rsidRPr="00EB5B88">
        <w:rPr>
          <w:color w:val="auto"/>
          <w:lang w:val="en-GB"/>
        </w:rPr>
        <w:tab/>
      </w:r>
      <w:r w:rsidR="00CA0E6E">
        <w:rPr>
          <w:color w:val="auto"/>
          <w:lang w:val="en-GB"/>
        </w:rPr>
        <w:t>31</w:t>
      </w:r>
      <w:r>
        <w:rPr>
          <w:color w:val="auto"/>
          <w:lang w:val="en-GB"/>
        </w:rPr>
        <w:t xml:space="preserve"> </w:t>
      </w:r>
      <w:r w:rsidR="00CA0E6E">
        <w:rPr>
          <w:color w:val="auto"/>
          <w:lang w:val="en-GB"/>
        </w:rPr>
        <w:t>May</w:t>
      </w:r>
      <w:r>
        <w:rPr>
          <w:color w:val="auto"/>
          <w:lang w:val="en-GB"/>
        </w:rPr>
        <w:t xml:space="preserve"> </w:t>
      </w:r>
      <w:r w:rsidRPr="00EB5B88">
        <w:rPr>
          <w:color w:val="auto"/>
          <w:lang w:val="en-GB"/>
        </w:rPr>
        <w:t>20</w:t>
      </w:r>
      <w:r w:rsidR="005701E4">
        <w:rPr>
          <w:color w:val="auto"/>
          <w:lang w:val="en-GB"/>
        </w:rPr>
        <w:t>20</w:t>
      </w:r>
    </w:p>
    <w:p w14:paraId="33A4B094" w14:textId="67A84B58" w:rsidR="00F56F3F" w:rsidRPr="0047743E" w:rsidRDefault="007221A1" w:rsidP="00F56F3F">
      <w:pPr>
        <w:pStyle w:val="Poznamkytexty"/>
        <w:ind w:left="2948" w:hanging="2948"/>
        <w:rPr>
          <w:color w:val="auto"/>
          <w:lang w:val="en-GB"/>
        </w:rPr>
      </w:pPr>
      <w:r>
        <w:rPr>
          <w:lang w:val="en-GB"/>
        </w:rPr>
        <w:lastRenderedPageBreak/>
        <w:t>Related publication:</w:t>
      </w:r>
      <w:r>
        <w:rPr>
          <w:lang w:val="en-GB"/>
        </w:rPr>
        <w:tab/>
      </w:r>
      <w:r w:rsidRPr="0047743E">
        <w:rPr>
          <w:lang w:val="en-GB"/>
        </w:rPr>
        <w:t>1300</w:t>
      </w:r>
      <w:r w:rsidR="00CA0E6E" w:rsidRPr="0047743E">
        <w:rPr>
          <w:lang w:val="en-GB"/>
        </w:rPr>
        <w:t>62-20</w:t>
      </w:r>
      <w:r w:rsidRPr="0047743E">
        <w:rPr>
          <w:lang w:val="en-GB"/>
        </w:rPr>
        <w:t xml:space="preserve"> Population of the Czech Republic</w:t>
      </w:r>
      <w:r w:rsidR="00911E01" w:rsidRPr="0047743E">
        <w:rPr>
          <w:lang w:val="en-GB"/>
        </w:rPr>
        <w:t xml:space="preserve"> </w:t>
      </w:r>
      <w:r w:rsidR="00C36A16" w:rsidRPr="0047743E">
        <w:rPr>
          <w:lang w:val="en-GB"/>
        </w:rPr>
        <w:t>–</w:t>
      </w:r>
      <w:r w:rsidR="00CA0E6E" w:rsidRPr="0047743E">
        <w:rPr>
          <w:lang w:val="en-GB"/>
        </w:rPr>
        <w:t>1st quarter of 2020</w:t>
      </w:r>
    </w:p>
    <w:p w14:paraId="5016E552" w14:textId="77777777" w:rsidR="007221A1" w:rsidRPr="0047743E" w:rsidRDefault="00384CFF" w:rsidP="00F56F3F">
      <w:pPr>
        <w:pStyle w:val="Poznamkytexty"/>
        <w:ind w:left="2948" w:firstLine="29"/>
        <w:rPr>
          <w:color w:val="auto"/>
          <w:lang w:val="en-GB"/>
        </w:rPr>
      </w:pPr>
      <w:r w:rsidRPr="0047743E">
        <w:rPr>
          <w:rFonts w:cs="Arial"/>
          <w:color w:val="auto"/>
        </w:rPr>
        <w:t>https://www.czso.cz/current-product/41180</w:t>
      </w:r>
    </w:p>
    <w:p w14:paraId="1968668A" w14:textId="03C5D5E4" w:rsidR="007221A1" w:rsidRPr="00EB5B88" w:rsidRDefault="007221A1" w:rsidP="007221A1">
      <w:pPr>
        <w:pStyle w:val="Poznamkytexty"/>
        <w:ind w:left="2948" w:hanging="2948"/>
        <w:rPr>
          <w:lang w:val="en-GB"/>
        </w:rPr>
      </w:pPr>
      <w:r w:rsidRPr="0047743E">
        <w:rPr>
          <w:lang w:val="en-GB"/>
        </w:rPr>
        <w:t>Next News Release:</w:t>
      </w:r>
      <w:r w:rsidRPr="0047743E">
        <w:rPr>
          <w:lang w:val="en-GB"/>
        </w:rPr>
        <w:tab/>
      </w:r>
      <w:r w:rsidR="00CA0E6E" w:rsidRPr="0047743E">
        <w:rPr>
          <w:lang w:val="en-GB"/>
        </w:rPr>
        <w:t>11</w:t>
      </w:r>
      <w:r w:rsidR="00366052" w:rsidRPr="0047743E">
        <w:rPr>
          <w:lang w:val="en-GB"/>
        </w:rPr>
        <w:t xml:space="preserve"> </w:t>
      </w:r>
      <w:r w:rsidR="00CA0E6E" w:rsidRPr="0047743E">
        <w:rPr>
          <w:lang w:val="en-GB"/>
        </w:rPr>
        <w:t>September</w:t>
      </w:r>
      <w:r w:rsidRPr="0047743E">
        <w:rPr>
          <w:lang w:val="en-GB"/>
        </w:rPr>
        <w:t xml:space="preserve"> 20</w:t>
      </w:r>
      <w:r w:rsidR="005701E4" w:rsidRPr="0047743E">
        <w:rPr>
          <w:lang w:val="en-GB"/>
        </w:rPr>
        <w:t>20</w:t>
      </w:r>
    </w:p>
    <w:p w14:paraId="55327740" w14:textId="77777777" w:rsidR="007221A1" w:rsidRDefault="007221A1" w:rsidP="007221A1">
      <w:pPr>
        <w:pStyle w:val="Poznamkytexty"/>
        <w:spacing w:line="276" w:lineRule="auto"/>
        <w:rPr>
          <w:b/>
          <w:i w:val="0"/>
          <w:sz w:val="20"/>
          <w:szCs w:val="20"/>
          <w:lang w:val="en-GB"/>
        </w:rPr>
      </w:pPr>
    </w:p>
    <w:p w14:paraId="0C15B828" w14:textId="77777777" w:rsidR="007221A1" w:rsidRPr="00D84A58" w:rsidRDefault="007221A1" w:rsidP="007221A1">
      <w:pPr>
        <w:pStyle w:val="Poznamkytexty"/>
        <w:spacing w:line="276" w:lineRule="auto"/>
        <w:rPr>
          <w:b/>
          <w:lang w:val="en-GB"/>
        </w:rPr>
      </w:pPr>
      <w:r w:rsidRPr="00D84A58">
        <w:rPr>
          <w:b/>
          <w:lang w:val="en-GB"/>
        </w:rPr>
        <w:t>Annexes:</w:t>
      </w:r>
    </w:p>
    <w:p w14:paraId="38468B35" w14:textId="02C2EF5F" w:rsidR="007221A1" w:rsidRPr="00D84A58" w:rsidRDefault="007221A1" w:rsidP="0047743E">
      <w:pPr>
        <w:pStyle w:val="Zkladntextodsazen"/>
        <w:spacing w:after="0"/>
        <w:ind w:left="284" w:hanging="284"/>
        <w:rPr>
          <w:i/>
          <w:iCs/>
          <w:szCs w:val="20"/>
        </w:rPr>
      </w:pPr>
      <w:r w:rsidRPr="00D84A58">
        <w:rPr>
          <w:i/>
          <w:iCs/>
          <w:szCs w:val="20"/>
        </w:rPr>
        <w:t>Tab</w:t>
      </w:r>
      <w:r w:rsidR="0047743E" w:rsidRPr="00D84A58">
        <w:rPr>
          <w:i/>
          <w:iCs/>
          <w:szCs w:val="20"/>
        </w:rPr>
        <w:t>le</w:t>
      </w:r>
      <w:r w:rsidRPr="00D84A58">
        <w:rPr>
          <w:i/>
          <w:iCs/>
          <w:szCs w:val="20"/>
        </w:rPr>
        <w:t xml:space="preserve"> 1 Population (absolute and relative figures, year-to-year changes)</w:t>
      </w:r>
    </w:p>
    <w:p w14:paraId="6850B192" w14:textId="1B2FE209" w:rsidR="00B36279" w:rsidRPr="00D84A58" w:rsidRDefault="00B36279" w:rsidP="0047743E">
      <w:pPr>
        <w:pStyle w:val="Zkladntextodsazen"/>
        <w:spacing w:after="0"/>
        <w:ind w:left="0"/>
        <w:rPr>
          <w:i/>
          <w:iCs/>
          <w:szCs w:val="20"/>
        </w:rPr>
      </w:pPr>
      <w:r w:rsidRPr="00D84A58">
        <w:rPr>
          <w:i/>
          <w:iCs/>
          <w:szCs w:val="20"/>
        </w:rPr>
        <w:t xml:space="preserve">Chart 1 </w:t>
      </w:r>
      <w:r w:rsidR="006458B0" w:rsidRPr="00D84A58">
        <w:rPr>
          <w:i/>
          <w:iCs/>
          <w:szCs w:val="20"/>
        </w:rPr>
        <w:t>Population, quarterly</w:t>
      </w:r>
      <w:r w:rsidRPr="00D84A58">
        <w:rPr>
          <w:i/>
          <w:iCs/>
          <w:szCs w:val="20"/>
        </w:rPr>
        <w:t xml:space="preserve"> data (absolute </w:t>
      </w:r>
      <w:r w:rsidR="00D84A58">
        <w:rPr>
          <w:i/>
          <w:iCs/>
          <w:szCs w:val="20"/>
        </w:rPr>
        <w:t>numbers</w:t>
      </w:r>
      <w:r w:rsidRPr="00D84A58">
        <w:rPr>
          <w:i/>
          <w:iCs/>
          <w:szCs w:val="20"/>
        </w:rPr>
        <w:t>)</w:t>
      </w:r>
    </w:p>
    <w:p w14:paraId="7AB9246C" w14:textId="1F22EE8F" w:rsidR="00B36279" w:rsidRPr="00D84A58" w:rsidRDefault="00B36279" w:rsidP="0047743E">
      <w:pPr>
        <w:pStyle w:val="Zpat"/>
        <w:spacing w:line="276" w:lineRule="auto"/>
        <w:rPr>
          <w:i/>
          <w:iCs/>
          <w:szCs w:val="20"/>
        </w:rPr>
      </w:pPr>
      <w:r w:rsidRPr="00D84A58">
        <w:rPr>
          <w:i/>
          <w:iCs/>
          <w:szCs w:val="20"/>
        </w:rPr>
        <w:t xml:space="preserve">Chart 2 </w:t>
      </w:r>
      <w:r w:rsidR="006458B0" w:rsidRPr="00D84A58">
        <w:rPr>
          <w:i/>
          <w:iCs/>
          <w:szCs w:val="20"/>
        </w:rPr>
        <w:t xml:space="preserve">Population change, </w:t>
      </w:r>
      <w:r w:rsidR="00D84A58">
        <w:rPr>
          <w:i/>
          <w:iCs/>
          <w:szCs w:val="20"/>
        </w:rPr>
        <w:t>Q1</w:t>
      </w:r>
      <w:r w:rsidR="006458B0" w:rsidRPr="00D84A58">
        <w:rPr>
          <w:i/>
          <w:iCs/>
          <w:szCs w:val="20"/>
        </w:rPr>
        <w:t xml:space="preserve"> </w:t>
      </w:r>
      <w:r w:rsidRPr="00D84A58">
        <w:rPr>
          <w:i/>
          <w:iCs/>
          <w:szCs w:val="20"/>
        </w:rPr>
        <w:t xml:space="preserve">(absolute </w:t>
      </w:r>
      <w:r w:rsidR="00D84A58">
        <w:rPr>
          <w:i/>
          <w:iCs/>
          <w:szCs w:val="20"/>
        </w:rPr>
        <w:t>number</w:t>
      </w:r>
      <w:r w:rsidRPr="00D84A58">
        <w:rPr>
          <w:i/>
          <w:iCs/>
          <w:szCs w:val="20"/>
        </w:rPr>
        <w:t>s)</w:t>
      </w:r>
    </w:p>
    <w:p w14:paraId="2BB74323" w14:textId="615B34E5" w:rsidR="00B36279" w:rsidRPr="00D84A58" w:rsidRDefault="00B36279" w:rsidP="0047743E">
      <w:pPr>
        <w:pStyle w:val="Zpat"/>
        <w:spacing w:line="276" w:lineRule="auto"/>
        <w:rPr>
          <w:i/>
          <w:iCs/>
          <w:szCs w:val="20"/>
        </w:rPr>
      </w:pPr>
      <w:r w:rsidRPr="00D84A58">
        <w:rPr>
          <w:i/>
          <w:iCs/>
          <w:szCs w:val="20"/>
        </w:rPr>
        <w:t xml:space="preserve">Chart 3 </w:t>
      </w:r>
      <w:r w:rsidR="006458B0" w:rsidRPr="00D84A58">
        <w:rPr>
          <w:i/>
          <w:iCs/>
          <w:szCs w:val="20"/>
        </w:rPr>
        <w:t>Live births</w:t>
      </w:r>
      <w:r w:rsidRPr="00D84A58">
        <w:rPr>
          <w:i/>
          <w:iCs/>
          <w:szCs w:val="20"/>
        </w:rPr>
        <w:t xml:space="preserve">, </w:t>
      </w:r>
      <w:r w:rsidR="006458B0" w:rsidRPr="00D84A58">
        <w:rPr>
          <w:i/>
          <w:iCs/>
          <w:szCs w:val="20"/>
        </w:rPr>
        <w:t xml:space="preserve">quarterly data </w:t>
      </w:r>
      <w:r w:rsidRPr="00D84A58">
        <w:rPr>
          <w:i/>
          <w:iCs/>
          <w:szCs w:val="20"/>
        </w:rPr>
        <w:t xml:space="preserve">(absolute </w:t>
      </w:r>
      <w:r w:rsidR="00D84A58">
        <w:rPr>
          <w:i/>
          <w:iCs/>
          <w:szCs w:val="20"/>
        </w:rPr>
        <w:t>numbers</w:t>
      </w:r>
      <w:r w:rsidRPr="00D84A58">
        <w:rPr>
          <w:i/>
          <w:iCs/>
          <w:szCs w:val="20"/>
        </w:rPr>
        <w:t>)</w:t>
      </w:r>
    </w:p>
    <w:p w14:paraId="309771F4" w14:textId="14E89952" w:rsidR="00B36279" w:rsidRPr="00D84A58" w:rsidRDefault="00B36279" w:rsidP="0047743E">
      <w:pPr>
        <w:pStyle w:val="Zpat"/>
        <w:spacing w:line="276" w:lineRule="auto"/>
        <w:rPr>
          <w:i/>
          <w:iCs/>
          <w:szCs w:val="20"/>
        </w:rPr>
      </w:pPr>
      <w:r w:rsidRPr="00D84A58">
        <w:rPr>
          <w:i/>
          <w:iCs/>
          <w:szCs w:val="20"/>
        </w:rPr>
        <w:t xml:space="preserve">Chart 4 </w:t>
      </w:r>
      <w:r w:rsidR="006458B0" w:rsidRPr="00D84A58">
        <w:rPr>
          <w:i/>
          <w:iCs/>
          <w:szCs w:val="20"/>
        </w:rPr>
        <w:t>Deaths</w:t>
      </w:r>
      <w:r w:rsidRPr="00D84A58">
        <w:rPr>
          <w:i/>
          <w:iCs/>
          <w:szCs w:val="20"/>
        </w:rPr>
        <w:t xml:space="preserve">, </w:t>
      </w:r>
      <w:r w:rsidR="006458B0" w:rsidRPr="00D84A58">
        <w:rPr>
          <w:i/>
          <w:iCs/>
          <w:szCs w:val="20"/>
        </w:rPr>
        <w:t xml:space="preserve">quarterly data </w:t>
      </w:r>
      <w:r w:rsidRPr="00D84A58">
        <w:rPr>
          <w:i/>
          <w:iCs/>
          <w:szCs w:val="20"/>
        </w:rPr>
        <w:t xml:space="preserve">(absolute </w:t>
      </w:r>
      <w:r w:rsidR="00D84A58">
        <w:rPr>
          <w:i/>
          <w:iCs/>
          <w:szCs w:val="20"/>
        </w:rPr>
        <w:t>number</w:t>
      </w:r>
      <w:r w:rsidRPr="00D84A58">
        <w:rPr>
          <w:i/>
          <w:iCs/>
          <w:szCs w:val="20"/>
        </w:rPr>
        <w:t>s)</w:t>
      </w:r>
    </w:p>
    <w:p w14:paraId="3CFB681F" w14:textId="53694357" w:rsidR="00B36279" w:rsidRPr="00D84A58" w:rsidRDefault="00B36279" w:rsidP="0047743E">
      <w:pPr>
        <w:pStyle w:val="Zpat"/>
        <w:spacing w:line="276" w:lineRule="auto"/>
        <w:rPr>
          <w:i/>
          <w:iCs/>
          <w:szCs w:val="20"/>
        </w:rPr>
      </w:pPr>
      <w:r w:rsidRPr="00D84A58">
        <w:rPr>
          <w:i/>
          <w:iCs/>
          <w:szCs w:val="20"/>
        </w:rPr>
        <w:t xml:space="preserve">Chart 5 </w:t>
      </w:r>
      <w:r w:rsidR="006458B0" w:rsidRPr="00D84A58">
        <w:rPr>
          <w:i/>
          <w:iCs/>
          <w:szCs w:val="20"/>
        </w:rPr>
        <w:t>Marriages</w:t>
      </w:r>
      <w:r w:rsidRPr="00D84A58">
        <w:rPr>
          <w:i/>
          <w:iCs/>
          <w:szCs w:val="20"/>
        </w:rPr>
        <w:t xml:space="preserve">, </w:t>
      </w:r>
      <w:r w:rsidR="006458B0" w:rsidRPr="00D84A58">
        <w:rPr>
          <w:i/>
          <w:iCs/>
          <w:szCs w:val="20"/>
        </w:rPr>
        <w:t xml:space="preserve">quarterly data </w:t>
      </w:r>
      <w:r w:rsidRPr="00D84A58">
        <w:rPr>
          <w:i/>
          <w:iCs/>
          <w:szCs w:val="20"/>
        </w:rPr>
        <w:t xml:space="preserve">(absolute </w:t>
      </w:r>
      <w:r w:rsidR="00D84A58">
        <w:rPr>
          <w:i/>
          <w:iCs/>
          <w:szCs w:val="20"/>
        </w:rPr>
        <w:t>number</w:t>
      </w:r>
      <w:r w:rsidRPr="00D84A58">
        <w:rPr>
          <w:i/>
          <w:iCs/>
          <w:szCs w:val="20"/>
        </w:rPr>
        <w:t>s)</w:t>
      </w:r>
    </w:p>
    <w:p w14:paraId="1EC6CAF0" w14:textId="57A72EB8" w:rsidR="00B36279" w:rsidRPr="001359E4" w:rsidRDefault="00B36279" w:rsidP="001359E4">
      <w:pPr>
        <w:pStyle w:val="Zpat"/>
        <w:spacing w:line="276" w:lineRule="auto"/>
        <w:rPr>
          <w:i/>
          <w:iCs/>
          <w:szCs w:val="20"/>
        </w:rPr>
      </w:pPr>
      <w:r w:rsidRPr="00D84A58">
        <w:rPr>
          <w:i/>
          <w:iCs/>
          <w:szCs w:val="20"/>
        </w:rPr>
        <w:t xml:space="preserve">Chart </w:t>
      </w:r>
      <w:r w:rsidR="006458B0" w:rsidRPr="00D84A58">
        <w:rPr>
          <w:i/>
          <w:iCs/>
          <w:szCs w:val="20"/>
        </w:rPr>
        <w:t>6 Divorces</w:t>
      </w:r>
      <w:r w:rsidRPr="00D84A58">
        <w:rPr>
          <w:i/>
          <w:iCs/>
          <w:szCs w:val="20"/>
        </w:rPr>
        <w:t xml:space="preserve">, </w:t>
      </w:r>
      <w:r w:rsidR="006458B0" w:rsidRPr="00D84A58">
        <w:rPr>
          <w:i/>
          <w:iCs/>
          <w:szCs w:val="20"/>
        </w:rPr>
        <w:t xml:space="preserve">quarterly data </w:t>
      </w:r>
      <w:r w:rsidRPr="00D84A58">
        <w:rPr>
          <w:i/>
          <w:iCs/>
          <w:szCs w:val="20"/>
        </w:rPr>
        <w:t xml:space="preserve">(absolute </w:t>
      </w:r>
      <w:r w:rsidR="00D84A58">
        <w:rPr>
          <w:i/>
          <w:iCs/>
          <w:szCs w:val="20"/>
        </w:rPr>
        <w:t>number</w:t>
      </w:r>
      <w:r w:rsidRPr="00D84A58">
        <w:rPr>
          <w:i/>
          <w:iCs/>
          <w:szCs w:val="20"/>
        </w:rPr>
        <w:t>s)</w:t>
      </w:r>
    </w:p>
    <w:sectPr w:rsidR="00B36279" w:rsidRPr="001359E4"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DAC104" w15:done="0"/>
  <w15:commentEx w15:paraId="72313F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C15D1" w14:textId="77777777" w:rsidR="006B5EE2" w:rsidRDefault="006B5EE2" w:rsidP="00BA6370">
      <w:r>
        <w:separator/>
      </w:r>
    </w:p>
  </w:endnote>
  <w:endnote w:type="continuationSeparator" w:id="0">
    <w:p w14:paraId="4244F5EE" w14:textId="77777777" w:rsidR="006B5EE2" w:rsidRDefault="006B5EE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0236B713"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E76C3F">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0236B713"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E76C3F">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F74CE" w14:textId="77777777" w:rsidR="006B5EE2" w:rsidRDefault="006B5EE2" w:rsidP="00BA6370">
      <w:r>
        <w:separator/>
      </w:r>
    </w:p>
  </w:footnote>
  <w:footnote w:type="continuationSeparator" w:id="0">
    <w:p w14:paraId="5826E8B5" w14:textId="77777777" w:rsidR="006B5EE2" w:rsidRDefault="006B5EE2"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gr. Terezie Štyglerová">
    <w15:presenceInfo w15:providerId="None" w15:userId="Mgr. Terezie Štygle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A1"/>
    <w:rsid w:val="000009F0"/>
    <w:rsid w:val="00002C0A"/>
    <w:rsid w:val="00002DC1"/>
    <w:rsid w:val="00010616"/>
    <w:rsid w:val="00011B42"/>
    <w:rsid w:val="000149AA"/>
    <w:rsid w:val="000152A1"/>
    <w:rsid w:val="000213DB"/>
    <w:rsid w:val="00024CBF"/>
    <w:rsid w:val="00030206"/>
    <w:rsid w:val="00030BEC"/>
    <w:rsid w:val="00030D70"/>
    <w:rsid w:val="000338F4"/>
    <w:rsid w:val="00037624"/>
    <w:rsid w:val="0004065E"/>
    <w:rsid w:val="00043BF4"/>
    <w:rsid w:val="00046FAC"/>
    <w:rsid w:val="00055A8C"/>
    <w:rsid w:val="00056F80"/>
    <w:rsid w:val="00063A71"/>
    <w:rsid w:val="00065141"/>
    <w:rsid w:val="00065595"/>
    <w:rsid w:val="000666AD"/>
    <w:rsid w:val="00067B7D"/>
    <w:rsid w:val="00076808"/>
    <w:rsid w:val="0007772D"/>
    <w:rsid w:val="000843A5"/>
    <w:rsid w:val="00091722"/>
    <w:rsid w:val="00091823"/>
    <w:rsid w:val="000A1A49"/>
    <w:rsid w:val="000A2095"/>
    <w:rsid w:val="000A579B"/>
    <w:rsid w:val="000B12F3"/>
    <w:rsid w:val="000B142B"/>
    <w:rsid w:val="000B5078"/>
    <w:rsid w:val="000B63AE"/>
    <w:rsid w:val="000B6F63"/>
    <w:rsid w:val="000D2553"/>
    <w:rsid w:val="000D2EA5"/>
    <w:rsid w:val="000D7F46"/>
    <w:rsid w:val="000E4FAD"/>
    <w:rsid w:val="000E6491"/>
    <w:rsid w:val="000F6542"/>
    <w:rsid w:val="00101A9B"/>
    <w:rsid w:val="00102CE8"/>
    <w:rsid w:val="00103A17"/>
    <w:rsid w:val="00106821"/>
    <w:rsid w:val="00111884"/>
    <w:rsid w:val="0011360A"/>
    <w:rsid w:val="00116ED1"/>
    <w:rsid w:val="00123849"/>
    <w:rsid w:val="00123FBE"/>
    <w:rsid w:val="00124380"/>
    <w:rsid w:val="00131C8A"/>
    <w:rsid w:val="001322CA"/>
    <w:rsid w:val="0013242C"/>
    <w:rsid w:val="0013567C"/>
    <w:rsid w:val="001359E4"/>
    <w:rsid w:val="001368CD"/>
    <w:rsid w:val="001404AB"/>
    <w:rsid w:val="0014616D"/>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40B1"/>
    <w:rsid w:val="00196326"/>
    <w:rsid w:val="001A02FA"/>
    <w:rsid w:val="001A114F"/>
    <w:rsid w:val="001A43E8"/>
    <w:rsid w:val="001A5BF4"/>
    <w:rsid w:val="001A6878"/>
    <w:rsid w:val="001B0A41"/>
    <w:rsid w:val="001B45C6"/>
    <w:rsid w:val="001B607F"/>
    <w:rsid w:val="001B7093"/>
    <w:rsid w:val="001C5111"/>
    <w:rsid w:val="001C71FD"/>
    <w:rsid w:val="001D03F9"/>
    <w:rsid w:val="001D369A"/>
    <w:rsid w:val="001D3D0A"/>
    <w:rsid w:val="001D65AB"/>
    <w:rsid w:val="001E098A"/>
    <w:rsid w:val="001E1A6F"/>
    <w:rsid w:val="001E1D52"/>
    <w:rsid w:val="001E267D"/>
    <w:rsid w:val="001E2F6C"/>
    <w:rsid w:val="001E34AC"/>
    <w:rsid w:val="001F08B3"/>
    <w:rsid w:val="001F381D"/>
    <w:rsid w:val="0020222D"/>
    <w:rsid w:val="00203930"/>
    <w:rsid w:val="00205A11"/>
    <w:rsid w:val="00205EBB"/>
    <w:rsid w:val="002070FB"/>
    <w:rsid w:val="00211A9E"/>
    <w:rsid w:val="00213729"/>
    <w:rsid w:val="0021772B"/>
    <w:rsid w:val="002406FA"/>
    <w:rsid w:val="00241C22"/>
    <w:rsid w:val="00242603"/>
    <w:rsid w:val="00247240"/>
    <w:rsid w:val="0025064F"/>
    <w:rsid w:val="002552B6"/>
    <w:rsid w:val="002552F2"/>
    <w:rsid w:val="00256E84"/>
    <w:rsid w:val="00262FDA"/>
    <w:rsid w:val="0026325A"/>
    <w:rsid w:val="00267479"/>
    <w:rsid w:val="0027150E"/>
    <w:rsid w:val="00271A22"/>
    <w:rsid w:val="002725C4"/>
    <w:rsid w:val="0027564A"/>
    <w:rsid w:val="00277F6F"/>
    <w:rsid w:val="0028170D"/>
    <w:rsid w:val="00285A19"/>
    <w:rsid w:val="00287ABF"/>
    <w:rsid w:val="00297900"/>
    <w:rsid w:val="002A4B1F"/>
    <w:rsid w:val="002A4C16"/>
    <w:rsid w:val="002B117A"/>
    <w:rsid w:val="002B1371"/>
    <w:rsid w:val="002B2E47"/>
    <w:rsid w:val="002B6559"/>
    <w:rsid w:val="002C57D4"/>
    <w:rsid w:val="002D37F5"/>
    <w:rsid w:val="002D425E"/>
    <w:rsid w:val="002D49CB"/>
    <w:rsid w:val="002E3141"/>
    <w:rsid w:val="002F28A2"/>
    <w:rsid w:val="002F2B94"/>
    <w:rsid w:val="002F39D3"/>
    <w:rsid w:val="002F3CEA"/>
    <w:rsid w:val="002F4638"/>
    <w:rsid w:val="002F7761"/>
    <w:rsid w:val="00310E1B"/>
    <w:rsid w:val="0031159B"/>
    <w:rsid w:val="00312DD2"/>
    <w:rsid w:val="00320033"/>
    <w:rsid w:val="00320F4C"/>
    <w:rsid w:val="00321217"/>
    <w:rsid w:val="00322D8D"/>
    <w:rsid w:val="0032398D"/>
    <w:rsid w:val="003301A3"/>
    <w:rsid w:val="003356AB"/>
    <w:rsid w:val="003414AB"/>
    <w:rsid w:val="00343D1B"/>
    <w:rsid w:val="00345EDB"/>
    <w:rsid w:val="003471F1"/>
    <w:rsid w:val="00361F92"/>
    <w:rsid w:val="0036294D"/>
    <w:rsid w:val="003647FE"/>
    <w:rsid w:val="00366052"/>
    <w:rsid w:val="0036777B"/>
    <w:rsid w:val="00370B28"/>
    <w:rsid w:val="00372024"/>
    <w:rsid w:val="00380178"/>
    <w:rsid w:val="0038282A"/>
    <w:rsid w:val="00384CFF"/>
    <w:rsid w:val="00385D1D"/>
    <w:rsid w:val="00386A0B"/>
    <w:rsid w:val="00394C08"/>
    <w:rsid w:val="00397580"/>
    <w:rsid w:val="003A2354"/>
    <w:rsid w:val="003A45C8"/>
    <w:rsid w:val="003A5518"/>
    <w:rsid w:val="003A6FB1"/>
    <w:rsid w:val="003A7E0E"/>
    <w:rsid w:val="003B7F42"/>
    <w:rsid w:val="003C2DCF"/>
    <w:rsid w:val="003C3028"/>
    <w:rsid w:val="003C3372"/>
    <w:rsid w:val="003C7FE7"/>
    <w:rsid w:val="003D0499"/>
    <w:rsid w:val="003D2745"/>
    <w:rsid w:val="003D3576"/>
    <w:rsid w:val="003F526A"/>
    <w:rsid w:val="003F6C15"/>
    <w:rsid w:val="003F6DB2"/>
    <w:rsid w:val="00402D93"/>
    <w:rsid w:val="00405244"/>
    <w:rsid w:val="004054D7"/>
    <w:rsid w:val="00405935"/>
    <w:rsid w:val="004108C9"/>
    <w:rsid w:val="00412BBD"/>
    <w:rsid w:val="0041387D"/>
    <w:rsid w:val="00414B22"/>
    <w:rsid w:val="00421D95"/>
    <w:rsid w:val="0042429D"/>
    <w:rsid w:val="004360DE"/>
    <w:rsid w:val="0043686E"/>
    <w:rsid w:val="00436D82"/>
    <w:rsid w:val="004436EE"/>
    <w:rsid w:val="0045547F"/>
    <w:rsid w:val="00455989"/>
    <w:rsid w:val="00460277"/>
    <w:rsid w:val="00462224"/>
    <w:rsid w:val="004649D2"/>
    <w:rsid w:val="00467C64"/>
    <w:rsid w:val="004704A7"/>
    <w:rsid w:val="0047383D"/>
    <w:rsid w:val="00473B03"/>
    <w:rsid w:val="0047743E"/>
    <w:rsid w:val="00477968"/>
    <w:rsid w:val="00482C9F"/>
    <w:rsid w:val="00486D7C"/>
    <w:rsid w:val="004911F1"/>
    <w:rsid w:val="004920AD"/>
    <w:rsid w:val="00495391"/>
    <w:rsid w:val="004A02B2"/>
    <w:rsid w:val="004A2BDE"/>
    <w:rsid w:val="004A3824"/>
    <w:rsid w:val="004A6B47"/>
    <w:rsid w:val="004B3ABD"/>
    <w:rsid w:val="004C0197"/>
    <w:rsid w:val="004C57B6"/>
    <w:rsid w:val="004D05B3"/>
    <w:rsid w:val="004D1525"/>
    <w:rsid w:val="004D1941"/>
    <w:rsid w:val="004D4A96"/>
    <w:rsid w:val="004E20C5"/>
    <w:rsid w:val="004E3465"/>
    <w:rsid w:val="004E479E"/>
    <w:rsid w:val="004E4F59"/>
    <w:rsid w:val="004E51A5"/>
    <w:rsid w:val="004F0592"/>
    <w:rsid w:val="004F18F8"/>
    <w:rsid w:val="004F6964"/>
    <w:rsid w:val="004F78E6"/>
    <w:rsid w:val="0050750E"/>
    <w:rsid w:val="00512D99"/>
    <w:rsid w:val="00516577"/>
    <w:rsid w:val="00525CD0"/>
    <w:rsid w:val="005279E6"/>
    <w:rsid w:val="00531DBB"/>
    <w:rsid w:val="00533D3A"/>
    <w:rsid w:val="00535A20"/>
    <w:rsid w:val="00541AA7"/>
    <w:rsid w:val="00546020"/>
    <w:rsid w:val="00547611"/>
    <w:rsid w:val="00550F67"/>
    <w:rsid w:val="005510CC"/>
    <w:rsid w:val="0055174D"/>
    <w:rsid w:val="00551A5A"/>
    <w:rsid w:val="00553C5B"/>
    <w:rsid w:val="00554AD4"/>
    <w:rsid w:val="00564213"/>
    <w:rsid w:val="00567590"/>
    <w:rsid w:val="005701DC"/>
    <w:rsid w:val="005701E4"/>
    <w:rsid w:val="00574836"/>
    <w:rsid w:val="00575E96"/>
    <w:rsid w:val="0058606D"/>
    <w:rsid w:val="00587C4F"/>
    <w:rsid w:val="00594901"/>
    <w:rsid w:val="0059712F"/>
    <w:rsid w:val="005A0748"/>
    <w:rsid w:val="005A73F4"/>
    <w:rsid w:val="005B2500"/>
    <w:rsid w:val="005B46D8"/>
    <w:rsid w:val="005C7166"/>
    <w:rsid w:val="005C73D0"/>
    <w:rsid w:val="005E1AA4"/>
    <w:rsid w:val="005E2EFF"/>
    <w:rsid w:val="005F79FB"/>
    <w:rsid w:val="00604406"/>
    <w:rsid w:val="00604B52"/>
    <w:rsid w:val="00605F4A"/>
    <w:rsid w:val="006071C0"/>
    <w:rsid w:val="00607822"/>
    <w:rsid w:val="00607CCA"/>
    <w:rsid w:val="006103AA"/>
    <w:rsid w:val="00612CF5"/>
    <w:rsid w:val="00613BBF"/>
    <w:rsid w:val="00621A2A"/>
    <w:rsid w:val="00622B80"/>
    <w:rsid w:val="006259A1"/>
    <w:rsid w:val="00630C46"/>
    <w:rsid w:val="00635C38"/>
    <w:rsid w:val="00637BC4"/>
    <w:rsid w:val="00640E47"/>
    <w:rsid w:val="0064139A"/>
    <w:rsid w:val="0064297C"/>
    <w:rsid w:val="00645403"/>
    <w:rsid w:val="006458B0"/>
    <w:rsid w:val="00646F14"/>
    <w:rsid w:val="0065237A"/>
    <w:rsid w:val="00655DE3"/>
    <w:rsid w:val="006601DC"/>
    <w:rsid w:val="0066236F"/>
    <w:rsid w:val="00671EE2"/>
    <w:rsid w:val="00673934"/>
    <w:rsid w:val="00675DCD"/>
    <w:rsid w:val="006771CD"/>
    <w:rsid w:val="00685113"/>
    <w:rsid w:val="00687396"/>
    <w:rsid w:val="00693483"/>
    <w:rsid w:val="00693F62"/>
    <w:rsid w:val="00694ED2"/>
    <w:rsid w:val="00696EF3"/>
    <w:rsid w:val="006A0332"/>
    <w:rsid w:val="006A68AA"/>
    <w:rsid w:val="006B2171"/>
    <w:rsid w:val="006B5EE2"/>
    <w:rsid w:val="006B6AF7"/>
    <w:rsid w:val="006C1514"/>
    <w:rsid w:val="006C284A"/>
    <w:rsid w:val="006C50B8"/>
    <w:rsid w:val="006D03AD"/>
    <w:rsid w:val="006D0E42"/>
    <w:rsid w:val="006D5987"/>
    <w:rsid w:val="006D5C60"/>
    <w:rsid w:val="006D5DC7"/>
    <w:rsid w:val="006E024F"/>
    <w:rsid w:val="006E4E81"/>
    <w:rsid w:val="006F2A00"/>
    <w:rsid w:val="006F60F6"/>
    <w:rsid w:val="0070342F"/>
    <w:rsid w:val="0070615C"/>
    <w:rsid w:val="00707A3E"/>
    <w:rsid w:val="00707F7D"/>
    <w:rsid w:val="00712573"/>
    <w:rsid w:val="0071572B"/>
    <w:rsid w:val="00716CDC"/>
    <w:rsid w:val="00717AAB"/>
    <w:rsid w:val="00717EC5"/>
    <w:rsid w:val="00721F08"/>
    <w:rsid w:val="007221A1"/>
    <w:rsid w:val="00724C81"/>
    <w:rsid w:val="0075040F"/>
    <w:rsid w:val="00752400"/>
    <w:rsid w:val="00754FD1"/>
    <w:rsid w:val="00755D8B"/>
    <w:rsid w:val="00763787"/>
    <w:rsid w:val="00766F3C"/>
    <w:rsid w:val="0077070A"/>
    <w:rsid w:val="00771F12"/>
    <w:rsid w:val="00773B7D"/>
    <w:rsid w:val="0077442D"/>
    <w:rsid w:val="00774BEC"/>
    <w:rsid w:val="007755B6"/>
    <w:rsid w:val="007771FB"/>
    <w:rsid w:val="00792302"/>
    <w:rsid w:val="00793145"/>
    <w:rsid w:val="007A0CA5"/>
    <w:rsid w:val="007A40E1"/>
    <w:rsid w:val="007A57F2"/>
    <w:rsid w:val="007B0624"/>
    <w:rsid w:val="007B09D0"/>
    <w:rsid w:val="007B1333"/>
    <w:rsid w:val="007B5F35"/>
    <w:rsid w:val="007C31A0"/>
    <w:rsid w:val="007C5BC9"/>
    <w:rsid w:val="007D703E"/>
    <w:rsid w:val="007E065F"/>
    <w:rsid w:val="007E3364"/>
    <w:rsid w:val="007F22B6"/>
    <w:rsid w:val="007F373B"/>
    <w:rsid w:val="007F3AC8"/>
    <w:rsid w:val="007F4AEB"/>
    <w:rsid w:val="007F75B2"/>
    <w:rsid w:val="007F7A1D"/>
    <w:rsid w:val="0080119E"/>
    <w:rsid w:val="00803075"/>
    <w:rsid w:val="008043C4"/>
    <w:rsid w:val="00805398"/>
    <w:rsid w:val="00814FEA"/>
    <w:rsid w:val="008214CE"/>
    <w:rsid w:val="00824B27"/>
    <w:rsid w:val="0082663A"/>
    <w:rsid w:val="00831B1B"/>
    <w:rsid w:val="00843BB7"/>
    <w:rsid w:val="00844F33"/>
    <w:rsid w:val="0084596F"/>
    <w:rsid w:val="0085447A"/>
    <w:rsid w:val="00855FB3"/>
    <w:rsid w:val="00861D0E"/>
    <w:rsid w:val="00861F87"/>
    <w:rsid w:val="0086572E"/>
    <w:rsid w:val="00867569"/>
    <w:rsid w:val="008676AC"/>
    <w:rsid w:val="00873C81"/>
    <w:rsid w:val="00885C0D"/>
    <w:rsid w:val="00890FBD"/>
    <w:rsid w:val="008922B5"/>
    <w:rsid w:val="00893D3A"/>
    <w:rsid w:val="00894EDF"/>
    <w:rsid w:val="008A3BCF"/>
    <w:rsid w:val="008A4CA1"/>
    <w:rsid w:val="008A750A"/>
    <w:rsid w:val="008B05EA"/>
    <w:rsid w:val="008B3970"/>
    <w:rsid w:val="008B3AD8"/>
    <w:rsid w:val="008B560A"/>
    <w:rsid w:val="008C384C"/>
    <w:rsid w:val="008D0F11"/>
    <w:rsid w:val="008E1693"/>
    <w:rsid w:val="008E6830"/>
    <w:rsid w:val="008E70CC"/>
    <w:rsid w:val="008F73B4"/>
    <w:rsid w:val="009035E8"/>
    <w:rsid w:val="0090488B"/>
    <w:rsid w:val="00907FDB"/>
    <w:rsid w:val="00911E01"/>
    <w:rsid w:val="00912510"/>
    <w:rsid w:val="00913DF2"/>
    <w:rsid w:val="00922F6D"/>
    <w:rsid w:val="00923AB1"/>
    <w:rsid w:val="0092495C"/>
    <w:rsid w:val="00924BCC"/>
    <w:rsid w:val="009271D6"/>
    <w:rsid w:val="00935672"/>
    <w:rsid w:val="00935C98"/>
    <w:rsid w:val="00937477"/>
    <w:rsid w:val="00940A89"/>
    <w:rsid w:val="009439BF"/>
    <w:rsid w:val="00944AE4"/>
    <w:rsid w:val="00950034"/>
    <w:rsid w:val="009512C3"/>
    <w:rsid w:val="0095341A"/>
    <w:rsid w:val="0096144A"/>
    <w:rsid w:val="009631D7"/>
    <w:rsid w:val="009644D7"/>
    <w:rsid w:val="0097107D"/>
    <w:rsid w:val="00971374"/>
    <w:rsid w:val="0097457D"/>
    <w:rsid w:val="00974AB3"/>
    <w:rsid w:val="00975C7A"/>
    <w:rsid w:val="00976F6D"/>
    <w:rsid w:val="00980F29"/>
    <w:rsid w:val="00984553"/>
    <w:rsid w:val="009853DB"/>
    <w:rsid w:val="00985947"/>
    <w:rsid w:val="00986859"/>
    <w:rsid w:val="00990617"/>
    <w:rsid w:val="00991E76"/>
    <w:rsid w:val="00995940"/>
    <w:rsid w:val="00997616"/>
    <w:rsid w:val="009A4877"/>
    <w:rsid w:val="009B55B1"/>
    <w:rsid w:val="009B5FF9"/>
    <w:rsid w:val="009C14BD"/>
    <w:rsid w:val="009C16D2"/>
    <w:rsid w:val="009C3259"/>
    <w:rsid w:val="009C774D"/>
    <w:rsid w:val="009C7DEA"/>
    <w:rsid w:val="009D6282"/>
    <w:rsid w:val="009E2B1E"/>
    <w:rsid w:val="009E39C5"/>
    <w:rsid w:val="009E609F"/>
    <w:rsid w:val="009F08AC"/>
    <w:rsid w:val="009F100A"/>
    <w:rsid w:val="009F235C"/>
    <w:rsid w:val="00A06D65"/>
    <w:rsid w:val="00A07BA7"/>
    <w:rsid w:val="00A07E51"/>
    <w:rsid w:val="00A2005B"/>
    <w:rsid w:val="00A31BB7"/>
    <w:rsid w:val="00A3672F"/>
    <w:rsid w:val="00A3727C"/>
    <w:rsid w:val="00A4017F"/>
    <w:rsid w:val="00A418EC"/>
    <w:rsid w:val="00A4343D"/>
    <w:rsid w:val="00A43D14"/>
    <w:rsid w:val="00A45595"/>
    <w:rsid w:val="00A502F1"/>
    <w:rsid w:val="00A53882"/>
    <w:rsid w:val="00A56310"/>
    <w:rsid w:val="00A60F06"/>
    <w:rsid w:val="00A66E23"/>
    <w:rsid w:val="00A70A83"/>
    <w:rsid w:val="00A769A4"/>
    <w:rsid w:val="00A81855"/>
    <w:rsid w:val="00A81EB3"/>
    <w:rsid w:val="00AB01BC"/>
    <w:rsid w:val="00AB468D"/>
    <w:rsid w:val="00AB6196"/>
    <w:rsid w:val="00AB7D5D"/>
    <w:rsid w:val="00AB7F64"/>
    <w:rsid w:val="00AC2BA8"/>
    <w:rsid w:val="00AC3140"/>
    <w:rsid w:val="00AD5B2D"/>
    <w:rsid w:val="00AE2F79"/>
    <w:rsid w:val="00AE3945"/>
    <w:rsid w:val="00B00C1D"/>
    <w:rsid w:val="00B04BEA"/>
    <w:rsid w:val="00B077B7"/>
    <w:rsid w:val="00B1182F"/>
    <w:rsid w:val="00B13DE8"/>
    <w:rsid w:val="00B167BE"/>
    <w:rsid w:val="00B173AF"/>
    <w:rsid w:val="00B176EA"/>
    <w:rsid w:val="00B17754"/>
    <w:rsid w:val="00B26C3D"/>
    <w:rsid w:val="00B36279"/>
    <w:rsid w:val="00B37AB7"/>
    <w:rsid w:val="00B4065F"/>
    <w:rsid w:val="00B522C0"/>
    <w:rsid w:val="00B632CC"/>
    <w:rsid w:val="00B63D11"/>
    <w:rsid w:val="00B71F23"/>
    <w:rsid w:val="00B727CB"/>
    <w:rsid w:val="00B836A4"/>
    <w:rsid w:val="00B84AD0"/>
    <w:rsid w:val="00B87A2E"/>
    <w:rsid w:val="00B9343F"/>
    <w:rsid w:val="00B945C9"/>
    <w:rsid w:val="00B964FF"/>
    <w:rsid w:val="00BA12F1"/>
    <w:rsid w:val="00BA1F05"/>
    <w:rsid w:val="00BA439F"/>
    <w:rsid w:val="00BA560E"/>
    <w:rsid w:val="00BA5CFB"/>
    <w:rsid w:val="00BA6370"/>
    <w:rsid w:val="00BB740B"/>
    <w:rsid w:val="00BC06B2"/>
    <w:rsid w:val="00BC0DCE"/>
    <w:rsid w:val="00BC10DD"/>
    <w:rsid w:val="00BC2B50"/>
    <w:rsid w:val="00BC4E50"/>
    <w:rsid w:val="00BC5A35"/>
    <w:rsid w:val="00BC754F"/>
    <w:rsid w:val="00BD5E6E"/>
    <w:rsid w:val="00BD6B5A"/>
    <w:rsid w:val="00BE0F05"/>
    <w:rsid w:val="00BE2D26"/>
    <w:rsid w:val="00BE3F48"/>
    <w:rsid w:val="00BE4286"/>
    <w:rsid w:val="00BF1FEC"/>
    <w:rsid w:val="00BF26CC"/>
    <w:rsid w:val="00BF3095"/>
    <w:rsid w:val="00BF3571"/>
    <w:rsid w:val="00BF3846"/>
    <w:rsid w:val="00C008AB"/>
    <w:rsid w:val="00C057AF"/>
    <w:rsid w:val="00C22548"/>
    <w:rsid w:val="00C2271A"/>
    <w:rsid w:val="00C269D4"/>
    <w:rsid w:val="00C33F7A"/>
    <w:rsid w:val="00C36A16"/>
    <w:rsid w:val="00C37267"/>
    <w:rsid w:val="00C4160D"/>
    <w:rsid w:val="00C41911"/>
    <w:rsid w:val="00C43C67"/>
    <w:rsid w:val="00C43F28"/>
    <w:rsid w:val="00C50143"/>
    <w:rsid w:val="00C64A2A"/>
    <w:rsid w:val="00C7519F"/>
    <w:rsid w:val="00C83DE9"/>
    <w:rsid w:val="00C8406E"/>
    <w:rsid w:val="00C87DA4"/>
    <w:rsid w:val="00C91125"/>
    <w:rsid w:val="00C91284"/>
    <w:rsid w:val="00C977A5"/>
    <w:rsid w:val="00C97F23"/>
    <w:rsid w:val="00CA0E6E"/>
    <w:rsid w:val="00CA2DA7"/>
    <w:rsid w:val="00CA6DF9"/>
    <w:rsid w:val="00CB2222"/>
    <w:rsid w:val="00CB2709"/>
    <w:rsid w:val="00CB6F89"/>
    <w:rsid w:val="00CB71FC"/>
    <w:rsid w:val="00CC1E5B"/>
    <w:rsid w:val="00CC355D"/>
    <w:rsid w:val="00CC5027"/>
    <w:rsid w:val="00CC6198"/>
    <w:rsid w:val="00CC6F8E"/>
    <w:rsid w:val="00CD0A28"/>
    <w:rsid w:val="00CD1C4E"/>
    <w:rsid w:val="00CD41D3"/>
    <w:rsid w:val="00CD5850"/>
    <w:rsid w:val="00CE228C"/>
    <w:rsid w:val="00CE26F9"/>
    <w:rsid w:val="00CE634A"/>
    <w:rsid w:val="00CE71D9"/>
    <w:rsid w:val="00CF545B"/>
    <w:rsid w:val="00CF5D9C"/>
    <w:rsid w:val="00D02630"/>
    <w:rsid w:val="00D02A9F"/>
    <w:rsid w:val="00D13289"/>
    <w:rsid w:val="00D14045"/>
    <w:rsid w:val="00D209A7"/>
    <w:rsid w:val="00D22625"/>
    <w:rsid w:val="00D26363"/>
    <w:rsid w:val="00D269FC"/>
    <w:rsid w:val="00D27D69"/>
    <w:rsid w:val="00D27EA7"/>
    <w:rsid w:val="00D33C7D"/>
    <w:rsid w:val="00D37181"/>
    <w:rsid w:val="00D42678"/>
    <w:rsid w:val="00D442F1"/>
    <w:rsid w:val="00D448C2"/>
    <w:rsid w:val="00D46183"/>
    <w:rsid w:val="00D46D89"/>
    <w:rsid w:val="00D666C3"/>
    <w:rsid w:val="00D66B3D"/>
    <w:rsid w:val="00D66F3A"/>
    <w:rsid w:val="00D7165A"/>
    <w:rsid w:val="00D71CFB"/>
    <w:rsid w:val="00D736BF"/>
    <w:rsid w:val="00D753C4"/>
    <w:rsid w:val="00D763AF"/>
    <w:rsid w:val="00D76A5B"/>
    <w:rsid w:val="00D811AB"/>
    <w:rsid w:val="00D83F30"/>
    <w:rsid w:val="00D84A58"/>
    <w:rsid w:val="00D90580"/>
    <w:rsid w:val="00D95895"/>
    <w:rsid w:val="00DA0F88"/>
    <w:rsid w:val="00DA21A9"/>
    <w:rsid w:val="00DA292A"/>
    <w:rsid w:val="00DA690F"/>
    <w:rsid w:val="00DB40A4"/>
    <w:rsid w:val="00DB783C"/>
    <w:rsid w:val="00DD13B5"/>
    <w:rsid w:val="00DD1441"/>
    <w:rsid w:val="00DD2F69"/>
    <w:rsid w:val="00DD3670"/>
    <w:rsid w:val="00DF46FF"/>
    <w:rsid w:val="00DF47FE"/>
    <w:rsid w:val="00DF5C2D"/>
    <w:rsid w:val="00E0156A"/>
    <w:rsid w:val="00E02B53"/>
    <w:rsid w:val="00E05D41"/>
    <w:rsid w:val="00E06841"/>
    <w:rsid w:val="00E07364"/>
    <w:rsid w:val="00E11AC8"/>
    <w:rsid w:val="00E177E7"/>
    <w:rsid w:val="00E21297"/>
    <w:rsid w:val="00E23203"/>
    <w:rsid w:val="00E2345B"/>
    <w:rsid w:val="00E24C21"/>
    <w:rsid w:val="00E25783"/>
    <w:rsid w:val="00E25966"/>
    <w:rsid w:val="00E26704"/>
    <w:rsid w:val="00E27300"/>
    <w:rsid w:val="00E30FEB"/>
    <w:rsid w:val="00E31980"/>
    <w:rsid w:val="00E36DD7"/>
    <w:rsid w:val="00E40F98"/>
    <w:rsid w:val="00E528B3"/>
    <w:rsid w:val="00E54EFE"/>
    <w:rsid w:val="00E55201"/>
    <w:rsid w:val="00E56342"/>
    <w:rsid w:val="00E60B26"/>
    <w:rsid w:val="00E6423C"/>
    <w:rsid w:val="00E7063C"/>
    <w:rsid w:val="00E711F5"/>
    <w:rsid w:val="00E71483"/>
    <w:rsid w:val="00E74B45"/>
    <w:rsid w:val="00E76C3F"/>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4FA3"/>
    <w:rsid w:val="00EC2100"/>
    <w:rsid w:val="00EC6073"/>
    <w:rsid w:val="00ED00E5"/>
    <w:rsid w:val="00ED308D"/>
    <w:rsid w:val="00ED6D2A"/>
    <w:rsid w:val="00EE193B"/>
    <w:rsid w:val="00EE70B7"/>
    <w:rsid w:val="00EE75A5"/>
    <w:rsid w:val="00EF3D4F"/>
    <w:rsid w:val="00F01B40"/>
    <w:rsid w:val="00F1369B"/>
    <w:rsid w:val="00F14936"/>
    <w:rsid w:val="00F14BDB"/>
    <w:rsid w:val="00F16068"/>
    <w:rsid w:val="00F20608"/>
    <w:rsid w:val="00F239E2"/>
    <w:rsid w:val="00F314B7"/>
    <w:rsid w:val="00F346DC"/>
    <w:rsid w:val="00F429ED"/>
    <w:rsid w:val="00F447EB"/>
    <w:rsid w:val="00F4559E"/>
    <w:rsid w:val="00F45DDD"/>
    <w:rsid w:val="00F521D5"/>
    <w:rsid w:val="00F5535C"/>
    <w:rsid w:val="00F56F3F"/>
    <w:rsid w:val="00F63983"/>
    <w:rsid w:val="00F67C91"/>
    <w:rsid w:val="00F729FB"/>
    <w:rsid w:val="00F7342F"/>
    <w:rsid w:val="00F73BB9"/>
    <w:rsid w:val="00F77C84"/>
    <w:rsid w:val="00F80103"/>
    <w:rsid w:val="00F83C49"/>
    <w:rsid w:val="00F84C23"/>
    <w:rsid w:val="00F862B5"/>
    <w:rsid w:val="00F91E92"/>
    <w:rsid w:val="00F94AB5"/>
    <w:rsid w:val="00F962C3"/>
    <w:rsid w:val="00FA160D"/>
    <w:rsid w:val="00FA654B"/>
    <w:rsid w:val="00FB3A3A"/>
    <w:rsid w:val="00FB687C"/>
    <w:rsid w:val="00FC7F3D"/>
    <w:rsid w:val="00FD28BD"/>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v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v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7BF5-B95D-475B-B0EE-13C3CF80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47</TotalTime>
  <Pages>3</Pages>
  <Words>1042</Words>
  <Characters>6150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7178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ČSÚ</cp:lastModifiedBy>
  <cp:revision>9</cp:revision>
  <cp:lastPrinted>2019-03-20T06:37:00Z</cp:lastPrinted>
  <dcterms:created xsi:type="dcterms:W3CDTF">2020-06-09T12:14:00Z</dcterms:created>
  <dcterms:modified xsi:type="dcterms:W3CDTF">2020-06-11T10:16:00Z</dcterms:modified>
</cp:coreProperties>
</file>