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rawings/drawing1.xml" ContentType="application/vnd.openxmlformats-officedocument.drawingml.chartshap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D35" w:rsidRPr="008B1A1D" w:rsidRDefault="00C93B18" w:rsidP="00981D35">
      <w:pPr>
        <w:pStyle w:val="Nzev"/>
        <w:rPr>
          <w:rFonts w:eastAsia="Calibri" w:cs="Arial"/>
          <w:bCs w:val="0"/>
          <w:color w:val="auto"/>
          <w:sz w:val="18"/>
          <w:szCs w:val="22"/>
        </w:rPr>
      </w:pPr>
      <w:r>
        <w:rPr>
          <w:rFonts w:eastAsia="Calibri" w:cs="Arial"/>
          <w:bCs w:val="0"/>
          <w:color w:val="auto"/>
          <w:sz w:val="18"/>
          <w:szCs w:val="22"/>
        </w:rPr>
        <w:t>29</w:t>
      </w:r>
      <w:r w:rsidR="00981D35" w:rsidRPr="00424047">
        <w:rPr>
          <w:rFonts w:eastAsia="Calibri" w:cs="Arial"/>
          <w:bCs w:val="0"/>
          <w:color w:val="auto"/>
          <w:sz w:val="18"/>
          <w:szCs w:val="22"/>
        </w:rPr>
        <w:t xml:space="preserve">. </w:t>
      </w:r>
      <w:r>
        <w:rPr>
          <w:rFonts w:eastAsia="Calibri" w:cs="Arial"/>
          <w:bCs w:val="0"/>
          <w:color w:val="auto"/>
          <w:sz w:val="18"/>
          <w:szCs w:val="22"/>
        </w:rPr>
        <w:t>11</w:t>
      </w:r>
      <w:r w:rsidR="00981D35" w:rsidRPr="00424047">
        <w:rPr>
          <w:rFonts w:eastAsia="Calibri" w:cs="Arial"/>
          <w:bCs w:val="0"/>
          <w:color w:val="auto"/>
          <w:sz w:val="18"/>
          <w:szCs w:val="22"/>
        </w:rPr>
        <w:t>. 20</w:t>
      </w:r>
      <w:r w:rsidR="00981D35">
        <w:rPr>
          <w:rFonts w:eastAsia="Calibri" w:cs="Arial"/>
          <w:bCs w:val="0"/>
          <w:color w:val="auto"/>
          <w:sz w:val="18"/>
          <w:szCs w:val="22"/>
        </w:rPr>
        <w:t>2</w:t>
      </w:r>
      <w:r w:rsidR="00E2474A">
        <w:rPr>
          <w:rFonts w:eastAsia="Calibri" w:cs="Arial"/>
          <w:bCs w:val="0"/>
          <w:color w:val="auto"/>
          <w:sz w:val="18"/>
          <w:szCs w:val="22"/>
        </w:rPr>
        <w:t>4</w:t>
      </w:r>
    </w:p>
    <w:p w:rsidR="00E2474A" w:rsidRPr="00424047" w:rsidRDefault="00E2474A" w:rsidP="00E2474A">
      <w:pPr>
        <w:pStyle w:val="Nzev"/>
        <w:spacing w:after="360"/>
      </w:pPr>
      <w:r>
        <w:t xml:space="preserve">HDP vzrostl </w:t>
      </w:r>
      <w:r w:rsidR="00DA1A35">
        <w:t>mezi</w:t>
      </w:r>
      <w:r w:rsidR="00132ED4">
        <w:t>ročně</w:t>
      </w:r>
      <w:r w:rsidR="00DA1A35">
        <w:t xml:space="preserve"> </w:t>
      </w:r>
      <w:r>
        <w:t xml:space="preserve">o </w:t>
      </w:r>
      <w:r w:rsidR="008E0951">
        <w:t>1</w:t>
      </w:r>
      <w:r>
        <w:t>,</w:t>
      </w:r>
      <w:r w:rsidR="008E0951">
        <w:t>3</w:t>
      </w:r>
      <w:r>
        <w:t xml:space="preserve"> %</w:t>
      </w:r>
    </w:p>
    <w:p w:rsidR="00605168" w:rsidRPr="00424047" w:rsidRDefault="00605168" w:rsidP="00605168">
      <w:pPr>
        <w:pStyle w:val="Podtitulek"/>
      </w:pPr>
      <w:r w:rsidRPr="00424047">
        <w:t xml:space="preserve">Tvorba a užití HDP – </w:t>
      </w:r>
      <w:r w:rsidR="00C93B18">
        <w:t>3</w:t>
      </w:r>
      <w:r>
        <w:t>. čtvrtletí 202</w:t>
      </w:r>
      <w:r w:rsidR="00E2474A">
        <w:t>4</w:t>
      </w:r>
    </w:p>
    <w:p w:rsidR="00605168" w:rsidRDefault="00605168" w:rsidP="00605168">
      <w:pPr>
        <w:pStyle w:val="Perex"/>
      </w:pPr>
      <w:r>
        <w:t xml:space="preserve">Podle zpřesněného odhadu </w:t>
      </w:r>
      <w:r w:rsidR="003C435F">
        <w:t>vzrostl</w:t>
      </w:r>
      <w:r>
        <w:t xml:space="preserve"> hrubý domácí produkt v</w:t>
      </w:r>
      <w:r w:rsidR="00BF71BB">
        <w:t>e</w:t>
      </w:r>
      <w:r>
        <w:t xml:space="preserve"> </w:t>
      </w:r>
      <w:r w:rsidR="00C93B18">
        <w:t>3</w:t>
      </w:r>
      <w:r>
        <w:t>. čtvrtletí mezičtvrtletně</w:t>
      </w:r>
      <w:r w:rsidR="003C435F">
        <w:t xml:space="preserve"> o</w:t>
      </w:r>
      <w:r w:rsidR="00DA1A35">
        <w:t> </w:t>
      </w:r>
      <w:r w:rsidR="003C435F">
        <w:t>0,</w:t>
      </w:r>
      <w:r w:rsidR="008E0951">
        <w:t>4</w:t>
      </w:r>
      <w:r w:rsidR="00DA1A35">
        <w:t> </w:t>
      </w:r>
      <w:r w:rsidR="003C435F">
        <w:t>% a</w:t>
      </w:r>
      <w:r>
        <w:t xml:space="preserve"> meziročně o </w:t>
      </w:r>
      <w:r w:rsidR="008E0951">
        <w:t>1</w:t>
      </w:r>
      <w:r w:rsidRPr="009E1D32">
        <w:t>,</w:t>
      </w:r>
      <w:r w:rsidR="008E0951">
        <w:t>3</w:t>
      </w:r>
      <w:r w:rsidRPr="009E1D32">
        <w:t xml:space="preserve"> %. </w:t>
      </w:r>
      <w:r w:rsidR="00740083">
        <w:t>M</w:t>
      </w:r>
      <w:r w:rsidRPr="009E1D32">
        <w:t xml:space="preserve">eziroční </w:t>
      </w:r>
      <w:r w:rsidR="003C435F">
        <w:t>růst</w:t>
      </w:r>
      <w:r w:rsidRPr="009E1D32">
        <w:t xml:space="preserve"> HDP byl </w:t>
      </w:r>
      <w:r w:rsidR="00E9031C">
        <w:t>podpořen</w:t>
      </w:r>
      <w:r w:rsidRPr="009E1D32">
        <w:t xml:space="preserve"> </w:t>
      </w:r>
      <w:r w:rsidR="00595DD3">
        <w:t xml:space="preserve">zejména </w:t>
      </w:r>
      <w:r w:rsidR="003C435F">
        <w:t>vyššími</w:t>
      </w:r>
      <w:r w:rsidR="00F60747">
        <w:t xml:space="preserve"> </w:t>
      </w:r>
      <w:r w:rsidR="00436230">
        <w:t>výdaji na</w:t>
      </w:r>
      <w:r w:rsidRPr="009E1D32">
        <w:t xml:space="preserve"> konečn</w:t>
      </w:r>
      <w:r w:rsidR="00436230">
        <w:t>ou</w:t>
      </w:r>
      <w:r w:rsidRPr="009E1D32">
        <w:t xml:space="preserve"> spotřeb</w:t>
      </w:r>
      <w:r w:rsidR="00436230">
        <w:t>u</w:t>
      </w:r>
      <w:r w:rsidR="00436230">
        <w:rPr>
          <w:bCs/>
          <w:szCs w:val="20"/>
        </w:rPr>
        <w:t>.</w:t>
      </w:r>
      <w:r w:rsidR="003C435F">
        <w:rPr>
          <w:bCs/>
          <w:szCs w:val="20"/>
        </w:rPr>
        <w:t xml:space="preserve"> </w:t>
      </w:r>
      <w:r w:rsidR="00F93E94">
        <w:rPr>
          <w:bCs/>
          <w:szCs w:val="20"/>
        </w:rPr>
        <w:t>N</w:t>
      </w:r>
      <w:r w:rsidR="003C435F">
        <w:rPr>
          <w:bCs/>
          <w:szCs w:val="20"/>
        </w:rPr>
        <w:t xml:space="preserve">egativní vliv měla </w:t>
      </w:r>
      <w:r w:rsidR="00D422F9">
        <w:rPr>
          <w:bCs/>
          <w:szCs w:val="20"/>
        </w:rPr>
        <w:t xml:space="preserve">změna </w:t>
      </w:r>
      <w:r w:rsidR="008E0951">
        <w:rPr>
          <w:bCs/>
          <w:szCs w:val="20"/>
        </w:rPr>
        <w:t>tvorb</w:t>
      </w:r>
      <w:r w:rsidR="00857FFE">
        <w:rPr>
          <w:bCs/>
          <w:szCs w:val="20"/>
        </w:rPr>
        <w:t>y</w:t>
      </w:r>
      <w:r w:rsidR="008E0951">
        <w:rPr>
          <w:bCs/>
          <w:szCs w:val="20"/>
        </w:rPr>
        <w:t xml:space="preserve"> hrubého kapitál</w:t>
      </w:r>
      <w:r w:rsidR="004F07B0">
        <w:rPr>
          <w:bCs/>
          <w:szCs w:val="20"/>
        </w:rPr>
        <w:t>u</w:t>
      </w:r>
      <w:r w:rsidR="003C435F">
        <w:rPr>
          <w:bCs/>
          <w:szCs w:val="20"/>
        </w:rPr>
        <w:t>.</w:t>
      </w:r>
    </w:p>
    <w:p w:rsidR="00605168" w:rsidRDefault="003C435F" w:rsidP="00605168">
      <w:pPr>
        <w:spacing w:before="240"/>
      </w:pPr>
      <w:r w:rsidRPr="00BF71BB">
        <w:t>Zpřesněný odhad potvrdil růst české ekonomiky</w:t>
      </w:r>
      <w:r w:rsidR="00A9050F" w:rsidRPr="00BF71BB">
        <w:t>.</w:t>
      </w:r>
      <w:r w:rsidR="00436230" w:rsidRPr="00BF71BB">
        <w:t xml:space="preserve"> </w:t>
      </w:r>
      <w:r w:rsidR="00605168" w:rsidRPr="00BF71BB">
        <w:t xml:space="preserve">Hrubý domácí produkt </w:t>
      </w:r>
      <w:r w:rsidR="00506146">
        <w:t xml:space="preserve">(HDP) </w:t>
      </w:r>
      <w:r w:rsidR="00605168" w:rsidRPr="00BF71BB">
        <w:t>očištěný o cenové vlivy a </w:t>
      </w:r>
      <w:r w:rsidR="001A672F" w:rsidRPr="001A672F">
        <w:t>sezónnost</w:t>
      </w:r>
      <w:r w:rsidR="001A672F" w:rsidRPr="001A672F">
        <w:rPr>
          <w:rStyle w:val="Znakapoznpodarou"/>
          <w:rFonts w:cs="Arial"/>
          <w:szCs w:val="18"/>
        </w:rPr>
        <w:footnoteReference w:id="1"/>
      </w:r>
      <w:r w:rsidR="001A672F">
        <w:rPr>
          <w:i/>
        </w:rPr>
        <w:t xml:space="preserve"> </w:t>
      </w:r>
      <w:r w:rsidR="00DA1A35" w:rsidRPr="00BF71BB">
        <w:t>vzrostl</w:t>
      </w:r>
      <w:r w:rsidR="00605168" w:rsidRPr="00BF71BB">
        <w:t xml:space="preserve"> ve srovnání s předchozím čtvrtletím </w:t>
      </w:r>
      <w:r w:rsidR="00DA1A35" w:rsidRPr="00BF71BB">
        <w:t>o 0,</w:t>
      </w:r>
      <w:r w:rsidR="008E0951">
        <w:t>4</w:t>
      </w:r>
      <w:r w:rsidR="00DA1A35" w:rsidRPr="00BF71BB">
        <w:t xml:space="preserve"> %</w:t>
      </w:r>
      <w:r w:rsidR="00740083" w:rsidRPr="00BF71BB">
        <w:t xml:space="preserve"> a</w:t>
      </w:r>
      <w:r w:rsidR="00605168" w:rsidRPr="00BF71BB">
        <w:t xml:space="preserve"> </w:t>
      </w:r>
      <w:r w:rsidR="00740083" w:rsidRPr="00BF71BB">
        <w:t>m</w:t>
      </w:r>
      <w:r w:rsidR="00605168" w:rsidRPr="00BF71BB">
        <w:t>eziročně </w:t>
      </w:r>
      <w:r w:rsidR="00DA1A35" w:rsidRPr="00BF71BB">
        <w:t xml:space="preserve">vzrostl </w:t>
      </w:r>
      <w:r w:rsidR="00605168" w:rsidRPr="00BF71BB">
        <w:t>o</w:t>
      </w:r>
      <w:r w:rsidR="00506146">
        <w:t> </w:t>
      </w:r>
      <w:r w:rsidR="008E0951">
        <w:t>1</w:t>
      </w:r>
      <w:r w:rsidR="00605168" w:rsidRPr="00BF71BB">
        <w:t>,</w:t>
      </w:r>
      <w:r w:rsidR="008E0951">
        <w:t>3</w:t>
      </w:r>
      <w:r w:rsidR="00506146">
        <w:t> </w:t>
      </w:r>
      <w:r w:rsidR="00C4378F">
        <w:t>%</w:t>
      </w:r>
      <w:r w:rsidR="00BF71BB" w:rsidRPr="00BF71BB">
        <w:t>.</w:t>
      </w:r>
    </w:p>
    <w:p w:rsidR="008E0951" w:rsidRDefault="00A40E2F" w:rsidP="00A40E2F">
      <w:pPr>
        <w:spacing w:before="240" w:after="240"/>
      </w:pPr>
      <w:r w:rsidRPr="00457400">
        <w:rPr>
          <w:b/>
        </w:rPr>
        <w:t>Hrubá přidaná hodnota</w:t>
      </w:r>
      <w:r w:rsidRPr="00457400">
        <w:t xml:space="preserve"> (HPH) v</w:t>
      </w:r>
      <w:r w:rsidR="00BF71BB">
        <w:t>e</w:t>
      </w:r>
      <w:r w:rsidRPr="00457400">
        <w:t xml:space="preserve"> </w:t>
      </w:r>
      <w:r w:rsidR="007932AC">
        <w:t>3</w:t>
      </w:r>
      <w:r w:rsidRPr="00457400">
        <w:t xml:space="preserve">. čtvrtletí </w:t>
      </w:r>
      <w:r w:rsidR="0056248F">
        <w:rPr>
          <w:b/>
        </w:rPr>
        <w:t>vzrostla</w:t>
      </w:r>
      <w:r w:rsidR="00E9031C">
        <w:t xml:space="preserve"> </w:t>
      </w:r>
      <w:r w:rsidRPr="00457400">
        <w:rPr>
          <w:b/>
        </w:rPr>
        <w:t>mezičtvrtletně o</w:t>
      </w:r>
      <w:r w:rsidRPr="00457400">
        <w:t> </w:t>
      </w:r>
      <w:r>
        <w:rPr>
          <w:b/>
        </w:rPr>
        <w:t>0</w:t>
      </w:r>
      <w:r w:rsidRPr="00457400">
        <w:rPr>
          <w:b/>
        </w:rPr>
        <w:t>,</w:t>
      </w:r>
      <w:r w:rsidR="008E0951">
        <w:rPr>
          <w:b/>
        </w:rPr>
        <w:t>8</w:t>
      </w:r>
      <w:r w:rsidRPr="00457400">
        <w:rPr>
          <w:b/>
        </w:rPr>
        <w:t> %</w:t>
      </w:r>
      <w:r w:rsidRPr="00457400">
        <w:t xml:space="preserve"> </w:t>
      </w:r>
      <w:r w:rsidRPr="00E4172C">
        <w:t>a</w:t>
      </w:r>
      <w:r w:rsidRPr="00457400">
        <w:rPr>
          <w:b/>
        </w:rPr>
        <w:t xml:space="preserve"> meziročně</w:t>
      </w:r>
      <w:r>
        <w:rPr>
          <w:b/>
        </w:rPr>
        <w:t xml:space="preserve"> </w:t>
      </w:r>
      <w:r w:rsidRPr="009467E2">
        <w:rPr>
          <w:b/>
        </w:rPr>
        <w:t>o </w:t>
      </w:r>
      <w:r w:rsidR="00094E4D">
        <w:rPr>
          <w:b/>
        </w:rPr>
        <w:t>1</w:t>
      </w:r>
      <w:r>
        <w:rPr>
          <w:b/>
        </w:rPr>
        <w:t>,</w:t>
      </w:r>
      <w:r w:rsidR="00094E4D">
        <w:rPr>
          <w:b/>
        </w:rPr>
        <w:t>0</w:t>
      </w:r>
      <w:r w:rsidRPr="00457400">
        <w:rPr>
          <w:b/>
        </w:rPr>
        <w:t> %</w:t>
      </w:r>
      <w:r w:rsidRPr="00457400">
        <w:t xml:space="preserve">. </w:t>
      </w:r>
      <w:r w:rsidR="0056248F">
        <w:t>K</w:t>
      </w:r>
      <w:r>
        <w:t> mezičtvrtletním</w:t>
      </w:r>
      <w:r w:rsidR="0056248F">
        <w:t>u</w:t>
      </w:r>
      <w:r>
        <w:t xml:space="preserve"> </w:t>
      </w:r>
      <w:r w:rsidR="0056248F">
        <w:t>růstu</w:t>
      </w:r>
      <w:r>
        <w:t xml:space="preserve"> </w:t>
      </w:r>
      <w:r w:rsidR="008E0951">
        <w:t>přispěl</w:t>
      </w:r>
      <w:r w:rsidR="0056248F">
        <w:t xml:space="preserve"> hlavně </w:t>
      </w:r>
      <w:r w:rsidR="008E0951">
        <w:t xml:space="preserve">průmysl (růst o </w:t>
      </w:r>
      <w:r w:rsidR="0033213B" w:rsidRPr="0033213B">
        <w:t>1</w:t>
      </w:r>
      <w:r w:rsidR="008E0951" w:rsidRPr="0033213B">
        <w:t>,</w:t>
      </w:r>
      <w:r w:rsidR="003213FA">
        <w:t>5</w:t>
      </w:r>
      <w:r w:rsidR="00DD726A">
        <w:t xml:space="preserve"> </w:t>
      </w:r>
      <w:r w:rsidR="00962D73">
        <w:t>%</w:t>
      </w:r>
      <w:r w:rsidR="0033213B">
        <w:t>).</w:t>
      </w:r>
      <w:r w:rsidR="003C7544">
        <w:t xml:space="preserve"> </w:t>
      </w:r>
      <w:r w:rsidR="0056248F">
        <w:t xml:space="preserve">Dařilo se také </w:t>
      </w:r>
      <w:r w:rsidR="0033213B">
        <w:t>skupině odvětví obchodu, dopravy, ubytování a pohostinství (+0,7 %), i</w:t>
      </w:r>
      <w:r w:rsidR="008E0951">
        <w:t xml:space="preserve">nformačním a komunikačním </w:t>
      </w:r>
      <w:r w:rsidR="0056248F" w:rsidRPr="00B63F22">
        <w:t>činnost</w:t>
      </w:r>
      <w:r w:rsidR="0056248F">
        <w:t>em</w:t>
      </w:r>
      <w:r w:rsidR="0033213B">
        <w:t xml:space="preserve"> (+1,5 %) a peněžnictví a pojišťovnictví (+2,8 %).</w:t>
      </w:r>
    </w:p>
    <w:p w:rsidR="00B45720" w:rsidRDefault="00E613A5" w:rsidP="00A40E2F">
      <w:pPr>
        <w:spacing w:before="240" w:after="240"/>
      </w:pPr>
      <w:r>
        <w:t>M</w:t>
      </w:r>
      <w:r w:rsidR="00A40E2F">
        <w:t xml:space="preserve">eziroční </w:t>
      </w:r>
      <w:r w:rsidR="00B42933">
        <w:t>vývoj</w:t>
      </w:r>
      <w:r w:rsidR="00A40E2F">
        <w:t xml:space="preserve"> HPH (</w:t>
      </w:r>
      <w:r w:rsidR="0056248F">
        <w:t>+</w:t>
      </w:r>
      <w:r w:rsidR="00510C70">
        <w:t>1</w:t>
      </w:r>
      <w:r w:rsidR="00A40E2F">
        <w:t>,</w:t>
      </w:r>
      <w:r w:rsidR="00510C70">
        <w:t>0</w:t>
      </w:r>
      <w:r w:rsidR="00A40E2F">
        <w:t xml:space="preserve"> %) </w:t>
      </w:r>
      <w:r w:rsidR="0056248F">
        <w:t xml:space="preserve">pozitivně ovlivnila </w:t>
      </w:r>
      <w:r w:rsidR="00B45720">
        <w:t>zejména</w:t>
      </w:r>
      <w:r w:rsidR="006952AB">
        <w:t xml:space="preserve"> </w:t>
      </w:r>
      <w:r w:rsidR="0056248F">
        <w:t>skupina odvětví obchodu, dopravy, ubytování a pohostinství +</w:t>
      </w:r>
      <w:r w:rsidR="006952AB">
        <w:t>0,</w:t>
      </w:r>
      <w:r w:rsidR="00004ED1">
        <w:t>5</w:t>
      </w:r>
      <w:r w:rsidR="006952AB">
        <w:t xml:space="preserve"> p. b. (</w:t>
      </w:r>
      <w:r w:rsidR="0056248F">
        <w:t>růst</w:t>
      </w:r>
      <w:r w:rsidR="0061342F">
        <w:t xml:space="preserve"> o </w:t>
      </w:r>
      <w:r w:rsidR="0056248F">
        <w:t>2</w:t>
      </w:r>
      <w:r w:rsidR="0061342F">
        <w:t>,</w:t>
      </w:r>
      <w:r w:rsidR="003213FA">
        <w:t>6</w:t>
      </w:r>
      <w:r w:rsidR="0061342F">
        <w:t xml:space="preserve"> %)</w:t>
      </w:r>
      <w:r w:rsidR="00004ED1">
        <w:t xml:space="preserve">. </w:t>
      </w:r>
      <w:r w:rsidR="002A5342">
        <w:t>Dařilo se i ostatním služ</w:t>
      </w:r>
      <w:r w:rsidR="00A70046">
        <w:t>bám</w:t>
      </w:r>
      <w:r w:rsidR="002A5342">
        <w:t xml:space="preserve">. </w:t>
      </w:r>
      <w:r w:rsidR="00510C70">
        <w:t>P</w:t>
      </w:r>
      <w:r w:rsidR="00B45720">
        <w:t xml:space="preserve">růmysl </w:t>
      </w:r>
      <w:r w:rsidR="00834831">
        <w:t>i </w:t>
      </w:r>
      <w:r w:rsidR="002F0383">
        <w:t xml:space="preserve">stavebnictví </w:t>
      </w:r>
      <w:r w:rsidR="00510C70">
        <w:t>klesl</w:t>
      </w:r>
      <w:r w:rsidR="002F0383">
        <w:t>y</w:t>
      </w:r>
      <w:r w:rsidR="00510C70">
        <w:t xml:space="preserve"> o </w:t>
      </w:r>
      <w:bookmarkStart w:id="0" w:name="_GoBack"/>
      <w:bookmarkEnd w:id="0"/>
      <w:r w:rsidR="00004ED1">
        <w:t>0</w:t>
      </w:r>
      <w:r w:rsidR="00B45720">
        <w:t>,</w:t>
      </w:r>
      <w:r w:rsidR="00510C70">
        <w:t>1</w:t>
      </w:r>
      <w:r w:rsidR="00B45720">
        <w:t xml:space="preserve"> </w:t>
      </w:r>
      <w:r w:rsidR="00004ED1">
        <w:t>%.</w:t>
      </w:r>
    </w:p>
    <w:p w:rsidR="008C7BEE" w:rsidRDefault="008C7BEE" w:rsidP="008C7BEE">
      <w:pPr>
        <w:spacing w:before="240"/>
      </w:pPr>
      <w:r w:rsidRPr="008C7BEE">
        <w:rPr>
          <w:i/>
        </w:rPr>
        <w:t>„</w:t>
      </w:r>
      <w:r w:rsidR="005C4F31" w:rsidRPr="008C7BEE">
        <w:rPr>
          <w:i/>
        </w:rPr>
        <w:t xml:space="preserve">Na </w:t>
      </w:r>
      <w:r w:rsidR="005C4F31" w:rsidRPr="003A44E0">
        <w:rPr>
          <w:i/>
        </w:rPr>
        <w:t>straně poptávky</w:t>
      </w:r>
      <w:r w:rsidR="005C4F31" w:rsidRPr="008C7BEE">
        <w:rPr>
          <w:i/>
        </w:rPr>
        <w:t xml:space="preserve"> byly hlavními faktory mezičtvrtletního růstu HDP ve 3. čtvrtletí rostoucí výdaje na konečnou spotřebu domácností a změna stavu zásob. Negativně působila tvorba hrubého fixního kapitálu a zahraniční poptávka</w:t>
      </w:r>
      <w:r w:rsidRPr="008C7BEE">
        <w:rPr>
          <w:rFonts w:cs="Arial"/>
          <w:i/>
          <w:szCs w:val="20"/>
        </w:rPr>
        <w:t>,</w:t>
      </w:r>
      <w:r>
        <w:rPr>
          <w:rFonts w:cs="Arial"/>
          <w:i/>
          <w:szCs w:val="20"/>
        </w:rPr>
        <w:t>“</w:t>
      </w:r>
      <w:r w:rsidRPr="000F553A">
        <w:t xml:space="preserve"> </w:t>
      </w:r>
      <w:r w:rsidRPr="004B4606">
        <w:t>komentuje údaje Vladimír Kermiet, ředitel odboru národních účtů ČSÚ.</w:t>
      </w:r>
    </w:p>
    <w:p w:rsidR="00732690" w:rsidRDefault="00A40E2F" w:rsidP="00A40E2F">
      <w:pPr>
        <w:spacing w:before="240" w:after="240"/>
      </w:pPr>
      <w:r>
        <w:t>M</w:t>
      </w:r>
      <w:r w:rsidRPr="001F14DE">
        <w:t xml:space="preserve">eziroční </w:t>
      </w:r>
      <w:r w:rsidR="00456751">
        <w:t>růst</w:t>
      </w:r>
      <w:r w:rsidRPr="001F14DE">
        <w:t xml:space="preserve"> HDP (</w:t>
      </w:r>
      <w:r w:rsidR="00456751">
        <w:t>+</w:t>
      </w:r>
      <w:r w:rsidR="005C4F31">
        <w:t>1</w:t>
      </w:r>
      <w:r>
        <w:t>,</w:t>
      </w:r>
      <w:r w:rsidR="005C4F31">
        <w:t>3</w:t>
      </w:r>
      <w:r w:rsidRPr="001F14DE">
        <w:t xml:space="preserve"> %) </w:t>
      </w:r>
      <w:r w:rsidR="009056D5">
        <w:t xml:space="preserve">pozitivně </w:t>
      </w:r>
      <w:r>
        <w:t>ovlivnily</w:t>
      </w:r>
      <w:r w:rsidR="009056D5">
        <w:t xml:space="preserve"> </w:t>
      </w:r>
      <w:r w:rsidRPr="001F14DE">
        <w:t xml:space="preserve">výdaje na konečnou spotřebu </w:t>
      </w:r>
      <w:r w:rsidR="004B4606">
        <w:t xml:space="preserve">domácností </w:t>
      </w:r>
      <w:r w:rsidR="00CD18D7">
        <w:br/>
      </w:r>
      <w:r w:rsidR="00456751">
        <w:t>+</w:t>
      </w:r>
      <w:r w:rsidR="00095A78">
        <w:t>1</w:t>
      </w:r>
      <w:r>
        <w:t>,</w:t>
      </w:r>
      <w:r w:rsidR="00732690">
        <w:t>4</w:t>
      </w:r>
      <w:r w:rsidRPr="001F14DE">
        <w:t> p.</w:t>
      </w:r>
      <w:r w:rsidR="004B4606">
        <w:t> </w:t>
      </w:r>
      <w:r w:rsidRPr="001F14DE">
        <w:t>b.</w:t>
      </w:r>
      <w:r w:rsidRPr="001F14DE">
        <w:rPr>
          <w:rStyle w:val="Znakapoznpodarou"/>
          <w:rFonts w:cs="Arial"/>
          <w:szCs w:val="20"/>
        </w:rPr>
        <w:footnoteReference w:id="2"/>
      </w:r>
      <w:r w:rsidR="009866A9">
        <w:t>,</w:t>
      </w:r>
      <w:r w:rsidR="00456751">
        <w:t xml:space="preserve"> výdaje </w:t>
      </w:r>
      <w:r w:rsidR="00456751" w:rsidRPr="00D45424">
        <w:rPr>
          <w:rFonts w:cs="Arial"/>
          <w:szCs w:val="20"/>
        </w:rPr>
        <w:t>na konečnou spotřebu</w:t>
      </w:r>
      <w:r w:rsidR="00456751" w:rsidRPr="006F418C">
        <w:rPr>
          <w:rFonts w:cs="Arial"/>
          <w:b/>
          <w:szCs w:val="20"/>
        </w:rPr>
        <w:t xml:space="preserve"> </w:t>
      </w:r>
      <w:r w:rsidR="00456751" w:rsidRPr="00B01F86">
        <w:rPr>
          <w:rFonts w:cs="Arial"/>
          <w:szCs w:val="20"/>
        </w:rPr>
        <w:t>vládních institucí</w:t>
      </w:r>
      <w:r w:rsidR="00456751" w:rsidRPr="006F418C">
        <w:rPr>
          <w:rFonts w:cs="Arial"/>
          <w:szCs w:val="20"/>
        </w:rPr>
        <w:t xml:space="preserve"> </w:t>
      </w:r>
      <w:r w:rsidR="00456751">
        <w:rPr>
          <w:rFonts w:cs="Arial"/>
          <w:szCs w:val="20"/>
        </w:rPr>
        <w:t>+0,</w:t>
      </w:r>
      <w:r w:rsidR="00732690">
        <w:rPr>
          <w:rFonts w:cs="Arial"/>
          <w:szCs w:val="20"/>
        </w:rPr>
        <w:t>6</w:t>
      </w:r>
      <w:r w:rsidR="00456751">
        <w:rPr>
          <w:rFonts w:cs="Arial"/>
          <w:szCs w:val="20"/>
        </w:rPr>
        <w:t xml:space="preserve"> </w:t>
      </w:r>
      <w:proofErr w:type="gramStart"/>
      <w:r w:rsidR="00456751">
        <w:rPr>
          <w:rFonts w:cs="Arial"/>
          <w:szCs w:val="20"/>
        </w:rPr>
        <w:t>p. b</w:t>
      </w:r>
      <w:r w:rsidR="00300E45">
        <w:rPr>
          <w:rFonts w:cs="Arial"/>
          <w:szCs w:val="20"/>
        </w:rPr>
        <w:t>.</w:t>
      </w:r>
      <w:r w:rsidR="00B91260">
        <w:rPr>
          <w:rFonts w:cs="Arial"/>
          <w:szCs w:val="20"/>
        </w:rPr>
        <w:t xml:space="preserve"> </w:t>
      </w:r>
      <w:r w:rsidR="00D05395">
        <w:t>a </w:t>
      </w:r>
      <w:r w:rsidR="00D05395">
        <w:rPr>
          <w:rFonts w:cs="Arial"/>
          <w:szCs w:val="20"/>
        </w:rPr>
        <w:t>zahraniční</w:t>
      </w:r>
      <w:proofErr w:type="gramEnd"/>
      <w:r w:rsidR="00D05395">
        <w:rPr>
          <w:rFonts w:cs="Arial"/>
          <w:szCs w:val="20"/>
        </w:rPr>
        <w:t xml:space="preserve"> poptávka +0,2 p. b.</w:t>
      </w:r>
      <w:r w:rsidR="00732690">
        <w:rPr>
          <w:rFonts w:cs="Arial"/>
          <w:szCs w:val="20"/>
        </w:rPr>
        <w:t xml:space="preserve"> Negativní vliv měla</w:t>
      </w:r>
      <w:r w:rsidR="00300E45">
        <w:rPr>
          <w:rFonts w:cs="Arial"/>
          <w:szCs w:val="20"/>
        </w:rPr>
        <w:t xml:space="preserve"> tvorba hrubého fixního kapitálu </w:t>
      </w:r>
      <w:r w:rsidR="00732690">
        <w:rPr>
          <w:rFonts w:cs="Arial"/>
          <w:szCs w:val="20"/>
        </w:rPr>
        <w:t>(-</w:t>
      </w:r>
      <w:r w:rsidR="00300E45">
        <w:rPr>
          <w:rFonts w:cs="Arial"/>
          <w:szCs w:val="20"/>
        </w:rPr>
        <w:t>0,</w:t>
      </w:r>
      <w:r w:rsidR="00732690">
        <w:rPr>
          <w:rFonts w:cs="Arial"/>
          <w:szCs w:val="20"/>
        </w:rPr>
        <w:t>3</w:t>
      </w:r>
      <w:r w:rsidR="00300E45">
        <w:rPr>
          <w:rFonts w:cs="Arial"/>
          <w:szCs w:val="20"/>
        </w:rPr>
        <w:t xml:space="preserve"> p. b</w:t>
      </w:r>
      <w:r w:rsidR="00732690">
        <w:rPr>
          <w:rFonts w:cs="Arial"/>
          <w:szCs w:val="20"/>
        </w:rPr>
        <w:t>)</w:t>
      </w:r>
      <w:r w:rsidR="00B60B7E">
        <w:rPr>
          <w:rFonts w:cs="Arial"/>
          <w:szCs w:val="20"/>
        </w:rPr>
        <w:t xml:space="preserve"> a</w:t>
      </w:r>
      <w:r w:rsidR="00732690">
        <w:rPr>
          <w:rFonts w:cs="Arial"/>
          <w:szCs w:val="20"/>
        </w:rPr>
        <w:t xml:space="preserve"> změna stavu zásob</w:t>
      </w:r>
      <w:r w:rsidR="00CC4EAE">
        <w:rPr>
          <w:rFonts w:cs="Arial"/>
          <w:szCs w:val="20"/>
        </w:rPr>
        <w:br/>
      </w:r>
      <w:r w:rsidR="00732690">
        <w:rPr>
          <w:rFonts w:cs="Arial"/>
          <w:szCs w:val="20"/>
        </w:rPr>
        <w:t>(-0,</w:t>
      </w:r>
      <w:r w:rsidR="00D05395">
        <w:rPr>
          <w:rFonts w:cs="Arial"/>
          <w:szCs w:val="20"/>
        </w:rPr>
        <w:t>7</w:t>
      </w:r>
      <w:r w:rsidR="00732690">
        <w:rPr>
          <w:rFonts w:cs="Arial"/>
          <w:szCs w:val="20"/>
        </w:rPr>
        <w:t xml:space="preserve"> p. b.)</w:t>
      </w:r>
      <w:r w:rsidR="00B60B7E">
        <w:t>.</w:t>
      </w:r>
    </w:p>
    <w:p w:rsidR="00A40E2F" w:rsidRDefault="004E1D54" w:rsidP="00A40E2F">
      <w:pPr>
        <w:spacing w:before="240" w:after="240"/>
      </w:pPr>
      <w:r w:rsidRPr="006F418C">
        <w:rPr>
          <w:rFonts w:cs="Arial"/>
          <w:b/>
          <w:szCs w:val="20"/>
        </w:rPr>
        <w:t>Výdaje na konečnou spotřebu</w:t>
      </w:r>
      <w:r w:rsidRPr="006F418C">
        <w:rPr>
          <w:rFonts w:cs="Arial"/>
          <w:szCs w:val="20"/>
        </w:rPr>
        <w:t xml:space="preserve"> </w:t>
      </w:r>
      <w:r w:rsidR="00D84946">
        <w:rPr>
          <w:rFonts w:cs="Arial"/>
          <w:szCs w:val="20"/>
        </w:rPr>
        <w:t>vzrostly</w:t>
      </w:r>
      <w:r w:rsidRPr="006F418C">
        <w:rPr>
          <w:rFonts w:cs="Arial"/>
          <w:szCs w:val="20"/>
        </w:rPr>
        <w:t xml:space="preserve"> mezičtvrtletně o </w:t>
      </w:r>
      <w:r>
        <w:rPr>
          <w:rFonts w:cs="Arial"/>
          <w:szCs w:val="20"/>
        </w:rPr>
        <w:t>0</w:t>
      </w:r>
      <w:r w:rsidRPr="006F418C">
        <w:rPr>
          <w:rFonts w:cs="Arial"/>
          <w:szCs w:val="20"/>
        </w:rPr>
        <w:t>,</w:t>
      </w:r>
      <w:r w:rsidR="0014138A">
        <w:rPr>
          <w:rFonts w:cs="Arial"/>
          <w:szCs w:val="20"/>
        </w:rPr>
        <w:t>5</w:t>
      </w:r>
      <w:r w:rsidRPr="006F418C">
        <w:rPr>
          <w:rFonts w:cs="Arial"/>
          <w:szCs w:val="20"/>
        </w:rPr>
        <w:t xml:space="preserve"> % a meziročně o </w:t>
      </w:r>
      <w:r w:rsidR="0014138A">
        <w:rPr>
          <w:rFonts w:cs="Arial"/>
          <w:szCs w:val="20"/>
        </w:rPr>
        <w:t>2</w:t>
      </w:r>
      <w:r w:rsidRPr="006F418C">
        <w:rPr>
          <w:rFonts w:cs="Arial"/>
          <w:szCs w:val="20"/>
        </w:rPr>
        <w:t>,</w:t>
      </w:r>
      <w:r w:rsidR="0014138A">
        <w:rPr>
          <w:rFonts w:cs="Arial"/>
          <w:szCs w:val="20"/>
        </w:rPr>
        <w:t>5</w:t>
      </w:r>
      <w:r w:rsidR="004A5A0E">
        <w:rPr>
          <w:rFonts w:cs="Arial"/>
          <w:szCs w:val="20"/>
        </w:rPr>
        <w:t xml:space="preserve"> %,</w:t>
      </w:r>
      <w:r>
        <w:rPr>
          <w:rFonts w:cs="Arial"/>
          <w:szCs w:val="20"/>
        </w:rPr>
        <w:t xml:space="preserve"> </w:t>
      </w:r>
      <w:r w:rsidR="004A5A0E">
        <w:rPr>
          <w:rFonts w:cs="Arial"/>
          <w:szCs w:val="20"/>
        </w:rPr>
        <w:t>z</w:t>
      </w:r>
      <w:r>
        <w:rPr>
          <w:rFonts w:cs="Arial"/>
          <w:szCs w:val="20"/>
        </w:rPr>
        <w:t> </w:t>
      </w:r>
      <w:r w:rsidRPr="006F418C">
        <w:rPr>
          <w:rFonts w:cs="Arial"/>
          <w:szCs w:val="20"/>
        </w:rPr>
        <w:t xml:space="preserve">toho výdaje </w:t>
      </w:r>
      <w:r>
        <w:rPr>
          <w:rFonts w:cs="Arial"/>
          <w:szCs w:val="20"/>
        </w:rPr>
        <w:t xml:space="preserve">na konečnou spotřebu </w:t>
      </w:r>
      <w:r w:rsidRPr="006F418C">
        <w:rPr>
          <w:rFonts w:cs="Arial"/>
          <w:b/>
          <w:szCs w:val="20"/>
        </w:rPr>
        <w:t>domácností</w:t>
      </w:r>
      <w:r w:rsidRPr="006F41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se </w:t>
      </w:r>
      <w:r w:rsidR="00A40E2F">
        <w:t xml:space="preserve">mezičtvrtletně </w:t>
      </w:r>
      <w:r w:rsidR="00D84946">
        <w:t>zvýš</w:t>
      </w:r>
      <w:r w:rsidR="00A40E2F">
        <w:t xml:space="preserve">ily o </w:t>
      </w:r>
      <w:r w:rsidR="000727CB">
        <w:t>0</w:t>
      </w:r>
      <w:r w:rsidR="00A40E2F">
        <w:t>,</w:t>
      </w:r>
      <w:r w:rsidR="00041CDA">
        <w:t>7</w:t>
      </w:r>
      <w:r w:rsidR="00A40E2F">
        <w:t> %</w:t>
      </w:r>
      <w:r w:rsidR="00D84946">
        <w:t xml:space="preserve"> a m</w:t>
      </w:r>
      <w:r w:rsidR="00A40E2F">
        <w:t>eziročně</w:t>
      </w:r>
      <w:r w:rsidR="00332268">
        <w:t xml:space="preserve"> </w:t>
      </w:r>
      <w:r w:rsidR="00B91260">
        <w:t xml:space="preserve">vzrostly </w:t>
      </w:r>
      <w:r w:rsidR="00332268">
        <w:t>o </w:t>
      </w:r>
      <w:r w:rsidR="00EA1AF5">
        <w:t>2</w:t>
      </w:r>
      <w:r w:rsidR="00A40E2F">
        <w:t>,</w:t>
      </w:r>
      <w:r w:rsidR="00EA1AF5">
        <w:t>2</w:t>
      </w:r>
      <w:r w:rsidR="00A40E2F">
        <w:t> %.</w:t>
      </w:r>
      <w:r w:rsidR="00D84946">
        <w:t xml:space="preserve"> </w:t>
      </w:r>
      <w:r w:rsidRPr="00D45424">
        <w:rPr>
          <w:rFonts w:cs="Arial"/>
          <w:szCs w:val="20"/>
        </w:rPr>
        <w:t>Výdaje na konečnou spotřebu</w:t>
      </w:r>
      <w:r w:rsidRPr="006F418C">
        <w:rPr>
          <w:rFonts w:cs="Arial"/>
          <w:b/>
          <w:szCs w:val="20"/>
        </w:rPr>
        <w:t xml:space="preserve"> vládních institucí</w:t>
      </w:r>
      <w:r w:rsidRPr="006F418C">
        <w:rPr>
          <w:rFonts w:cs="Arial"/>
          <w:szCs w:val="20"/>
        </w:rPr>
        <w:t xml:space="preserve"> </w:t>
      </w:r>
      <w:r w:rsidR="00EA1AF5">
        <w:rPr>
          <w:rFonts w:cs="Arial"/>
          <w:szCs w:val="20"/>
        </w:rPr>
        <w:t xml:space="preserve">se </w:t>
      </w:r>
      <w:r w:rsidRPr="006F418C">
        <w:rPr>
          <w:rFonts w:cs="Arial"/>
          <w:szCs w:val="20"/>
        </w:rPr>
        <w:t xml:space="preserve">mezičtvrtletně </w:t>
      </w:r>
      <w:r w:rsidR="00EA1AF5">
        <w:rPr>
          <w:rFonts w:cs="Arial"/>
          <w:szCs w:val="20"/>
        </w:rPr>
        <w:t>snížily</w:t>
      </w:r>
      <w:r w:rsidR="00097BDD">
        <w:rPr>
          <w:rFonts w:cs="Arial"/>
          <w:szCs w:val="20"/>
        </w:rPr>
        <w:t xml:space="preserve"> o </w:t>
      </w:r>
      <w:r w:rsidR="00EA1AF5">
        <w:rPr>
          <w:rFonts w:cs="Arial"/>
          <w:szCs w:val="20"/>
        </w:rPr>
        <w:t>0</w:t>
      </w:r>
      <w:r w:rsidRPr="006F418C">
        <w:rPr>
          <w:rFonts w:cs="Arial"/>
          <w:szCs w:val="20"/>
        </w:rPr>
        <w:t>,</w:t>
      </w:r>
      <w:r w:rsidR="00EA1AF5">
        <w:rPr>
          <w:rFonts w:cs="Arial"/>
          <w:szCs w:val="20"/>
        </w:rPr>
        <w:t>1</w:t>
      </w:r>
      <w:r w:rsidR="00C0255E">
        <w:rPr>
          <w:rFonts w:cs="Arial"/>
          <w:szCs w:val="20"/>
        </w:rPr>
        <w:t> % a </w:t>
      </w:r>
      <w:r w:rsidRPr="006F418C">
        <w:rPr>
          <w:rFonts w:cs="Arial"/>
          <w:szCs w:val="20"/>
        </w:rPr>
        <w:t xml:space="preserve">meziročně </w:t>
      </w:r>
      <w:r w:rsidR="00EA1AF5">
        <w:rPr>
          <w:rFonts w:cs="Arial"/>
          <w:szCs w:val="20"/>
        </w:rPr>
        <w:t>vzrostly</w:t>
      </w:r>
      <w:r w:rsidR="00A93A53">
        <w:rPr>
          <w:rFonts w:cs="Arial"/>
          <w:szCs w:val="20"/>
        </w:rPr>
        <w:t xml:space="preserve"> o</w:t>
      </w:r>
      <w:r w:rsidR="00EA1AF5">
        <w:rPr>
          <w:rFonts w:cs="Arial"/>
          <w:szCs w:val="20"/>
        </w:rPr>
        <w:t xml:space="preserve"> 3</w:t>
      </w:r>
      <w:r>
        <w:rPr>
          <w:rFonts w:cs="Arial"/>
          <w:szCs w:val="20"/>
        </w:rPr>
        <w:t>,</w:t>
      </w:r>
      <w:r w:rsidR="00EA1AF5">
        <w:rPr>
          <w:rFonts w:cs="Arial"/>
          <w:szCs w:val="20"/>
        </w:rPr>
        <w:t>0</w:t>
      </w:r>
      <w:r w:rsidRPr="006F418C">
        <w:rPr>
          <w:rFonts w:cs="Arial"/>
          <w:szCs w:val="20"/>
        </w:rPr>
        <w:t> %.</w:t>
      </w:r>
    </w:p>
    <w:p w:rsidR="00A40E2F" w:rsidRDefault="00A40E2F" w:rsidP="00A40E2F">
      <w:pPr>
        <w:spacing w:before="240" w:after="240"/>
      </w:pPr>
      <w:r>
        <w:rPr>
          <w:b/>
        </w:rPr>
        <w:lastRenderedPageBreak/>
        <w:t>T</w:t>
      </w:r>
      <w:r w:rsidRPr="00737453">
        <w:rPr>
          <w:b/>
        </w:rPr>
        <w:t>vorb</w:t>
      </w:r>
      <w:r>
        <w:rPr>
          <w:b/>
        </w:rPr>
        <w:t>a </w:t>
      </w:r>
      <w:r w:rsidR="008E44ED">
        <w:rPr>
          <w:b/>
        </w:rPr>
        <w:t xml:space="preserve">hrubého </w:t>
      </w:r>
      <w:r w:rsidRPr="00737453">
        <w:rPr>
          <w:b/>
        </w:rPr>
        <w:t>fixního</w:t>
      </w:r>
      <w:r>
        <w:rPr>
          <w:b/>
        </w:rPr>
        <w:t> </w:t>
      </w:r>
      <w:r w:rsidRPr="00737453">
        <w:rPr>
          <w:b/>
        </w:rPr>
        <w:t>kapitálu</w:t>
      </w:r>
      <w:r>
        <w:t xml:space="preserve"> </w:t>
      </w:r>
      <w:r w:rsidR="00EA1AF5">
        <w:t>klesla</w:t>
      </w:r>
      <w:r>
        <w:t xml:space="preserve"> </w:t>
      </w:r>
      <w:r w:rsidR="00620F54">
        <w:t xml:space="preserve">mezičtvrtletně </w:t>
      </w:r>
      <w:r>
        <w:t>o </w:t>
      </w:r>
      <w:r w:rsidR="00C04E83">
        <w:t>1</w:t>
      </w:r>
      <w:r>
        <w:t>,</w:t>
      </w:r>
      <w:r w:rsidR="00792CDC">
        <w:t>2</w:t>
      </w:r>
      <w:r>
        <w:t xml:space="preserve"> % a </w:t>
      </w:r>
      <w:r w:rsidR="00B91260">
        <w:t xml:space="preserve">meziročně </w:t>
      </w:r>
      <w:r>
        <w:t xml:space="preserve">o </w:t>
      </w:r>
      <w:r w:rsidR="00C04E83">
        <w:t>0</w:t>
      </w:r>
      <w:r>
        <w:t>,</w:t>
      </w:r>
      <w:r w:rsidR="00EA1AF5">
        <w:t>8</w:t>
      </w:r>
      <w:r>
        <w:t xml:space="preserve"> %. </w:t>
      </w:r>
      <w:r w:rsidR="00400A7D">
        <w:t xml:space="preserve">Meziročně </w:t>
      </w:r>
      <w:r w:rsidR="00EA1AF5">
        <w:t>klesly</w:t>
      </w:r>
      <w:r w:rsidR="00400A7D">
        <w:t xml:space="preserve"> investice do obydlí</w:t>
      </w:r>
      <w:r w:rsidR="00EA1AF5">
        <w:t xml:space="preserve"> i do ICT a ostatních strojů a zařízení. Vzrostly investice především do</w:t>
      </w:r>
      <w:r w:rsidR="00400A7D">
        <w:t xml:space="preserve"> ostatních budov a staveb</w:t>
      </w:r>
      <w:r w:rsidR="00EA1AF5">
        <w:t xml:space="preserve"> a</w:t>
      </w:r>
      <w:r w:rsidR="00400A7D">
        <w:t xml:space="preserve"> </w:t>
      </w:r>
      <w:r w:rsidR="00C04E83">
        <w:t xml:space="preserve">dopravních prostředků. </w:t>
      </w:r>
      <w:r w:rsidR="00C3178F">
        <w:rPr>
          <w:b/>
        </w:rPr>
        <w:t>Změna stavu z</w:t>
      </w:r>
      <w:r w:rsidR="00C3178F" w:rsidRPr="00FB18A1">
        <w:rPr>
          <w:b/>
        </w:rPr>
        <w:t>ásob</w:t>
      </w:r>
      <w:r w:rsidR="00C3178F" w:rsidRPr="00E51FB7">
        <w:rPr>
          <w:rStyle w:val="Znakapoznpodarou"/>
        </w:rPr>
        <w:footnoteReference w:id="3"/>
      </w:r>
      <w:r w:rsidR="00C3178F">
        <w:t xml:space="preserve"> činila +</w:t>
      </w:r>
      <w:r w:rsidR="00792CDC">
        <w:t>6</w:t>
      </w:r>
      <w:r w:rsidR="00A93A53">
        <w:t>3</w:t>
      </w:r>
      <w:r w:rsidR="00C3178F">
        <w:t>,</w:t>
      </w:r>
      <w:r w:rsidR="00A93A53">
        <w:t>6</w:t>
      </w:r>
      <w:r w:rsidR="00C3178F">
        <w:t xml:space="preserve"> mld. Kč, což bylo o </w:t>
      </w:r>
      <w:r w:rsidR="00A93A53">
        <w:t>12</w:t>
      </w:r>
      <w:r w:rsidR="00C3178F">
        <w:t>,</w:t>
      </w:r>
      <w:r w:rsidR="00A93A53">
        <w:t>3</w:t>
      </w:r>
      <w:r w:rsidR="00C3178F">
        <w:t xml:space="preserve"> mld. Kč méně než ve stejném čtvrtletí předchozího roku.</w:t>
      </w:r>
    </w:p>
    <w:p w:rsidR="00F641C9" w:rsidRDefault="00A40E2F" w:rsidP="00A40E2F">
      <w:pPr>
        <w:spacing w:before="240" w:after="240"/>
        <w:rPr>
          <w:rFonts w:cs="Arial"/>
          <w:szCs w:val="20"/>
        </w:rPr>
      </w:pPr>
      <w:r>
        <w:rPr>
          <w:b/>
        </w:rPr>
        <w:t xml:space="preserve">Saldo zahraničního obchodu se </w:t>
      </w:r>
      <w:r w:rsidRPr="00D36813">
        <w:rPr>
          <w:b/>
        </w:rPr>
        <w:t>zboží</w:t>
      </w:r>
      <w:r>
        <w:rPr>
          <w:b/>
        </w:rPr>
        <w:t>m</w:t>
      </w:r>
      <w:r w:rsidRPr="00D36813">
        <w:rPr>
          <w:b/>
        </w:rPr>
        <w:t xml:space="preserve"> a služb</w:t>
      </w:r>
      <w:r>
        <w:rPr>
          <w:b/>
        </w:rPr>
        <w:t>ami</w:t>
      </w:r>
      <w:r>
        <w:t xml:space="preserve"> dosáhlo v běžných cenách hodnoty </w:t>
      </w:r>
      <w:r w:rsidR="00F847A6">
        <w:t>1</w:t>
      </w:r>
      <w:r w:rsidR="002F7D31">
        <w:t>21</w:t>
      </w:r>
      <w:r>
        <w:t>,</w:t>
      </w:r>
      <w:r w:rsidR="002F7D31">
        <w:t>8</w:t>
      </w:r>
      <w:r>
        <w:t xml:space="preserve"> mld. Kč, bylo tak o </w:t>
      </w:r>
      <w:r w:rsidR="002F7D31">
        <w:t>29</w:t>
      </w:r>
      <w:r w:rsidR="00D54208">
        <w:t>,</w:t>
      </w:r>
      <w:r w:rsidR="002F7D31">
        <w:t>9</w:t>
      </w:r>
      <w:r>
        <w:t xml:space="preserve"> mld. </w:t>
      </w:r>
      <w:r w:rsidR="00D7458C">
        <w:t>vyšší</w:t>
      </w:r>
      <w:r>
        <w:t xml:space="preserve"> než ve stejném období předchozího roku. </w:t>
      </w:r>
      <w:r w:rsidRPr="00D9259D">
        <w:rPr>
          <w:rFonts w:cs="Arial"/>
          <w:szCs w:val="20"/>
        </w:rPr>
        <w:t>Vývoz</w:t>
      </w:r>
      <w:r w:rsidRPr="00F10882">
        <w:rPr>
          <w:rFonts w:cs="Arial"/>
          <w:szCs w:val="20"/>
        </w:rPr>
        <w:t xml:space="preserve"> </w:t>
      </w:r>
      <w:r w:rsidR="00E13CC9">
        <w:rPr>
          <w:rFonts w:cs="Arial"/>
          <w:szCs w:val="20"/>
        </w:rPr>
        <w:t>vz</w:t>
      </w:r>
      <w:r>
        <w:rPr>
          <w:rFonts w:cs="Arial"/>
          <w:szCs w:val="20"/>
        </w:rPr>
        <w:t>rostl</w:t>
      </w:r>
      <w:r w:rsidRPr="00F1088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mezičtvrtletně</w:t>
      </w:r>
      <w:r w:rsidRPr="00F1088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reálně </w:t>
      </w:r>
      <w:r w:rsidRPr="00F10882">
        <w:rPr>
          <w:rFonts w:cs="Arial"/>
          <w:szCs w:val="20"/>
        </w:rPr>
        <w:t xml:space="preserve">o </w:t>
      </w:r>
      <w:r w:rsidR="000D11AB">
        <w:rPr>
          <w:rFonts w:cs="Arial"/>
          <w:szCs w:val="20"/>
        </w:rPr>
        <w:t>1</w:t>
      </w:r>
      <w:r>
        <w:rPr>
          <w:rFonts w:cs="Arial"/>
          <w:szCs w:val="20"/>
        </w:rPr>
        <w:t>,</w:t>
      </w:r>
      <w:r w:rsidR="000D11AB">
        <w:rPr>
          <w:rFonts w:cs="Arial"/>
          <w:szCs w:val="20"/>
        </w:rPr>
        <w:t>9</w:t>
      </w:r>
      <w:r w:rsidRPr="00F10882">
        <w:rPr>
          <w:rFonts w:cs="Arial"/>
          <w:szCs w:val="20"/>
        </w:rPr>
        <w:t> %</w:t>
      </w:r>
      <w:r w:rsidR="000D11AB">
        <w:rPr>
          <w:rFonts w:cs="Arial"/>
          <w:szCs w:val="20"/>
        </w:rPr>
        <w:t>.</w:t>
      </w:r>
      <w:r w:rsidR="00957983">
        <w:rPr>
          <w:rFonts w:cs="Arial"/>
          <w:szCs w:val="20"/>
        </w:rPr>
        <w:t xml:space="preserve"> V meziročním srovnání</w:t>
      </w:r>
      <w:r>
        <w:rPr>
          <w:rFonts w:cs="Arial"/>
          <w:szCs w:val="20"/>
        </w:rPr>
        <w:t xml:space="preserve"> </w:t>
      </w:r>
      <w:r w:rsidR="00306013">
        <w:rPr>
          <w:rFonts w:cs="Arial"/>
          <w:szCs w:val="20"/>
        </w:rPr>
        <w:t>vzrostl</w:t>
      </w:r>
      <w:r>
        <w:rPr>
          <w:rFonts w:cs="Arial"/>
          <w:szCs w:val="20"/>
        </w:rPr>
        <w:t xml:space="preserve"> o </w:t>
      </w:r>
      <w:r w:rsidR="000D11AB">
        <w:rPr>
          <w:rFonts w:cs="Arial"/>
          <w:szCs w:val="20"/>
        </w:rPr>
        <w:t>4</w:t>
      </w:r>
      <w:r>
        <w:rPr>
          <w:rFonts w:cs="Arial"/>
          <w:szCs w:val="20"/>
        </w:rPr>
        <w:t>,</w:t>
      </w:r>
      <w:r w:rsidR="000D11AB">
        <w:rPr>
          <w:rFonts w:cs="Arial"/>
          <w:szCs w:val="20"/>
        </w:rPr>
        <w:t>0</w:t>
      </w:r>
      <w:r>
        <w:rPr>
          <w:rFonts w:cs="Arial"/>
          <w:szCs w:val="20"/>
        </w:rPr>
        <w:t xml:space="preserve"> %</w:t>
      </w:r>
      <w:r w:rsidR="002F7D31">
        <w:rPr>
          <w:rFonts w:cs="Arial"/>
          <w:szCs w:val="20"/>
        </w:rPr>
        <w:t>, kde vývoj nejvíce ovlivnil růst vývozu elektrických a optických přístrojů a motorových vozidel.</w:t>
      </w:r>
      <w:r>
        <w:rPr>
          <w:rFonts w:cs="Arial"/>
          <w:szCs w:val="20"/>
        </w:rPr>
        <w:t xml:space="preserve"> D</w:t>
      </w:r>
      <w:r w:rsidRPr="00F10882">
        <w:rPr>
          <w:rFonts w:cs="Arial"/>
          <w:szCs w:val="20"/>
        </w:rPr>
        <w:t xml:space="preserve">ovoz </w:t>
      </w:r>
      <w:r w:rsidR="0045221B">
        <w:rPr>
          <w:rFonts w:cs="Arial"/>
          <w:szCs w:val="20"/>
        </w:rPr>
        <w:t>vzrostl</w:t>
      </w:r>
      <w:r>
        <w:rPr>
          <w:rFonts w:cs="Arial"/>
          <w:szCs w:val="20"/>
        </w:rPr>
        <w:t xml:space="preserve"> mezičtvrtletně </w:t>
      </w:r>
      <w:r w:rsidRPr="00F10882">
        <w:rPr>
          <w:rFonts w:cs="Arial"/>
          <w:szCs w:val="20"/>
        </w:rPr>
        <w:t>o </w:t>
      </w:r>
      <w:r w:rsidR="00A93A53">
        <w:rPr>
          <w:rFonts w:cs="Arial"/>
          <w:szCs w:val="20"/>
        </w:rPr>
        <w:t>3</w:t>
      </w:r>
      <w:r w:rsidRPr="00F10882">
        <w:rPr>
          <w:rFonts w:cs="Arial"/>
          <w:szCs w:val="20"/>
        </w:rPr>
        <w:t>,</w:t>
      </w:r>
      <w:r w:rsidR="00A93A53">
        <w:rPr>
          <w:rFonts w:cs="Arial"/>
          <w:szCs w:val="20"/>
        </w:rPr>
        <w:t>2</w:t>
      </w:r>
      <w:r w:rsidRPr="00F10882">
        <w:rPr>
          <w:rFonts w:cs="Arial"/>
          <w:szCs w:val="20"/>
        </w:rPr>
        <w:t> %</w:t>
      </w:r>
      <w:r w:rsidR="007D2AB2">
        <w:rPr>
          <w:rFonts w:cs="Arial"/>
          <w:szCs w:val="20"/>
        </w:rPr>
        <w:t xml:space="preserve"> a</w:t>
      </w:r>
      <w:r>
        <w:rPr>
          <w:rFonts w:cs="Arial"/>
          <w:szCs w:val="20"/>
        </w:rPr>
        <w:t xml:space="preserve"> meziročně o </w:t>
      </w:r>
      <w:r w:rsidR="00484911">
        <w:rPr>
          <w:rFonts w:cs="Arial"/>
          <w:szCs w:val="20"/>
        </w:rPr>
        <w:t>3</w:t>
      </w:r>
      <w:r>
        <w:rPr>
          <w:rFonts w:cs="Arial"/>
          <w:szCs w:val="20"/>
        </w:rPr>
        <w:t>,</w:t>
      </w:r>
      <w:r w:rsidR="00484911">
        <w:rPr>
          <w:rFonts w:cs="Arial"/>
          <w:szCs w:val="20"/>
        </w:rPr>
        <w:t>4</w:t>
      </w:r>
      <w:r w:rsidR="00D745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%</w:t>
      </w:r>
      <w:r w:rsidR="004C4C12">
        <w:rPr>
          <w:rFonts w:cs="Arial"/>
          <w:szCs w:val="20"/>
        </w:rPr>
        <w:t>.</w:t>
      </w:r>
    </w:p>
    <w:p w:rsidR="00097BDD" w:rsidRDefault="00C561FD" w:rsidP="00A40E2F">
      <w:pPr>
        <w:spacing w:before="240" w:after="240"/>
        <w:rPr>
          <w:rFonts w:cs="Arial"/>
          <w:szCs w:val="20"/>
        </w:rPr>
      </w:pPr>
      <w:r>
        <w:rPr>
          <w:noProof/>
          <w:lang w:eastAsia="cs-CZ"/>
        </w:rPr>
        <w:drawing>
          <wp:inline distT="0" distB="0" distL="0" distR="0" wp14:anchorId="35E2C835" wp14:editId="25792517">
            <wp:extent cx="5381623" cy="3291050"/>
            <wp:effectExtent l="0" t="0" r="0" b="508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E6D72" w:rsidRDefault="00A40E2F" w:rsidP="00A40E2F">
      <w:pPr>
        <w:spacing w:before="240" w:after="240"/>
        <w:rPr>
          <w:rFonts w:cs="Arial"/>
          <w:szCs w:val="20"/>
        </w:rPr>
      </w:pPr>
      <w:r w:rsidRPr="00AF011D">
        <w:rPr>
          <w:rFonts w:cs="Arial"/>
          <w:szCs w:val="20"/>
        </w:rPr>
        <w:t>Z hlediska cenového vývoje v</w:t>
      </w:r>
      <w:r w:rsidR="00BF71BB">
        <w:rPr>
          <w:rFonts w:cs="Arial"/>
          <w:szCs w:val="20"/>
        </w:rPr>
        <w:t>e</w:t>
      </w:r>
      <w:r w:rsidRPr="00AF011D">
        <w:rPr>
          <w:rFonts w:cs="Arial"/>
          <w:szCs w:val="20"/>
        </w:rPr>
        <w:t> </w:t>
      </w:r>
      <w:r w:rsidR="00C93B18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. čtvrtletí </w:t>
      </w:r>
      <w:r w:rsidRPr="00AF011D">
        <w:rPr>
          <w:rFonts w:cs="Arial"/>
          <w:szCs w:val="20"/>
        </w:rPr>
        <w:t xml:space="preserve">celkový deflátor HDP </w:t>
      </w:r>
      <w:r>
        <w:rPr>
          <w:rFonts w:cs="Arial"/>
          <w:szCs w:val="20"/>
        </w:rPr>
        <w:t>vzrostl meziročně o</w:t>
      </w:r>
      <w:r w:rsidRPr="00AF011D">
        <w:rPr>
          <w:rFonts w:cs="Arial"/>
          <w:szCs w:val="20"/>
        </w:rPr>
        <w:t xml:space="preserve"> </w:t>
      </w:r>
      <w:r w:rsidR="00DD3C78">
        <w:rPr>
          <w:rFonts w:cs="Arial"/>
          <w:szCs w:val="20"/>
        </w:rPr>
        <w:t>3</w:t>
      </w:r>
      <w:r w:rsidRPr="00AF011D">
        <w:rPr>
          <w:rFonts w:cs="Arial"/>
          <w:szCs w:val="20"/>
        </w:rPr>
        <w:t>,</w:t>
      </w:r>
      <w:r w:rsidR="00DD3C78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 %</w:t>
      </w:r>
      <w:r w:rsidR="00B92579">
        <w:rPr>
          <w:rFonts w:cs="Arial"/>
          <w:szCs w:val="20"/>
        </w:rPr>
        <w:t>.</w:t>
      </w:r>
    </w:p>
    <w:p w:rsidR="008B7326" w:rsidRDefault="008B7326" w:rsidP="008B7326">
      <w:pPr>
        <w:spacing w:before="240" w:after="240"/>
        <w:rPr>
          <w:rFonts w:cs="Arial"/>
          <w:szCs w:val="20"/>
        </w:rPr>
      </w:pPr>
      <w:r w:rsidRPr="00D65975">
        <w:rPr>
          <w:rFonts w:cs="Arial"/>
          <w:szCs w:val="20"/>
        </w:rPr>
        <w:t>Objem mzdových nákladů</w:t>
      </w:r>
      <w:r>
        <w:rPr>
          <w:rStyle w:val="Znakapoznpodarou"/>
        </w:rPr>
        <w:t>3</w:t>
      </w:r>
      <w:r w:rsidRPr="00D65975">
        <w:rPr>
          <w:rFonts w:cs="Arial"/>
          <w:szCs w:val="20"/>
        </w:rPr>
        <w:t xml:space="preserve"> v</w:t>
      </w:r>
      <w:r>
        <w:rPr>
          <w:rFonts w:cs="Arial"/>
          <w:szCs w:val="20"/>
        </w:rPr>
        <w:t xml:space="preserve">e </w:t>
      </w:r>
      <w:r w:rsidR="00C93B18">
        <w:rPr>
          <w:rFonts w:cs="Arial"/>
          <w:szCs w:val="20"/>
        </w:rPr>
        <w:t>3</w:t>
      </w:r>
      <w:r w:rsidRPr="00D65975">
        <w:rPr>
          <w:rFonts w:cs="Arial"/>
          <w:szCs w:val="20"/>
        </w:rPr>
        <w:t xml:space="preserve">. čtvrtletí vzrostl meziročně o </w:t>
      </w:r>
      <w:r w:rsidR="00CC152A">
        <w:rPr>
          <w:rFonts w:cs="Arial"/>
          <w:szCs w:val="20"/>
        </w:rPr>
        <w:t>6</w:t>
      </w:r>
      <w:r w:rsidRPr="00D65975">
        <w:rPr>
          <w:rFonts w:cs="Arial"/>
          <w:szCs w:val="20"/>
        </w:rPr>
        <w:t>,</w:t>
      </w:r>
      <w:r w:rsidR="00CC152A">
        <w:rPr>
          <w:rFonts w:cs="Arial"/>
          <w:szCs w:val="20"/>
        </w:rPr>
        <w:t>5</w:t>
      </w:r>
      <w:r w:rsidRPr="00D65975">
        <w:rPr>
          <w:rFonts w:cs="Arial"/>
          <w:szCs w:val="20"/>
        </w:rPr>
        <w:t xml:space="preserve"> %.</w:t>
      </w:r>
    </w:p>
    <w:p w:rsidR="00A40E2F" w:rsidRDefault="00A40E2F" w:rsidP="00A40E2F">
      <w:pPr>
        <w:spacing w:before="240" w:after="240"/>
      </w:pPr>
      <w:r w:rsidRPr="00E50E52">
        <w:rPr>
          <w:rFonts w:cs="Arial"/>
          <w:b/>
          <w:szCs w:val="20"/>
        </w:rPr>
        <w:t>Celková zaměstnanost</w:t>
      </w:r>
      <w:r w:rsidRPr="00E50E52">
        <w:rPr>
          <w:rStyle w:val="Znakapoznpodarou"/>
          <w:rFonts w:cs="Arial"/>
          <w:szCs w:val="20"/>
        </w:rPr>
        <w:footnoteReference w:id="4"/>
      </w:r>
      <w:r w:rsidRPr="00E50E52">
        <w:rPr>
          <w:rFonts w:cs="Arial"/>
          <w:szCs w:val="20"/>
        </w:rPr>
        <w:t xml:space="preserve"> </w:t>
      </w:r>
      <w:r w:rsidR="00DD3C78">
        <w:rPr>
          <w:rFonts w:cs="Arial"/>
          <w:szCs w:val="20"/>
        </w:rPr>
        <w:t>se</w:t>
      </w:r>
      <w:r>
        <w:t xml:space="preserve"> </w:t>
      </w:r>
      <w:r>
        <w:rPr>
          <w:rFonts w:cs="Arial"/>
          <w:szCs w:val="20"/>
        </w:rPr>
        <w:t xml:space="preserve">v </w:t>
      </w:r>
      <w:r w:rsidRPr="006C6198">
        <w:t>porovnání s předchozím čtvrtletím</w:t>
      </w:r>
      <w:r w:rsidR="00AE38BA">
        <w:t xml:space="preserve"> </w:t>
      </w:r>
      <w:r w:rsidR="00DD3C78">
        <w:t>nezměnila</w:t>
      </w:r>
      <w:r>
        <w:t xml:space="preserve"> a</w:t>
      </w:r>
      <w:r w:rsidRPr="00E50E52">
        <w:rPr>
          <w:rFonts w:cs="Arial"/>
          <w:szCs w:val="20"/>
        </w:rPr>
        <w:t xml:space="preserve"> meziročně</w:t>
      </w:r>
      <w:r>
        <w:rPr>
          <w:rFonts w:cs="Arial"/>
          <w:szCs w:val="20"/>
        </w:rPr>
        <w:t xml:space="preserve"> </w:t>
      </w:r>
      <w:r w:rsidR="00DD3C78">
        <w:rPr>
          <w:rFonts w:cs="Arial"/>
          <w:szCs w:val="20"/>
        </w:rPr>
        <w:t xml:space="preserve">vzrostla </w:t>
      </w:r>
      <w:r>
        <w:rPr>
          <w:rFonts w:cs="Arial"/>
          <w:szCs w:val="20"/>
        </w:rPr>
        <w:t>o </w:t>
      </w:r>
      <w:r w:rsidR="001B781A">
        <w:rPr>
          <w:rFonts w:cs="Arial"/>
          <w:szCs w:val="20"/>
        </w:rPr>
        <w:t>0</w:t>
      </w:r>
      <w:r>
        <w:rPr>
          <w:rFonts w:cs="Arial"/>
          <w:szCs w:val="20"/>
        </w:rPr>
        <w:t>,</w:t>
      </w:r>
      <w:r w:rsidR="00DD3C78">
        <w:rPr>
          <w:rFonts w:cs="Arial"/>
          <w:szCs w:val="20"/>
        </w:rPr>
        <w:t>4</w:t>
      </w:r>
      <w:r w:rsidR="001322E7">
        <w:rPr>
          <w:rFonts w:cs="Arial"/>
          <w:szCs w:val="20"/>
        </w:rPr>
        <w:t> </w:t>
      </w:r>
      <w:r>
        <w:rPr>
          <w:rFonts w:cs="Arial"/>
          <w:szCs w:val="20"/>
        </w:rPr>
        <w:t>%.</w:t>
      </w:r>
      <w:r w:rsidR="00957983">
        <w:rPr>
          <w:rFonts w:cs="Arial"/>
          <w:szCs w:val="20"/>
        </w:rPr>
        <w:t xml:space="preserve"> </w:t>
      </w:r>
      <w:r w:rsidR="00957983" w:rsidRPr="007343C6">
        <w:t>Celkem bylo odpracováno o </w:t>
      </w:r>
      <w:r w:rsidR="00DD3C78">
        <w:t>1</w:t>
      </w:r>
      <w:r w:rsidR="00957983">
        <w:t>,</w:t>
      </w:r>
      <w:r w:rsidR="00AE38BA">
        <w:t>5</w:t>
      </w:r>
      <w:r w:rsidR="00957983">
        <w:t xml:space="preserve"> %</w:t>
      </w:r>
      <w:r w:rsidR="00957983" w:rsidRPr="007343C6">
        <w:t xml:space="preserve"> hodin </w:t>
      </w:r>
      <w:r w:rsidR="00AE38BA">
        <w:t>více</w:t>
      </w:r>
      <w:r w:rsidR="00973EDD">
        <w:t xml:space="preserve"> než v předchozím čtvrtletí a </w:t>
      </w:r>
      <w:r w:rsidR="00C0255E">
        <w:t>meziročně o </w:t>
      </w:r>
      <w:r w:rsidR="00AE38BA">
        <w:t>1</w:t>
      </w:r>
      <w:r w:rsidR="00957983" w:rsidRPr="00031121">
        <w:t>,</w:t>
      </w:r>
      <w:r w:rsidR="00DD3C78">
        <w:t>4</w:t>
      </w:r>
      <w:r w:rsidR="00957983" w:rsidRPr="00031121">
        <w:t xml:space="preserve"> %</w:t>
      </w:r>
      <w:r w:rsidR="00484911">
        <w:t xml:space="preserve"> více.</w:t>
      </w:r>
    </w:p>
    <w:p w:rsidR="00097BDD" w:rsidRDefault="00097BDD" w:rsidP="00A40E2F">
      <w:pPr>
        <w:spacing w:before="240" w:after="240"/>
        <w:rPr>
          <w:rFonts w:cs="Arial"/>
          <w:szCs w:val="20"/>
        </w:rPr>
      </w:pPr>
    </w:p>
    <w:p w:rsidR="00C97C4C" w:rsidRDefault="00C97C4C" w:rsidP="00A40E2F">
      <w:pPr>
        <w:spacing w:before="240" w:after="240"/>
        <w:rPr>
          <w:rFonts w:cs="Arial"/>
          <w:szCs w:val="20"/>
        </w:rPr>
      </w:pPr>
    </w:p>
    <w:p w:rsidR="007C771E" w:rsidRDefault="007C771E" w:rsidP="00981D35">
      <w:pPr>
        <w:pStyle w:val="Poznmky"/>
        <w:tabs>
          <w:tab w:val="left" w:pos="284"/>
        </w:tabs>
        <w:spacing w:before="240"/>
        <w:ind w:left="4253" w:hanging="4253"/>
        <w:rPr>
          <w:i/>
        </w:rPr>
      </w:pPr>
      <w:r>
        <w:rPr>
          <w:i/>
        </w:rPr>
        <w:t>Poznámky:</w:t>
      </w:r>
    </w:p>
    <w:p w:rsidR="004D5716" w:rsidRDefault="00981D35" w:rsidP="004D5716">
      <w:pPr>
        <w:pStyle w:val="Poznmky"/>
        <w:tabs>
          <w:tab w:val="left" w:pos="284"/>
        </w:tabs>
        <w:spacing w:before="240"/>
        <w:ind w:left="4253" w:hanging="4253"/>
        <w:rPr>
          <w:i/>
        </w:rPr>
      </w:pPr>
      <w:r w:rsidRPr="004E3EF6">
        <w:rPr>
          <w:i/>
        </w:rPr>
        <w:t>Zodpovědný vedoucí pracovník:</w:t>
      </w:r>
      <w:r w:rsidRPr="004E3EF6">
        <w:rPr>
          <w:i/>
        </w:rPr>
        <w:tab/>
      </w:r>
      <w:r>
        <w:rPr>
          <w:i/>
        </w:rPr>
        <w:t>Ing. Vladimír Kermiet, ředitel o</w:t>
      </w:r>
      <w:r w:rsidRPr="004E3EF6">
        <w:rPr>
          <w:i/>
        </w:rPr>
        <w:t>dboru národních účtů, tel. 274 054 247, e</w:t>
      </w:r>
      <w:r w:rsidRPr="004E3EF6">
        <w:rPr>
          <w:i/>
        </w:rPr>
        <w:noBreakHyphen/>
        <w:t>mail: </w:t>
      </w:r>
      <w:hyperlink r:id="rId8" w:history="1">
        <w:r w:rsidR="004D5716" w:rsidRPr="00C93B18">
          <w:rPr>
            <w:rStyle w:val="Hypertextovodkaz"/>
            <w:i/>
          </w:rPr>
          <w:t>vladimir.kermiet@csu.gov.cz</w:t>
        </w:r>
      </w:hyperlink>
    </w:p>
    <w:p w:rsidR="00981D35" w:rsidRPr="004E3EF6" w:rsidRDefault="00981D35" w:rsidP="004D5716">
      <w:pPr>
        <w:pStyle w:val="Poznmky"/>
        <w:tabs>
          <w:tab w:val="left" w:pos="284"/>
        </w:tabs>
        <w:spacing w:before="240"/>
        <w:ind w:left="4253" w:hanging="4253"/>
      </w:pPr>
      <w:r w:rsidRPr="004E3EF6">
        <w:t>Kontaktní osoba:</w:t>
      </w:r>
      <w:r w:rsidRPr="004E3EF6">
        <w:tab/>
      </w:r>
      <w:r w:rsidRPr="005D19AD">
        <w:rPr>
          <w:i/>
        </w:rPr>
        <w:t xml:space="preserve">Ing. Jan Benedikt, </w:t>
      </w:r>
      <w:r w:rsidR="005D19AD" w:rsidRPr="005D19AD">
        <w:rPr>
          <w:i/>
        </w:rPr>
        <w:t xml:space="preserve">vedoucí </w:t>
      </w:r>
      <w:r w:rsidRPr="005D19AD">
        <w:rPr>
          <w:i/>
        </w:rPr>
        <w:t>oddělení čtvrtletních odhadů, tel. 274 052 750</w:t>
      </w:r>
      <w:r w:rsidRPr="00315471">
        <w:t>, e</w:t>
      </w:r>
      <w:r w:rsidRPr="00315471">
        <w:noBreakHyphen/>
        <w:t>mail: </w:t>
      </w:r>
      <w:hyperlink r:id="rId9" w:history="1">
        <w:r w:rsidR="004C1216" w:rsidRPr="00C93B18">
          <w:rPr>
            <w:rStyle w:val="Hypertextovodkaz"/>
            <w:i/>
          </w:rPr>
          <w:t>jan.benedikt@csu.gov.cz</w:t>
        </w:r>
      </w:hyperlink>
      <w:r w:rsidRPr="004E3EF6">
        <w:t xml:space="preserve"> </w:t>
      </w:r>
    </w:p>
    <w:p w:rsidR="00981D35" w:rsidRPr="004E3EF6" w:rsidRDefault="00981D35" w:rsidP="00981D35">
      <w:pPr>
        <w:pStyle w:val="Poznamkytexty"/>
        <w:spacing w:before="120"/>
        <w:ind w:left="4253" w:hanging="4253"/>
      </w:pPr>
      <w:r w:rsidRPr="004E3EF6">
        <w:t>Aktuálnost použitých datových zdrojů:</w:t>
      </w:r>
      <w:r w:rsidRPr="004E3EF6">
        <w:tab/>
        <w:t>2</w:t>
      </w:r>
      <w:r w:rsidR="00CC152A">
        <w:t>2</w:t>
      </w:r>
      <w:r w:rsidRPr="004E3EF6">
        <w:t>.</w:t>
      </w:r>
      <w:r>
        <w:t xml:space="preserve"> </w:t>
      </w:r>
      <w:r w:rsidR="00C93B18">
        <w:t>listopadu</w:t>
      </w:r>
      <w:r>
        <w:t xml:space="preserve"> 202</w:t>
      </w:r>
      <w:r w:rsidR="00E2474A">
        <w:t>4</w:t>
      </w:r>
    </w:p>
    <w:p w:rsidR="00CF58E0" w:rsidRDefault="00CF58E0" w:rsidP="00981D35">
      <w:pPr>
        <w:pStyle w:val="Poznamkytexty"/>
        <w:spacing w:before="120"/>
        <w:ind w:left="4253" w:hanging="4253"/>
        <w:jc w:val="left"/>
        <w:rPr>
          <w:rStyle w:val="Hypertextovodkaz"/>
        </w:rPr>
      </w:pPr>
      <w:r w:rsidRPr="00FE1D62">
        <w:t>Časové řady:</w:t>
      </w:r>
      <w:r w:rsidRPr="00FE1D62">
        <w:tab/>
      </w:r>
      <w:hyperlink r:id="rId10" w:history="1">
        <w:r w:rsidR="00D34DBC">
          <w:rPr>
            <w:rStyle w:val="Hypertextovodkaz"/>
          </w:rPr>
          <w:t>https://apl.czso.cz/pll/rocenka/</w:t>
        </w:r>
      </w:hyperlink>
    </w:p>
    <w:p w:rsidR="00981D35" w:rsidRPr="00424047" w:rsidRDefault="00981D35" w:rsidP="00981D35">
      <w:pPr>
        <w:pStyle w:val="Poznamkytexty"/>
        <w:spacing w:before="120"/>
        <w:ind w:left="4253" w:hanging="4253"/>
        <w:jc w:val="left"/>
        <w:rPr>
          <w:highlight w:val="yellow"/>
        </w:rPr>
      </w:pPr>
      <w:r w:rsidRPr="00FE1D62">
        <w:t>Internetové stránky RI:</w:t>
      </w:r>
      <w:r w:rsidRPr="00FE1D62">
        <w:tab/>
      </w:r>
      <w:hyperlink r:id="rId11" w:history="1">
        <w:r w:rsidR="00B420BD">
          <w:rPr>
            <w:rStyle w:val="Hypertextovodkaz"/>
            <w:iCs/>
          </w:rPr>
          <w:t>https://csu.gov.cz/ctvrtletni-odhady-hdp</w:t>
        </w:r>
      </w:hyperlink>
    </w:p>
    <w:p w:rsidR="00981D35" w:rsidRDefault="00981D35" w:rsidP="00981D35">
      <w:pPr>
        <w:pStyle w:val="Poznamkytexty"/>
        <w:spacing w:before="120"/>
        <w:ind w:left="4253" w:hanging="4253"/>
        <w:jc w:val="left"/>
      </w:pPr>
      <w:r w:rsidRPr="00FE1D62">
        <w:t>Termín zveřejnění další RI:</w:t>
      </w:r>
      <w:r w:rsidRPr="00FE1D62">
        <w:tab/>
      </w:r>
      <w:r w:rsidR="005F170D">
        <w:t>3</w:t>
      </w:r>
      <w:r w:rsidR="00C93B18">
        <w:t>1</w:t>
      </w:r>
      <w:r w:rsidRPr="00FE1D62">
        <w:t xml:space="preserve">. </w:t>
      </w:r>
      <w:r w:rsidR="00C93B18">
        <w:t>ledna</w:t>
      </w:r>
      <w:r>
        <w:t xml:space="preserve"> 202</w:t>
      </w:r>
      <w:r w:rsidR="00C93B18">
        <w:t>5</w:t>
      </w:r>
      <w:r w:rsidRPr="00FE1D62">
        <w:t xml:space="preserve"> </w:t>
      </w:r>
      <w:r w:rsidRPr="00FE1D62">
        <w:br/>
        <w:t xml:space="preserve">(Předběžný odhad HDP za </w:t>
      </w:r>
      <w:r w:rsidR="00C93B18">
        <w:t>4</w:t>
      </w:r>
      <w:r w:rsidRPr="00FE1D62">
        <w:t>. čtvrtletí 20</w:t>
      </w:r>
      <w:r>
        <w:t>2</w:t>
      </w:r>
      <w:r w:rsidR="00E2474A">
        <w:t>4</w:t>
      </w:r>
      <w:r w:rsidRPr="00FE1D62">
        <w:t>)</w:t>
      </w:r>
    </w:p>
    <w:p w:rsidR="00D209A7" w:rsidRPr="00981D35" w:rsidRDefault="00D209A7" w:rsidP="00981D35"/>
    <w:sectPr w:rsidR="00D209A7" w:rsidRPr="00981D35" w:rsidSect="00F641C9">
      <w:headerReference w:type="default" r:id="rId12"/>
      <w:footerReference w:type="default" r:id="rId13"/>
      <w:pgSz w:w="11907" w:h="16839" w:code="9"/>
      <w:pgMar w:top="2836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A58" w:rsidRDefault="00882A58" w:rsidP="00BA6370">
      <w:r>
        <w:separator/>
      </w:r>
    </w:p>
  </w:endnote>
  <w:endnote w:type="continuationSeparator" w:id="0">
    <w:p w:rsidR="00882A58" w:rsidRDefault="00882A5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D644C8" w:rsidRPr="009E3E19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</w:t>
                            </w:r>
                            <w:proofErr w:type="gramStart"/>
                            <w:r w:rsidR="00D644C8" w:rsidRPr="009E3E19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="00D644C8" w:rsidRPr="009E3E19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12A29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D644C8" w:rsidRPr="009E3E19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</w:t>
                      </w:r>
                      <w:proofErr w:type="gramStart"/>
                      <w:r w:rsidR="00D644C8" w:rsidRPr="009E3E19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="00D644C8" w:rsidRPr="009E3E19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12A29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396BE9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A58" w:rsidRDefault="00882A58" w:rsidP="00BA6370">
      <w:r>
        <w:separator/>
      </w:r>
    </w:p>
  </w:footnote>
  <w:footnote w:type="continuationSeparator" w:id="0">
    <w:p w:rsidR="00882A58" w:rsidRDefault="00882A58" w:rsidP="00BA6370">
      <w:r>
        <w:continuationSeparator/>
      </w:r>
    </w:p>
  </w:footnote>
  <w:footnote w:id="1">
    <w:p w:rsidR="001A672F" w:rsidRPr="00652020" w:rsidRDefault="001A672F" w:rsidP="001A672F">
      <w:pPr>
        <w:pStyle w:val="Textpoznpodarou"/>
        <w:spacing w:after="60"/>
        <w:jc w:val="both"/>
        <w:rPr>
          <w:rFonts w:ascii="Arial" w:hAnsi="Arial" w:cs="Arial"/>
          <w:i/>
        </w:rPr>
      </w:pPr>
      <w:r w:rsidRPr="00652020">
        <w:rPr>
          <w:rStyle w:val="Znakapoznpodarou"/>
          <w:rFonts w:ascii="Arial" w:hAnsi="Arial" w:cs="Arial"/>
          <w:i/>
        </w:rPr>
        <w:footnoteRef/>
      </w:r>
      <w:r w:rsidRPr="00652020">
        <w:rPr>
          <w:rFonts w:ascii="Arial" w:hAnsi="Arial" w:cs="Arial"/>
          <w:i/>
        </w:rPr>
        <w:t xml:space="preserve"> </w:t>
      </w:r>
      <w:r w:rsidRPr="00652020">
        <w:rPr>
          <w:rFonts w:ascii="Arial" w:hAnsi="Arial" w:cs="Arial"/>
          <w:i/>
          <w:sz w:val="18"/>
          <w:szCs w:val="18"/>
        </w:rPr>
        <w:t>Pokud není uvedeno jinak, jsou všechny uváděné údaje očištěny o změny cen, sezónní vlivy a nestejný počet pracovních dnů</w:t>
      </w:r>
      <w:r>
        <w:rPr>
          <w:rFonts w:ascii="Arial" w:hAnsi="Arial" w:cs="Arial"/>
          <w:i/>
          <w:sz w:val="18"/>
          <w:szCs w:val="18"/>
        </w:rPr>
        <w:t>.</w:t>
      </w:r>
    </w:p>
  </w:footnote>
  <w:footnote w:id="2">
    <w:p w:rsidR="00A40E2F" w:rsidRPr="00403FFD" w:rsidRDefault="00A40E2F" w:rsidP="00A40E2F">
      <w:pPr>
        <w:pStyle w:val="Textpoznpodarou"/>
        <w:spacing w:line="288" w:lineRule="auto"/>
        <w:rPr>
          <w:rFonts w:ascii="Arial" w:hAnsi="Arial" w:cs="Arial"/>
          <w:i/>
          <w:sz w:val="18"/>
          <w:szCs w:val="18"/>
        </w:rPr>
      </w:pPr>
      <w:r w:rsidRPr="00403FFD">
        <w:rPr>
          <w:rStyle w:val="Znakapoznpodarou"/>
          <w:rFonts w:ascii="Arial" w:hAnsi="Arial" w:cs="Arial"/>
          <w:i/>
        </w:rPr>
        <w:footnoteRef/>
      </w:r>
      <w:r w:rsidRPr="00403FFD">
        <w:rPr>
          <w:rFonts w:ascii="Arial" w:hAnsi="Arial" w:cs="Arial"/>
          <w:i/>
        </w:rPr>
        <w:t xml:space="preserve"> </w:t>
      </w:r>
      <w:r w:rsidRPr="00403FFD">
        <w:rPr>
          <w:rFonts w:ascii="Arial" w:hAnsi="Arial" w:cs="Arial"/>
          <w:i/>
          <w:sz w:val="18"/>
          <w:szCs w:val="18"/>
        </w:rPr>
        <w:t xml:space="preserve">Příspěvky k růstu </w:t>
      </w:r>
      <w:r>
        <w:rPr>
          <w:rFonts w:ascii="Arial" w:hAnsi="Arial" w:cs="Arial"/>
          <w:i/>
          <w:sz w:val="18"/>
          <w:szCs w:val="18"/>
        </w:rPr>
        <w:t xml:space="preserve">HDP </w:t>
      </w:r>
      <w:r w:rsidRPr="00403FFD">
        <w:rPr>
          <w:rFonts w:ascii="Arial" w:hAnsi="Arial" w:cs="Arial"/>
          <w:i/>
          <w:sz w:val="18"/>
          <w:szCs w:val="18"/>
        </w:rPr>
        <w:t xml:space="preserve">po vyloučení dovozu </w:t>
      </w:r>
      <w:r>
        <w:rPr>
          <w:rFonts w:ascii="Arial" w:hAnsi="Arial" w:cs="Arial"/>
          <w:i/>
          <w:sz w:val="18"/>
          <w:szCs w:val="18"/>
        </w:rPr>
        <w:t>pro konečné užití, pokud není uvedeno jinak.</w:t>
      </w:r>
    </w:p>
  </w:footnote>
  <w:footnote w:id="3">
    <w:p w:rsidR="00C3178F" w:rsidRDefault="00C3178F" w:rsidP="00C3178F">
      <w:pPr>
        <w:pStyle w:val="Textpoznpodarou"/>
      </w:pPr>
      <w:r w:rsidRPr="00DA73C5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DA73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 běžných cenách, neočištěno o sezónní vlivy.</w:t>
      </w:r>
    </w:p>
  </w:footnote>
  <w:footnote w:id="4">
    <w:p w:rsidR="00A40E2F" w:rsidRPr="00877248" w:rsidRDefault="00A40E2F" w:rsidP="00A40E2F">
      <w:pPr>
        <w:pStyle w:val="Textpoznpodarou"/>
        <w:spacing w:line="288" w:lineRule="auto"/>
        <w:rPr>
          <w:rFonts w:ascii="Arial" w:hAnsi="Arial" w:cs="Arial"/>
          <w:i/>
          <w:sz w:val="22"/>
        </w:rPr>
      </w:pPr>
      <w:r w:rsidRPr="00877248">
        <w:rPr>
          <w:rStyle w:val="Znakapoznpodarou"/>
          <w:rFonts w:ascii="Arial" w:hAnsi="Arial" w:cs="Arial"/>
          <w:i/>
          <w:sz w:val="18"/>
        </w:rPr>
        <w:footnoteRef/>
      </w:r>
      <w:r w:rsidRPr="00877248">
        <w:rPr>
          <w:rFonts w:ascii="Arial" w:hAnsi="Arial" w:cs="Arial"/>
          <w:i/>
          <w:sz w:val="18"/>
        </w:rPr>
        <w:t xml:space="preserve"> </w:t>
      </w:r>
      <w:r w:rsidR="00E779D9">
        <w:rPr>
          <w:rFonts w:ascii="Arial" w:hAnsi="Arial" w:cs="Arial"/>
          <w:i/>
          <w:sz w:val="18"/>
        </w:rPr>
        <w:t>Počet osob v</w:t>
      </w:r>
      <w:r w:rsidRPr="00877248">
        <w:rPr>
          <w:rFonts w:ascii="Arial" w:hAnsi="Arial" w:cs="Arial"/>
          <w:i/>
          <w:sz w:val="18"/>
        </w:rPr>
        <w:t> pojetí národních účtů.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5934FC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DC"/>
    <w:rsid w:val="00004ED1"/>
    <w:rsid w:val="00013AEC"/>
    <w:rsid w:val="000164FC"/>
    <w:rsid w:val="000370A3"/>
    <w:rsid w:val="00041CDA"/>
    <w:rsid w:val="00043BF4"/>
    <w:rsid w:val="00047F44"/>
    <w:rsid w:val="000671A9"/>
    <w:rsid w:val="0007013C"/>
    <w:rsid w:val="000727CB"/>
    <w:rsid w:val="000754C2"/>
    <w:rsid w:val="000843A5"/>
    <w:rsid w:val="000910DA"/>
    <w:rsid w:val="00094E4D"/>
    <w:rsid w:val="00095A78"/>
    <w:rsid w:val="00096D6C"/>
    <w:rsid w:val="00097BDD"/>
    <w:rsid w:val="000A4194"/>
    <w:rsid w:val="000B6F63"/>
    <w:rsid w:val="000D093F"/>
    <w:rsid w:val="000D11AB"/>
    <w:rsid w:val="000D3E39"/>
    <w:rsid w:val="000E43CC"/>
    <w:rsid w:val="000E6D72"/>
    <w:rsid w:val="000F553A"/>
    <w:rsid w:val="001058D6"/>
    <w:rsid w:val="00113CB6"/>
    <w:rsid w:val="00131641"/>
    <w:rsid w:val="001322E7"/>
    <w:rsid w:val="00132ED4"/>
    <w:rsid w:val="0013442D"/>
    <w:rsid w:val="00135DCB"/>
    <w:rsid w:val="001404AB"/>
    <w:rsid w:val="0014138A"/>
    <w:rsid w:val="001511B3"/>
    <w:rsid w:val="00152BAF"/>
    <w:rsid w:val="0017231D"/>
    <w:rsid w:val="001810DC"/>
    <w:rsid w:val="00187632"/>
    <w:rsid w:val="001A672F"/>
    <w:rsid w:val="001B607F"/>
    <w:rsid w:val="001B781A"/>
    <w:rsid w:val="001D369A"/>
    <w:rsid w:val="001F08B3"/>
    <w:rsid w:val="001F2FE0"/>
    <w:rsid w:val="00200854"/>
    <w:rsid w:val="002070FB"/>
    <w:rsid w:val="00213729"/>
    <w:rsid w:val="00214096"/>
    <w:rsid w:val="0022697A"/>
    <w:rsid w:val="002406FA"/>
    <w:rsid w:val="00254511"/>
    <w:rsid w:val="0026107B"/>
    <w:rsid w:val="002706EF"/>
    <w:rsid w:val="00275DF8"/>
    <w:rsid w:val="002764DE"/>
    <w:rsid w:val="00283787"/>
    <w:rsid w:val="00284C2C"/>
    <w:rsid w:val="002A5342"/>
    <w:rsid w:val="002B2E47"/>
    <w:rsid w:val="002B4FBC"/>
    <w:rsid w:val="002D2649"/>
    <w:rsid w:val="002D44FD"/>
    <w:rsid w:val="002D7F4F"/>
    <w:rsid w:val="002E7611"/>
    <w:rsid w:val="002F0383"/>
    <w:rsid w:val="002F7D31"/>
    <w:rsid w:val="00300E45"/>
    <w:rsid w:val="00306013"/>
    <w:rsid w:val="00307EEE"/>
    <w:rsid w:val="00310EEB"/>
    <w:rsid w:val="003213FA"/>
    <w:rsid w:val="00324416"/>
    <w:rsid w:val="003301A3"/>
    <w:rsid w:val="0033213B"/>
    <w:rsid w:val="00332268"/>
    <w:rsid w:val="0034625E"/>
    <w:rsid w:val="0036777B"/>
    <w:rsid w:val="003734EA"/>
    <w:rsid w:val="0038282A"/>
    <w:rsid w:val="00397580"/>
    <w:rsid w:val="003A44E0"/>
    <w:rsid w:val="003A45C8"/>
    <w:rsid w:val="003C2DCF"/>
    <w:rsid w:val="003C435F"/>
    <w:rsid w:val="003C4F7B"/>
    <w:rsid w:val="003C7544"/>
    <w:rsid w:val="003C7FE7"/>
    <w:rsid w:val="003D0499"/>
    <w:rsid w:val="003D2AB9"/>
    <w:rsid w:val="003D3576"/>
    <w:rsid w:val="003D529B"/>
    <w:rsid w:val="003D5617"/>
    <w:rsid w:val="003E185A"/>
    <w:rsid w:val="003F50CE"/>
    <w:rsid w:val="003F526A"/>
    <w:rsid w:val="00400818"/>
    <w:rsid w:val="00400A7D"/>
    <w:rsid w:val="00404316"/>
    <w:rsid w:val="00405244"/>
    <w:rsid w:val="004154C7"/>
    <w:rsid w:val="00427005"/>
    <w:rsid w:val="00436230"/>
    <w:rsid w:val="004436EE"/>
    <w:rsid w:val="0045221B"/>
    <w:rsid w:val="0045547F"/>
    <w:rsid w:val="00456751"/>
    <w:rsid w:val="00464C5D"/>
    <w:rsid w:val="00471DEF"/>
    <w:rsid w:val="00472310"/>
    <w:rsid w:val="00484911"/>
    <w:rsid w:val="004920AD"/>
    <w:rsid w:val="004A5A0E"/>
    <w:rsid w:val="004B4606"/>
    <w:rsid w:val="004C1216"/>
    <w:rsid w:val="004C1BBB"/>
    <w:rsid w:val="004C4C12"/>
    <w:rsid w:val="004D05B3"/>
    <w:rsid w:val="004D2BD2"/>
    <w:rsid w:val="004D5716"/>
    <w:rsid w:val="004E1D54"/>
    <w:rsid w:val="004E479E"/>
    <w:rsid w:val="004F07B0"/>
    <w:rsid w:val="004F134E"/>
    <w:rsid w:val="004F686C"/>
    <w:rsid w:val="004F78E6"/>
    <w:rsid w:val="0050420E"/>
    <w:rsid w:val="00506146"/>
    <w:rsid w:val="00510C70"/>
    <w:rsid w:val="00512D99"/>
    <w:rsid w:val="0051757B"/>
    <w:rsid w:val="005202CD"/>
    <w:rsid w:val="00520D4F"/>
    <w:rsid w:val="005211E4"/>
    <w:rsid w:val="00531DBB"/>
    <w:rsid w:val="0056248F"/>
    <w:rsid w:val="00573994"/>
    <w:rsid w:val="00585F13"/>
    <w:rsid w:val="005924FB"/>
    <w:rsid w:val="00595DD3"/>
    <w:rsid w:val="005B7AB6"/>
    <w:rsid w:val="005C4F31"/>
    <w:rsid w:val="005C55CA"/>
    <w:rsid w:val="005D19AD"/>
    <w:rsid w:val="005D5C91"/>
    <w:rsid w:val="005E3820"/>
    <w:rsid w:val="005E5E4C"/>
    <w:rsid w:val="005E7011"/>
    <w:rsid w:val="005F170D"/>
    <w:rsid w:val="005F79FB"/>
    <w:rsid w:val="00600F42"/>
    <w:rsid w:val="00604406"/>
    <w:rsid w:val="00605168"/>
    <w:rsid w:val="00605F4A"/>
    <w:rsid w:val="00607822"/>
    <w:rsid w:val="006103AA"/>
    <w:rsid w:val="00612A8C"/>
    <w:rsid w:val="0061342F"/>
    <w:rsid w:val="00613BBF"/>
    <w:rsid w:val="00620F54"/>
    <w:rsid w:val="00622B80"/>
    <w:rsid w:val="0064139A"/>
    <w:rsid w:val="0065078A"/>
    <w:rsid w:val="00654048"/>
    <w:rsid w:val="00665744"/>
    <w:rsid w:val="006707F8"/>
    <w:rsid w:val="00680927"/>
    <w:rsid w:val="00683F5C"/>
    <w:rsid w:val="00692211"/>
    <w:rsid w:val="006931CF"/>
    <w:rsid w:val="006952AB"/>
    <w:rsid w:val="00696C6E"/>
    <w:rsid w:val="006C05CC"/>
    <w:rsid w:val="006C0678"/>
    <w:rsid w:val="006D21EB"/>
    <w:rsid w:val="006E024F"/>
    <w:rsid w:val="006E1B12"/>
    <w:rsid w:val="006E4E81"/>
    <w:rsid w:val="006F45FD"/>
    <w:rsid w:val="00707F7D"/>
    <w:rsid w:val="007154FE"/>
    <w:rsid w:val="00716267"/>
    <w:rsid w:val="00717EC5"/>
    <w:rsid w:val="00732690"/>
    <w:rsid w:val="00734E3E"/>
    <w:rsid w:val="00740083"/>
    <w:rsid w:val="007454AE"/>
    <w:rsid w:val="0075316B"/>
    <w:rsid w:val="00754C20"/>
    <w:rsid w:val="00765B84"/>
    <w:rsid w:val="007700EE"/>
    <w:rsid w:val="007842A3"/>
    <w:rsid w:val="00792CDC"/>
    <w:rsid w:val="007932AC"/>
    <w:rsid w:val="007A2048"/>
    <w:rsid w:val="007A57F2"/>
    <w:rsid w:val="007B1333"/>
    <w:rsid w:val="007C6FC5"/>
    <w:rsid w:val="007C771E"/>
    <w:rsid w:val="007D2AB2"/>
    <w:rsid w:val="007D74DC"/>
    <w:rsid w:val="007F4AEB"/>
    <w:rsid w:val="007F6684"/>
    <w:rsid w:val="007F75B2"/>
    <w:rsid w:val="0080309E"/>
    <w:rsid w:val="00803993"/>
    <w:rsid w:val="00803B60"/>
    <w:rsid w:val="008043C4"/>
    <w:rsid w:val="00815031"/>
    <w:rsid w:val="00817ADC"/>
    <w:rsid w:val="0083196C"/>
    <w:rsid w:val="00831B1B"/>
    <w:rsid w:val="00834831"/>
    <w:rsid w:val="00844154"/>
    <w:rsid w:val="008524F7"/>
    <w:rsid w:val="00855891"/>
    <w:rsid w:val="00855FB3"/>
    <w:rsid w:val="00857FFE"/>
    <w:rsid w:val="00861D0E"/>
    <w:rsid w:val="00862A04"/>
    <w:rsid w:val="008662BB"/>
    <w:rsid w:val="00867569"/>
    <w:rsid w:val="00870B17"/>
    <w:rsid w:val="00882882"/>
    <w:rsid w:val="00882A58"/>
    <w:rsid w:val="00884917"/>
    <w:rsid w:val="00896680"/>
    <w:rsid w:val="008976A5"/>
    <w:rsid w:val="008A750A"/>
    <w:rsid w:val="008B3970"/>
    <w:rsid w:val="008B7326"/>
    <w:rsid w:val="008C384C"/>
    <w:rsid w:val="008C6961"/>
    <w:rsid w:val="008C7BEE"/>
    <w:rsid w:val="008D0F11"/>
    <w:rsid w:val="008D2206"/>
    <w:rsid w:val="008D5290"/>
    <w:rsid w:val="008D7206"/>
    <w:rsid w:val="008E0951"/>
    <w:rsid w:val="008E44ED"/>
    <w:rsid w:val="008E44FA"/>
    <w:rsid w:val="008E6211"/>
    <w:rsid w:val="008F24E5"/>
    <w:rsid w:val="008F73B4"/>
    <w:rsid w:val="00900141"/>
    <w:rsid w:val="00904B72"/>
    <w:rsid w:val="009056D5"/>
    <w:rsid w:val="00923A81"/>
    <w:rsid w:val="00931641"/>
    <w:rsid w:val="0094322B"/>
    <w:rsid w:val="00946707"/>
    <w:rsid w:val="0095440C"/>
    <w:rsid w:val="00957983"/>
    <w:rsid w:val="00962D73"/>
    <w:rsid w:val="00973EDD"/>
    <w:rsid w:val="00981D35"/>
    <w:rsid w:val="009866A9"/>
    <w:rsid w:val="00986DD7"/>
    <w:rsid w:val="009B55B1"/>
    <w:rsid w:val="009B62A7"/>
    <w:rsid w:val="009F56D1"/>
    <w:rsid w:val="00A00C19"/>
    <w:rsid w:val="00A025F9"/>
    <w:rsid w:val="00A06238"/>
    <w:rsid w:val="00A0762A"/>
    <w:rsid w:val="00A1095E"/>
    <w:rsid w:val="00A15612"/>
    <w:rsid w:val="00A16A1F"/>
    <w:rsid w:val="00A40E2F"/>
    <w:rsid w:val="00A4343D"/>
    <w:rsid w:val="00A502F1"/>
    <w:rsid w:val="00A56CA1"/>
    <w:rsid w:val="00A70046"/>
    <w:rsid w:val="00A70A83"/>
    <w:rsid w:val="00A81EB3"/>
    <w:rsid w:val="00A9050F"/>
    <w:rsid w:val="00A93A53"/>
    <w:rsid w:val="00A955BC"/>
    <w:rsid w:val="00AB0E17"/>
    <w:rsid w:val="00AB3410"/>
    <w:rsid w:val="00AB4504"/>
    <w:rsid w:val="00AD04BF"/>
    <w:rsid w:val="00AD6F81"/>
    <w:rsid w:val="00AD7489"/>
    <w:rsid w:val="00AE38BA"/>
    <w:rsid w:val="00AE43CA"/>
    <w:rsid w:val="00AF7010"/>
    <w:rsid w:val="00B00C1D"/>
    <w:rsid w:val="00B01F86"/>
    <w:rsid w:val="00B324A2"/>
    <w:rsid w:val="00B420BD"/>
    <w:rsid w:val="00B42933"/>
    <w:rsid w:val="00B45720"/>
    <w:rsid w:val="00B469BD"/>
    <w:rsid w:val="00B53A5F"/>
    <w:rsid w:val="00B55375"/>
    <w:rsid w:val="00B557E3"/>
    <w:rsid w:val="00B60B7E"/>
    <w:rsid w:val="00B632CC"/>
    <w:rsid w:val="00B72D52"/>
    <w:rsid w:val="00B91260"/>
    <w:rsid w:val="00B92579"/>
    <w:rsid w:val="00B96276"/>
    <w:rsid w:val="00BA12F1"/>
    <w:rsid w:val="00BA439F"/>
    <w:rsid w:val="00BA6370"/>
    <w:rsid w:val="00BA6648"/>
    <w:rsid w:val="00BB0B5A"/>
    <w:rsid w:val="00BB5EEE"/>
    <w:rsid w:val="00BF71BB"/>
    <w:rsid w:val="00BF7B16"/>
    <w:rsid w:val="00C009CE"/>
    <w:rsid w:val="00C0255E"/>
    <w:rsid w:val="00C04E83"/>
    <w:rsid w:val="00C269D4"/>
    <w:rsid w:val="00C3178F"/>
    <w:rsid w:val="00C31AFC"/>
    <w:rsid w:val="00C31C8E"/>
    <w:rsid w:val="00C35900"/>
    <w:rsid w:val="00C37ADB"/>
    <w:rsid w:val="00C4160D"/>
    <w:rsid w:val="00C4378F"/>
    <w:rsid w:val="00C45750"/>
    <w:rsid w:val="00C54FD3"/>
    <w:rsid w:val="00C561FD"/>
    <w:rsid w:val="00C56D08"/>
    <w:rsid w:val="00C627D2"/>
    <w:rsid w:val="00C64849"/>
    <w:rsid w:val="00C74411"/>
    <w:rsid w:val="00C75D24"/>
    <w:rsid w:val="00C8406E"/>
    <w:rsid w:val="00C93B18"/>
    <w:rsid w:val="00C97C4C"/>
    <w:rsid w:val="00CA2DB0"/>
    <w:rsid w:val="00CB2709"/>
    <w:rsid w:val="00CB6F89"/>
    <w:rsid w:val="00CC0AE9"/>
    <w:rsid w:val="00CC152A"/>
    <w:rsid w:val="00CC46AF"/>
    <w:rsid w:val="00CC4EAE"/>
    <w:rsid w:val="00CD18D7"/>
    <w:rsid w:val="00CD618A"/>
    <w:rsid w:val="00CE13A2"/>
    <w:rsid w:val="00CE228C"/>
    <w:rsid w:val="00CE71D9"/>
    <w:rsid w:val="00CF29EE"/>
    <w:rsid w:val="00CF545B"/>
    <w:rsid w:val="00CF58E0"/>
    <w:rsid w:val="00D05395"/>
    <w:rsid w:val="00D07F7F"/>
    <w:rsid w:val="00D209A7"/>
    <w:rsid w:val="00D224A3"/>
    <w:rsid w:val="00D27D69"/>
    <w:rsid w:val="00D33658"/>
    <w:rsid w:val="00D34DBC"/>
    <w:rsid w:val="00D3597A"/>
    <w:rsid w:val="00D422F9"/>
    <w:rsid w:val="00D448C2"/>
    <w:rsid w:val="00D45424"/>
    <w:rsid w:val="00D54208"/>
    <w:rsid w:val="00D644C8"/>
    <w:rsid w:val="00D660AA"/>
    <w:rsid w:val="00D666C3"/>
    <w:rsid w:val="00D67AAE"/>
    <w:rsid w:val="00D73063"/>
    <w:rsid w:val="00D7317E"/>
    <w:rsid w:val="00D73288"/>
    <w:rsid w:val="00D7458C"/>
    <w:rsid w:val="00D84946"/>
    <w:rsid w:val="00D86D98"/>
    <w:rsid w:val="00D9189F"/>
    <w:rsid w:val="00DA1A35"/>
    <w:rsid w:val="00DA2311"/>
    <w:rsid w:val="00DC014F"/>
    <w:rsid w:val="00DD3C78"/>
    <w:rsid w:val="00DD6F49"/>
    <w:rsid w:val="00DD726A"/>
    <w:rsid w:val="00DF0E94"/>
    <w:rsid w:val="00DF35EE"/>
    <w:rsid w:val="00DF47FE"/>
    <w:rsid w:val="00E0156A"/>
    <w:rsid w:val="00E04B94"/>
    <w:rsid w:val="00E079A9"/>
    <w:rsid w:val="00E13264"/>
    <w:rsid w:val="00E13CC9"/>
    <w:rsid w:val="00E16687"/>
    <w:rsid w:val="00E224CD"/>
    <w:rsid w:val="00E2474A"/>
    <w:rsid w:val="00E256DA"/>
    <w:rsid w:val="00E26704"/>
    <w:rsid w:val="00E31980"/>
    <w:rsid w:val="00E330D1"/>
    <w:rsid w:val="00E505BF"/>
    <w:rsid w:val="00E613A5"/>
    <w:rsid w:val="00E6423C"/>
    <w:rsid w:val="00E7148B"/>
    <w:rsid w:val="00E779D9"/>
    <w:rsid w:val="00E80C64"/>
    <w:rsid w:val="00E84B20"/>
    <w:rsid w:val="00E85388"/>
    <w:rsid w:val="00E9031C"/>
    <w:rsid w:val="00E93830"/>
    <w:rsid w:val="00E93E0E"/>
    <w:rsid w:val="00EA10D8"/>
    <w:rsid w:val="00EA1AF5"/>
    <w:rsid w:val="00EB1ED3"/>
    <w:rsid w:val="00EC6232"/>
    <w:rsid w:val="00ED25DD"/>
    <w:rsid w:val="00EF239E"/>
    <w:rsid w:val="00F01BE4"/>
    <w:rsid w:val="00F12A29"/>
    <w:rsid w:val="00F60747"/>
    <w:rsid w:val="00F60982"/>
    <w:rsid w:val="00F641C9"/>
    <w:rsid w:val="00F75F2A"/>
    <w:rsid w:val="00F847A6"/>
    <w:rsid w:val="00F93E94"/>
    <w:rsid w:val="00FB20BA"/>
    <w:rsid w:val="00FB687C"/>
    <w:rsid w:val="00FD3810"/>
    <w:rsid w:val="00FF37CD"/>
    <w:rsid w:val="00FF5D4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0071bc"/>
    </o:shapedefaults>
    <o:shapelayout v:ext="edit">
      <o:idmap v:ext="edit" data="1"/>
    </o:shapelayout>
  </w:shapeDefaults>
  <w:decimalSymbol w:val=","/>
  <w:listSeparator w:val=";"/>
  <w15:docId w15:val="{E6155C0E-5F67-4EC3-A7EB-F374DDEE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981D35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981D35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81D35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semiHidden/>
    <w:rsid w:val="00981D35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21409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505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ermiet@csu.gov.cz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su.gov.cz/ctvrtletni-odhady-hdp?pocet=10&amp;start=0&amp;podskupiny=051&amp;razeni=-datumVydan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pl.czso.cz/pll/rocenka/rocenka.indexnu_kvart?mylang=CZ&amp;co=Q_HDP_Z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benedikt@csu.gov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ecova8495\Downloads\Rychl&#225;%20informace%20CZ_2022-02-08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ABFS3\BARANNU\nu\QU\HDP\VYS\RI\2024\3Q\T60\Graf_P&#345;&#237;sp&#283;vky_T60_&#382;iv&#283;_24_3Q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35711942257218E-2"/>
          <c:y val="0.12358680923780517"/>
          <c:w val="0.91932872673952459"/>
          <c:h val="0.5692014924969429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data!$D$4</c:f>
              <c:strCache>
                <c:ptCount val="1"/>
                <c:pt idx="0">
                  <c:v>Výdaje na konečnou spotřebu domácností</c:v>
                </c:pt>
              </c:strCache>
            </c:strRef>
          </c:tx>
          <c:spPr>
            <a:solidFill>
              <a:srgbClr val="0071BC"/>
            </a:solidFill>
          </c:spPr>
          <c:invertIfNegative val="0"/>
          <c:cat>
            <c:multiLvlStrRef>
              <c:f>data!$B$89:$C$119</c:f>
              <c:multiLvlStrCache>
                <c:ptCount val="3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  <c:pt idx="28">
                    <c:v>2024</c:v>
                  </c:pt>
                </c:lvl>
              </c:multiLvlStrCache>
            </c:multiLvlStrRef>
          </c:cat>
          <c:val>
            <c:numRef>
              <c:f>data!$D$89:$D$119</c:f>
              <c:numCache>
                <c:formatCode>#\ ##0.0</c:formatCode>
                <c:ptCount val="31"/>
                <c:pt idx="0">
                  <c:v>1.8286587119209714</c:v>
                </c:pt>
                <c:pt idx="1">
                  <c:v>2.1018102941065382</c:v>
                </c:pt>
                <c:pt idx="2">
                  <c:v>2.091407677600734</c:v>
                </c:pt>
                <c:pt idx="3">
                  <c:v>1.8862497014518549</c:v>
                </c:pt>
                <c:pt idx="4">
                  <c:v>1.5346469341055824</c:v>
                </c:pt>
                <c:pt idx="5">
                  <c:v>1.1597153992219638</c:v>
                </c:pt>
                <c:pt idx="6">
                  <c:v>0.84369190782679571</c:v>
                </c:pt>
                <c:pt idx="7">
                  <c:v>0.88855458034210211</c:v>
                </c:pt>
                <c:pt idx="8">
                  <c:v>1.0610692201073997</c:v>
                </c:pt>
                <c:pt idx="9">
                  <c:v>1.3164628896440984</c:v>
                </c:pt>
                <c:pt idx="10">
                  <c:v>1.1800657067488647</c:v>
                </c:pt>
                <c:pt idx="11">
                  <c:v>1.3325646204971671</c:v>
                </c:pt>
                <c:pt idx="12">
                  <c:v>-0.2398228716655057</c:v>
                </c:pt>
                <c:pt idx="13">
                  <c:v>-3.2567035122644707</c:v>
                </c:pt>
                <c:pt idx="14">
                  <c:v>-1.7740710022653545</c:v>
                </c:pt>
                <c:pt idx="15">
                  <c:v>-4.0888509658039061</c:v>
                </c:pt>
                <c:pt idx="16">
                  <c:v>-2.6303429796363251</c:v>
                </c:pt>
                <c:pt idx="17">
                  <c:v>3.0130078291252422</c:v>
                </c:pt>
                <c:pt idx="18">
                  <c:v>1.9847068901687124</c:v>
                </c:pt>
                <c:pt idx="19">
                  <c:v>3.7365176773416025</c:v>
                </c:pt>
                <c:pt idx="20">
                  <c:v>3.291044005952056</c:v>
                </c:pt>
                <c:pt idx="21">
                  <c:v>0.17808535886856286</c:v>
                </c:pt>
                <c:pt idx="22">
                  <c:v>-1.2688125161868613</c:v>
                </c:pt>
                <c:pt idx="23">
                  <c:v>-2.1014518367129478</c:v>
                </c:pt>
                <c:pt idx="24">
                  <c:v>-2.3008050226579631</c:v>
                </c:pt>
                <c:pt idx="25">
                  <c:v>-1.4637608387691801</c:v>
                </c:pt>
                <c:pt idx="26">
                  <c:v>-1.0832185050335064</c:v>
                </c:pt>
                <c:pt idx="27">
                  <c:v>0.19677657995487871</c:v>
                </c:pt>
                <c:pt idx="28">
                  <c:v>1.5771014655961191</c:v>
                </c:pt>
                <c:pt idx="29">
                  <c:v>1.0531479577441343</c:v>
                </c:pt>
                <c:pt idx="30">
                  <c:v>1.4034880565808812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39-4A0C-9131-D8DBC56DDCCC}"/>
            </c:ext>
          </c:extLst>
        </c:ser>
        <c:ser>
          <c:idx val="1"/>
          <c:order val="1"/>
          <c:tx>
            <c:strRef>
              <c:f>data!$E$4</c:f>
              <c:strCache>
                <c:ptCount val="1"/>
                <c:pt idx="0">
                  <c:v>Výdaje na konečnou spotřebu vládních institucí, vč. NISD **</c:v>
                </c:pt>
              </c:strCache>
            </c:strRef>
          </c:tx>
          <c:spPr>
            <a:solidFill>
              <a:srgbClr val="BD1B21"/>
            </a:solidFill>
          </c:spPr>
          <c:invertIfNegative val="0"/>
          <c:cat>
            <c:multiLvlStrRef>
              <c:f>data!$B$89:$C$119</c:f>
              <c:multiLvlStrCache>
                <c:ptCount val="3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  <c:pt idx="28">
                    <c:v>2024</c:v>
                  </c:pt>
                </c:lvl>
              </c:multiLvlStrCache>
            </c:multiLvlStrRef>
          </c:cat>
          <c:val>
            <c:numRef>
              <c:f>data!$E$89:$E$119</c:f>
              <c:numCache>
                <c:formatCode>#\ ##0.0</c:formatCode>
                <c:ptCount val="31"/>
                <c:pt idx="0">
                  <c:v>0.60922098401080749</c:v>
                </c:pt>
                <c:pt idx="1">
                  <c:v>0.43478125875607937</c:v>
                </c:pt>
                <c:pt idx="2">
                  <c:v>0.28217409890894879</c:v>
                </c:pt>
                <c:pt idx="3">
                  <c:v>0.25216262154550362</c:v>
                </c:pt>
                <c:pt idx="4">
                  <c:v>0.55513789426098337</c:v>
                </c:pt>
                <c:pt idx="5">
                  <c:v>0.64015588031573945</c:v>
                </c:pt>
                <c:pt idx="6">
                  <c:v>0.90131816492045336</c:v>
                </c:pt>
                <c:pt idx="7">
                  <c:v>0.85516067997430023</c:v>
                </c:pt>
                <c:pt idx="8">
                  <c:v>0.57832242304070369</c:v>
                </c:pt>
                <c:pt idx="9">
                  <c:v>0.59733734488163004</c:v>
                </c:pt>
                <c:pt idx="10">
                  <c:v>0.57865563171497303</c:v>
                </c:pt>
                <c:pt idx="11">
                  <c:v>0.31220426710996135</c:v>
                </c:pt>
                <c:pt idx="12">
                  <c:v>0.87384024001817395</c:v>
                </c:pt>
                <c:pt idx="13">
                  <c:v>0.58899144092674671</c:v>
                </c:pt>
                <c:pt idx="14">
                  <c:v>0.32043336563436259</c:v>
                </c:pt>
                <c:pt idx="15">
                  <c:v>1.4350553858727764</c:v>
                </c:pt>
                <c:pt idx="16">
                  <c:v>-6.1485341757936768E-2</c:v>
                </c:pt>
                <c:pt idx="17">
                  <c:v>-1.4295507493077821E-2</c:v>
                </c:pt>
                <c:pt idx="18">
                  <c:v>1.0790851299722271</c:v>
                </c:pt>
                <c:pt idx="19">
                  <c:v>0.18349064864126322</c:v>
                </c:pt>
                <c:pt idx="20">
                  <c:v>0.45788976607140247</c:v>
                </c:pt>
                <c:pt idx="21">
                  <c:v>0.67427483122152732</c:v>
                </c:pt>
                <c:pt idx="22">
                  <c:v>-0.25685679143404494</c:v>
                </c:pt>
                <c:pt idx="23">
                  <c:v>-0.26508371363659183</c:v>
                </c:pt>
                <c:pt idx="24">
                  <c:v>0.64033831058293</c:v>
                </c:pt>
                <c:pt idx="25">
                  <c:v>0.56791126511199985</c:v>
                </c:pt>
                <c:pt idx="26">
                  <c:v>0.74307544077029264</c:v>
                </c:pt>
                <c:pt idx="27">
                  <c:v>0.83704613836803232</c:v>
                </c:pt>
                <c:pt idx="28">
                  <c:v>0.68097356667175279</c:v>
                </c:pt>
                <c:pt idx="29">
                  <c:v>0.90688151913278403</c:v>
                </c:pt>
                <c:pt idx="30">
                  <c:v>0.62037865178960083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39-4A0C-9131-D8DBC56DDCCC}"/>
            </c:ext>
          </c:extLst>
        </c:ser>
        <c:ser>
          <c:idx val="2"/>
          <c:order val="2"/>
          <c:tx>
            <c:strRef>
              <c:f>data!$F$4</c:f>
              <c:strCache>
                <c:ptCount val="1"/>
                <c:pt idx="0">
                  <c:v>Tvorba hrubého kapitálu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multiLvlStrRef>
              <c:f>data!$B$89:$C$119</c:f>
              <c:multiLvlStrCache>
                <c:ptCount val="3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  <c:pt idx="28">
                    <c:v>2024</c:v>
                  </c:pt>
                </c:lvl>
              </c:multiLvlStrCache>
            </c:multiLvlStrRef>
          </c:cat>
          <c:val>
            <c:numRef>
              <c:f>data!$F$89:$F$119</c:f>
              <c:numCache>
                <c:formatCode>#\ ##0.0</c:formatCode>
                <c:ptCount val="31"/>
                <c:pt idx="0">
                  <c:v>-1.3540086061646099</c:v>
                </c:pt>
                <c:pt idx="1">
                  <c:v>0.68012437045945151</c:v>
                </c:pt>
                <c:pt idx="2">
                  <c:v>1.2983577479626323</c:v>
                </c:pt>
                <c:pt idx="3">
                  <c:v>1.8239062794536263</c:v>
                </c:pt>
                <c:pt idx="4">
                  <c:v>2.5793972264901193</c:v>
                </c:pt>
                <c:pt idx="5">
                  <c:v>1.0878442867539526</c:v>
                </c:pt>
                <c:pt idx="6">
                  <c:v>1.3979201276606441</c:v>
                </c:pt>
                <c:pt idx="7">
                  <c:v>0.42285000928075911</c:v>
                </c:pt>
                <c:pt idx="8">
                  <c:v>1.8451474713052578</c:v>
                </c:pt>
                <c:pt idx="9">
                  <c:v>0.24987427365507625</c:v>
                </c:pt>
                <c:pt idx="10">
                  <c:v>0.40428941851142963</c:v>
                </c:pt>
                <c:pt idx="11">
                  <c:v>2.8138990064854643</c:v>
                </c:pt>
                <c:pt idx="12">
                  <c:v>-0.67878888549061211</c:v>
                </c:pt>
                <c:pt idx="13">
                  <c:v>0.63802940358503557</c:v>
                </c:pt>
                <c:pt idx="14">
                  <c:v>-2.3305073336449618</c:v>
                </c:pt>
                <c:pt idx="15">
                  <c:v>-3.4269396208406286</c:v>
                </c:pt>
                <c:pt idx="16">
                  <c:v>0.55422394399246289</c:v>
                </c:pt>
                <c:pt idx="17">
                  <c:v>0.61759701982902182</c:v>
                </c:pt>
                <c:pt idx="18">
                  <c:v>4.5621034258583215</c:v>
                </c:pt>
                <c:pt idx="19">
                  <c:v>3.4848069093071983</c:v>
                </c:pt>
                <c:pt idx="20">
                  <c:v>2.7779566707959238</c:v>
                </c:pt>
                <c:pt idx="21">
                  <c:v>3.1765753824419143</c:v>
                </c:pt>
                <c:pt idx="22">
                  <c:v>0.16951659914912443</c:v>
                </c:pt>
                <c:pt idx="23">
                  <c:v>1.84808578902272</c:v>
                </c:pt>
                <c:pt idx="24">
                  <c:v>0.95094209950152453</c:v>
                </c:pt>
                <c:pt idx="25">
                  <c:v>-0.47755328287289317</c:v>
                </c:pt>
                <c:pt idx="26">
                  <c:v>0.53539640955830059</c:v>
                </c:pt>
                <c:pt idx="27">
                  <c:v>-2.6067082141755065</c:v>
                </c:pt>
                <c:pt idx="28">
                  <c:v>-2.5458101094527867</c:v>
                </c:pt>
                <c:pt idx="29">
                  <c:v>-1.6570636239412548</c:v>
                </c:pt>
                <c:pt idx="30">
                  <c:v>-0.90651673140918276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39-4A0C-9131-D8DBC56DDCCC}"/>
            </c:ext>
          </c:extLst>
        </c:ser>
        <c:ser>
          <c:idx val="4"/>
          <c:order val="3"/>
          <c:tx>
            <c:strRef>
              <c:f>data!$G$4</c:f>
              <c:strCache>
                <c:ptCount val="1"/>
                <c:pt idx="0">
                  <c:v>Saldo zahraničního obchodu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multiLvlStrRef>
              <c:f>data!$B$89:$C$119</c:f>
              <c:multiLvlStrCache>
                <c:ptCount val="3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  <c:pt idx="28">
                    <c:v>2024</c:v>
                  </c:pt>
                </c:lvl>
              </c:multiLvlStrCache>
            </c:multiLvlStrRef>
          </c:cat>
          <c:val>
            <c:numRef>
              <c:f>data!$G$89:$G$119</c:f>
              <c:numCache>
                <c:formatCode>#\ ##0.0</c:formatCode>
                <c:ptCount val="31"/>
                <c:pt idx="0">
                  <c:v>2.7111008448591001</c:v>
                </c:pt>
                <c:pt idx="1">
                  <c:v>2.7996306991429609</c:v>
                </c:pt>
                <c:pt idx="2">
                  <c:v>2.2027094181596918</c:v>
                </c:pt>
                <c:pt idx="3">
                  <c:v>1.7110150530619448</c:v>
                </c:pt>
                <c:pt idx="4">
                  <c:v>-0.24105579719882897</c:v>
                </c:pt>
                <c:pt idx="5">
                  <c:v>-0.6272328865277097</c:v>
                </c:pt>
                <c:pt idx="6">
                  <c:v>-1.0192042950631395</c:v>
                </c:pt>
                <c:pt idx="7">
                  <c:v>0.33453854683553219</c:v>
                </c:pt>
                <c:pt idx="8">
                  <c:v>-6.5470917658757233E-2</c:v>
                </c:pt>
                <c:pt idx="9">
                  <c:v>1.4494397815262756</c:v>
                </c:pt>
                <c:pt idx="10">
                  <c:v>1.519520930710476</c:v>
                </c:pt>
                <c:pt idx="11">
                  <c:v>-1.1386552968129167</c:v>
                </c:pt>
                <c:pt idx="12">
                  <c:v>-1.5054961152095412</c:v>
                </c:pt>
                <c:pt idx="13">
                  <c:v>-8.5652935026312509</c:v>
                </c:pt>
                <c:pt idx="14">
                  <c:v>-0.91701615307186923</c:v>
                </c:pt>
                <c:pt idx="15">
                  <c:v>1.6441945082634004</c:v>
                </c:pt>
                <c:pt idx="16">
                  <c:v>0.90880127021110413</c:v>
                </c:pt>
                <c:pt idx="17">
                  <c:v>6.124141351147399</c:v>
                </c:pt>
                <c:pt idx="18">
                  <c:v>-3.6522086207896334</c:v>
                </c:pt>
                <c:pt idx="19">
                  <c:v>-3.5019135769376728</c:v>
                </c:pt>
                <c:pt idx="20">
                  <c:v>-1.6832006565895616</c:v>
                </c:pt>
                <c:pt idx="21">
                  <c:v>-0.3806378126415233</c:v>
                </c:pt>
                <c:pt idx="22">
                  <c:v>3.408239118939032</c:v>
                </c:pt>
                <c:pt idx="23">
                  <c:v>1.4700226511684527</c:v>
                </c:pt>
                <c:pt idx="24">
                  <c:v>0.99148226513822246</c:v>
                </c:pt>
                <c:pt idx="25">
                  <c:v>1.5486267337540123</c:v>
                </c:pt>
                <c:pt idx="26">
                  <c:v>-0.56176321449408628</c:v>
                </c:pt>
                <c:pt idx="27">
                  <c:v>1.6209759868613784</c:v>
                </c:pt>
                <c:pt idx="28">
                  <c:v>0.69528733822130662</c:v>
                </c:pt>
                <c:pt idx="29">
                  <c:v>0.18555902701665564</c:v>
                </c:pt>
                <c:pt idx="30">
                  <c:v>0.1723867280314817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E39-4A0C-9131-D8DBC56DDC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7191680"/>
        <c:axId val="44617664"/>
      </c:barChart>
      <c:lineChart>
        <c:grouping val="standard"/>
        <c:varyColors val="0"/>
        <c:ser>
          <c:idx val="3"/>
          <c:order val="4"/>
          <c:tx>
            <c:strRef>
              <c:f>data!$H$4</c:f>
              <c:strCache>
                <c:ptCount val="1"/>
                <c:pt idx="0">
                  <c:v>HDP - meziroční reálná změna, sezónně očištěno (v %)</c:v>
                </c:pt>
              </c:strCache>
            </c:strRef>
          </c:tx>
          <c:spPr>
            <a:ln w="15875">
              <a:solidFill>
                <a:srgbClr val="7030A0"/>
              </a:solidFill>
            </a:ln>
          </c:spPr>
          <c:marker>
            <c:symbol val="none"/>
          </c:marker>
          <c:cat>
            <c:multiLvlStrRef>
              <c:f>data!$B$89:$C$119</c:f>
              <c:multiLvlStrCache>
                <c:ptCount val="3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  <c:pt idx="28">
                    <c:v>2024</c:v>
                  </c:pt>
                </c:lvl>
              </c:multiLvlStrCache>
            </c:multiLvlStrRef>
          </c:cat>
          <c:val>
            <c:numRef>
              <c:f>data!$H$89:$H$119</c:f>
              <c:numCache>
                <c:formatCode>#\ ##0.0</c:formatCode>
                <c:ptCount val="31"/>
                <c:pt idx="0">
                  <c:v>3.794927838791736</c:v>
                </c:pt>
                <c:pt idx="1">
                  <c:v>6.0164346355623621</c:v>
                </c:pt>
                <c:pt idx="2">
                  <c:v>5.8746094396477702</c:v>
                </c:pt>
                <c:pt idx="3">
                  <c:v>5.6734217612704612</c:v>
                </c:pt>
                <c:pt idx="4">
                  <c:v>4.428198233543128</c:v>
                </c:pt>
                <c:pt idx="5">
                  <c:v>2.2603154290622598</c:v>
                </c:pt>
                <c:pt idx="6">
                  <c:v>2.1236839442444904</c:v>
                </c:pt>
                <c:pt idx="7">
                  <c:v>2.5011248099923193</c:v>
                </c:pt>
                <c:pt idx="8">
                  <c:v>3.4189856936099829</c:v>
                </c:pt>
                <c:pt idx="9">
                  <c:v>3.6131741333642537</c:v>
                </c:pt>
                <c:pt idx="10">
                  <c:v>3.6825803056472921</c:v>
                </c:pt>
                <c:pt idx="11">
                  <c:v>3.3199919158713271</c:v>
                </c:pt>
                <c:pt idx="12">
                  <c:v>-1.5501786832516729</c:v>
                </c:pt>
                <c:pt idx="13">
                  <c:v>-10.594932915034789</c:v>
                </c:pt>
                <c:pt idx="14">
                  <c:v>-4.7011751782364399</c:v>
                </c:pt>
                <c:pt idx="15">
                  <c:v>-4.4366398308301314</c:v>
                </c:pt>
                <c:pt idx="16">
                  <c:v>-1.2288638498452684</c:v>
                </c:pt>
                <c:pt idx="17">
                  <c:v>9.7404575003667162</c:v>
                </c:pt>
                <c:pt idx="18">
                  <c:v>3.9736849039729805</c:v>
                </c:pt>
                <c:pt idx="19">
                  <c:v>3.9029603596385698</c:v>
                </c:pt>
                <c:pt idx="20">
                  <c:v>4.8437098358771209</c:v>
                </c:pt>
                <c:pt idx="21">
                  <c:v>3.6483773841026448</c:v>
                </c:pt>
                <c:pt idx="22">
                  <c:v>2.0520198238941418</c:v>
                </c:pt>
                <c:pt idx="23">
                  <c:v>0.95157210327245423</c:v>
                </c:pt>
                <c:pt idx="24">
                  <c:v>0.28194122653326303</c:v>
                </c:pt>
                <c:pt idx="25">
                  <c:v>0.17520468854441162</c:v>
                </c:pt>
                <c:pt idx="26">
                  <c:v>-0.36641834862845712</c:v>
                </c:pt>
                <c:pt idx="27">
                  <c:v>4.80414775099689E-2</c:v>
                </c:pt>
                <c:pt idx="28">
                  <c:v>0.40751651556183788</c:v>
                </c:pt>
                <c:pt idx="29">
                  <c:v>0.48843497920493917</c:v>
                </c:pt>
                <c:pt idx="30">
                  <c:v>1.2883793303377473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E39-4A0C-9131-D8DBC56DDC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191680"/>
        <c:axId val="44617664"/>
      </c:lineChart>
      <c:catAx>
        <c:axId val="1971916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600" baseline="0"/>
                </a:pPr>
                <a:r>
                  <a:rPr lang="cs-CZ" sz="600" baseline="0"/>
                  <a:t>Čtvrtletí</a:t>
                </a:r>
              </a:p>
            </c:rich>
          </c:tx>
          <c:layout>
            <c:manualLayout>
              <c:xMode val="edge"/>
              <c:yMode val="edge"/>
              <c:x val="0.49221538713910762"/>
              <c:y val="0.77998391927443889"/>
            </c:manualLayout>
          </c:layout>
          <c:overlay val="0"/>
        </c:title>
        <c:numFmt formatCode="General" sourceLinked="0"/>
        <c:majorTickMark val="out"/>
        <c:minorTickMark val="none"/>
        <c:tickLblPos val="low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500" baseline="0"/>
            </a:pPr>
            <a:endParaRPr lang="cs-CZ"/>
          </a:p>
        </c:txPr>
        <c:crossAx val="44617664"/>
        <c:crosses val="autoZero"/>
        <c:auto val="1"/>
        <c:lblAlgn val="ctr"/>
        <c:lblOffset val="100"/>
        <c:noMultiLvlLbl val="0"/>
      </c:catAx>
      <c:valAx>
        <c:axId val="44617664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600" baseline="0"/>
                </a:pPr>
                <a:r>
                  <a:rPr lang="cs-CZ" sz="600" baseline="0"/>
                  <a:t>Procentní body</a:t>
                </a:r>
              </a:p>
            </c:rich>
          </c:tx>
          <c:layout>
            <c:manualLayout>
              <c:xMode val="edge"/>
              <c:yMode val="edge"/>
              <c:x val="1.5790775385046481E-2"/>
              <c:y val="0.31343856823810029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500" baseline="0"/>
            </a:pPr>
            <a:endParaRPr lang="cs-CZ"/>
          </a:p>
        </c:txPr>
        <c:crossAx val="197191680"/>
        <c:crosses val="autoZero"/>
        <c:crossBetween val="between"/>
        <c:majorUnit val="2"/>
      </c:valAx>
      <c:spPr>
        <a:ln>
          <a:solidFill>
            <a:schemeClr val="bg1">
              <a:lumMod val="7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2.6787442585301836E-2"/>
          <c:y val="0.82667719059046463"/>
          <c:w val="0.95976603510498693"/>
          <c:h val="0.10819985520972079"/>
        </c:manualLayout>
      </c:layout>
      <c:overlay val="0"/>
      <c:spPr>
        <a:solidFill>
          <a:schemeClr val="bg1">
            <a:lumMod val="95000"/>
          </a:schemeClr>
        </a:solidFill>
      </c:spPr>
      <c:txPr>
        <a:bodyPr/>
        <a:lstStyle/>
        <a:p>
          <a:pPr>
            <a:defRPr sz="550" baseline="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0.01609</cdr:x>
      <cdr:y>0.02262</cdr:y>
    </cdr:from>
    <cdr:to>
      <cdr:x>0.9889</cdr:x>
      <cdr:y>0.10114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56935" y="112908"/>
          <a:ext cx="9488400" cy="39191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95000"/>
          </a:schemeClr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/>
          <a:r>
            <a:rPr lang="cs-CZ" sz="1000" b="1" i="0" cap="none" baseline="0">
              <a:latin typeface="Arial" pitchFamily="34" charset="0"/>
              <a:ea typeface="+mn-ea"/>
              <a:cs typeface="Arial" pitchFamily="34" charset="0"/>
            </a:rPr>
            <a:t>Příspěvky* k meziročnímu reálnému růstu HDP – sezónně očištěno</a:t>
          </a:r>
        </a:p>
      </cdr:txBody>
    </cdr:sp>
  </cdr:relSizeAnchor>
  <cdr:relSizeAnchor xmlns:cdr="http://schemas.openxmlformats.org/drawingml/2006/chartDrawing">
    <cdr:from>
      <cdr:x>0.02734</cdr:x>
      <cdr:y>0.94497</cdr:y>
    </cdr:from>
    <cdr:to>
      <cdr:x>0.98872</cdr:x>
      <cdr:y>0.98982</cdr:y>
    </cdr:to>
    <cdr:sp macro="" textlink="">
      <cdr:nvSpPr>
        <cdr:cNvPr id="4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6663" y="4743449"/>
          <a:ext cx="9376916" cy="22512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95000"/>
          </a:schemeClr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18288" tIns="22860" rIns="0" bIns="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lnSpc>
              <a:spcPct val="114000"/>
            </a:lnSpc>
            <a:defRPr sz="1000"/>
          </a:pPr>
          <a:r>
            <a:rPr lang="cs-CZ" sz="550" b="1" i="0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Arial"/>
              <a:cs typeface="Arial"/>
            </a:rPr>
            <a:t>      * Příspěvky po vyloučení dovozu pro konečné užití.                                              </a:t>
          </a:r>
          <a:r>
            <a:rPr lang="cs-CZ" sz="550" b="0" i="1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Arial"/>
              <a:cs typeface="Arial"/>
            </a:rPr>
            <a:t>** </a:t>
          </a:r>
          <a:r>
            <a:rPr kumimoji="0" lang="cs-CZ" sz="550" b="1" i="0" u="none" strike="noStrike" kern="0" cap="none" spc="0" normalizeH="0" baseline="0" noProof="0">
              <a:ln>
                <a:noFill/>
              </a:ln>
              <a:solidFill>
                <a:prstClr val="black">
                  <a:lumMod val="75000"/>
                  <a:lumOff val="25000"/>
                </a:prstClr>
              </a:solidFill>
              <a:effectLst/>
              <a:uLnTx/>
              <a:uFillTx/>
              <a:latin typeface="Arial"/>
              <a:ea typeface="+mn-ea"/>
              <a:cs typeface="Arial"/>
            </a:rPr>
            <a:t>Neziskové instituce sloužící domácnostem.</a:t>
          </a:r>
          <a:endParaRPr lang="cs-CZ" sz="550" b="0" i="1" u="none" strike="noStrike" baseline="0">
            <a:solidFill>
              <a:schemeClr val="tx1">
                <a:lumMod val="75000"/>
                <a:lumOff val="25000"/>
              </a:schemeClr>
            </a:solidFill>
            <a:latin typeface="Arial"/>
            <a:cs typeface="Arial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EF638-E527-44A6-A93D-B9D9D98940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B34A66-9913-4B11-973F-BFFCEDF7862F}"/>
</file>

<file path=customXml/itemProps3.xml><?xml version="1.0" encoding="utf-8"?>
<ds:datastoreItem xmlns:ds="http://schemas.openxmlformats.org/officeDocument/2006/customXml" ds:itemID="{314824F9-4E31-44EB-B94E-9EDE47A8ECA3}"/>
</file>

<file path=customXml/itemProps4.xml><?xml version="1.0" encoding="utf-8"?>
<ds:datastoreItem xmlns:ds="http://schemas.openxmlformats.org/officeDocument/2006/customXml" ds:itemID="{BE37D9B5-A007-4AEB-B6CE-EA4C2C0BB321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2</TotalTime>
  <Pages>3</Pages>
  <Words>564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3887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svecova8495</dc:creator>
  <cp:lastModifiedBy>Benedikt Jan</cp:lastModifiedBy>
  <cp:revision>5</cp:revision>
  <dcterms:created xsi:type="dcterms:W3CDTF">2024-11-27T15:26:00Z</dcterms:created>
  <dcterms:modified xsi:type="dcterms:W3CDTF">2024-11-28T08:45:00Z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-782555252</vt:i4>
  </property>
  <property fmtid="{D5CDD505-2E9C-101B-9397-08002B2CF9AE}" pid="3" name="ContentTypeId">
    <vt:lpwstr>0x0101001BE00E32D9964647925B05BE21A1B4C5</vt:lpwstr>
  </property>
</Properties>
</file>