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32484C" w14:textId="625E388F" w:rsidR="003633C6" w:rsidRPr="003703F5" w:rsidRDefault="001F1522" w:rsidP="003633C6">
      <w:pPr>
        <w:pStyle w:val="Datum"/>
      </w:pPr>
      <w:r w:rsidRPr="003703F5">
        <w:t>1 April 2025</w:t>
      </w:r>
    </w:p>
    <w:p w14:paraId="470C8E5C" w14:textId="4F71F8FE" w:rsidR="003633C6" w:rsidRPr="003703F5" w:rsidRDefault="001F1522" w:rsidP="003633C6">
      <w:pPr>
        <w:pStyle w:val="Nzev"/>
      </w:pPr>
      <w:r w:rsidRPr="003703F5">
        <w:t xml:space="preserve">Income of households increased </w:t>
      </w:r>
      <w:r w:rsidR="0068239F">
        <w:t xml:space="preserve">last year </w:t>
      </w:r>
      <w:r w:rsidRPr="003703F5">
        <w:t>in real terms by 1</w:t>
      </w:r>
      <w:r w:rsidR="003633C6" w:rsidRPr="003703F5">
        <w:t>.5%</w:t>
      </w:r>
    </w:p>
    <w:p w14:paraId="47BE37E9" w14:textId="1B7F4F06" w:rsidR="003633C6" w:rsidRPr="003703F5" w:rsidRDefault="003633C6" w:rsidP="003633C6">
      <w:pPr>
        <w:pStyle w:val="Podtitulek"/>
        <w:rPr>
          <w:color w:val="BD1B21"/>
        </w:rPr>
      </w:pPr>
      <w:r w:rsidRPr="003703F5">
        <w:t xml:space="preserve">Quarterly sector accounts – the fourth quarter of </w:t>
      </w:r>
      <w:r w:rsidR="001F1522" w:rsidRPr="003703F5">
        <w:t>2024</w:t>
      </w:r>
    </w:p>
    <w:p w14:paraId="6773D356" w14:textId="6BCA1A05" w:rsidR="003633C6" w:rsidRPr="003703F5" w:rsidRDefault="003633C6" w:rsidP="003633C6">
      <w:pPr>
        <w:pStyle w:val="Perex"/>
      </w:pPr>
      <w:r w:rsidRPr="003703F5">
        <w:t>The total of monetary and non-</w:t>
      </w:r>
      <w:r w:rsidR="001F1522" w:rsidRPr="003703F5">
        <w:t>monetary income of households in</w:t>
      </w:r>
      <w:r w:rsidRPr="003703F5">
        <w:t>creased</w:t>
      </w:r>
      <w:r w:rsidR="001F1522" w:rsidRPr="003703F5">
        <w:t xml:space="preserve"> in real terms by 1</w:t>
      </w:r>
      <w:r w:rsidRPr="003703F5">
        <w:t xml:space="preserve">.5% in </w:t>
      </w:r>
      <w:r w:rsidR="001F1522" w:rsidRPr="003703F5">
        <w:t>2024</w:t>
      </w:r>
      <w:r w:rsidRPr="003703F5">
        <w:t>. Th</w:t>
      </w:r>
      <w:r w:rsidR="001F1522" w:rsidRPr="003703F5">
        <w:t>e real consumption per capita in</w:t>
      </w:r>
      <w:r w:rsidRPr="003703F5">
        <w:t xml:space="preserve">creased by </w:t>
      </w:r>
      <w:r w:rsidR="001F1522" w:rsidRPr="003703F5">
        <w:t>2.4</w:t>
      </w:r>
      <w:r w:rsidRPr="003703F5">
        <w:t>%, year-on-year (y-o-y).</w:t>
      </w:r>
      <w:r w:rsidR="001F1522" w:rsidRPr="003703F5">
        <w:t xml:space="preserve"> The saving rate decreased by 0.9 percentage point (p. p.) to 18.8% compared to 2023</w:t>
      </w:r>
      <w:r w:rsidRPr="003703F5">
        <w:t>. Profit belonging to foreign owners of corporations (profit from f</w:t>
      </w:r>
      <w:r w:rsidR="0068239F">
        <w:t>oreign investment) reached 6.9</w:t>
      </w:r>
      <w:r w:rsidRPr="003703F5">
        <w:t xml:space="preserve">% of GDP in </w:t>
      </w:r>
      <w:r w:rsidR="001F1522" w:rsidRPr="003703F5">
        <w:t>2024</w:t>
      </w:r>
      <w:r w:rsidRPr="003703F5">
        <w:t>.</w:t>
      </w:r>
    </w:p>
    <w:p w14:paraId="617F8772" w14:textId="69E1B07A" w:rsidR="003633C6" w:rsidRPr="003703F5" w:rsidRDefault="003633C6" w:rsidP="003633C6">
      <w:pPr>
        <w:pStyle w:val="Perex"/>
        <w:spacing w:after="0"/>
      </w:pPr>
      <w:r w:rsidRPr="003703F5">
        <w:t xml:space="preserve">Non-financial corporations: the profit </w:t>
      </w:r>
      <w:r w:rsidR="00271263" w:rsidRPr="003703F5">
        <w:t>rate de</w:t>
      </w:r>
      <w:r w:rsidRPr="003703F5">
        <w:t>creased</w:t>
      </w:r>
    </w:p>
    <w:p w14:paraId="747C0E42" w14:textId="1AB7E663" w:rsidR="003633C6" w:rsidRPr="003703F5" w:rsidRDefault="003633C6" w:rsidP="003633C6">
      <w:pPr>
        <w:pStyle w:val="Perex"/>
        <w:spacing w:after="0"/>
        <w:rPr>
          <w:b w:val="0"/>
        </w:rPr>
      </w:pPr>
      <w:r w:rsidRPr="003703F5">
        <w:rPr>
          <w:b w:val="0"/>
        </w:rPr>
        <w:t xml:space="preserve">The </w:t>
      </w:r>
      <w:r w:rsidRPr="003703F5">
        <w:rPr>
          <w:i/>
        </w:rPr>
        <w:t>profit rate</w:t>
      </w:r>
      <w:r w:rsidRPr="003703F5">
        <w:rPr>
          <w:b w:val="0"/>
        </w:rPr>
        <w:t xml:space="preserve"> in the Q4 </w:t>
      </w:r>
      <w:r w:rsidR="001F1522" w:rsidRPr="003703F5">
        <w:rPr>
          <w:b w:val="0"/>
        </w:rPr>
        <w:t>2024</w:t>
      </w:r>
      <w:r w:rsidR="00271263" w:rsidRPr="003703F5">
        <w:rPr>
          <w:b w:val="0"/>
        </w:rPr>
        <w:t xml:space="preserve"> was 44.3</w:t>
      </w:r>
      <w:r w:rsidRPr="003703F5">
        <w:rPr>
          <w:b w:val="0"/>
        </w:rPr>
        <w:t>%</w:t>
      </w:r>
      <w:r w:rsidR="00271263" w:rsidRPr="003703F5">
        <w:rPr>
          <w:b w:val="0"/>
        </w:rPr>
        <w:t xml:space="preserve">, which is by 1.0 percentage point (p. p.) less </w:t>
      </w:r>
      <w:r w:rsidRPr="003703F5">
        <w:rPr>
          <w:b w:val="0"/>
        </w:rPr>
        <w:t xml:space="preserve">compared </w:t>
      </w:r>
      <w:r w:rsidR="00271263" w:rsidRPr="003703F5">
        <w:rPr>
          <w:b w:val="0"/>
        </w:rPr>
        <w:t>to the previous quarter and by 3.0</w:t>
      </w:r>
      <w:r w:rsidRPr="003703F5">
        <w:rPr>
          <w:b w:val="0"/>
        </w:rPr>
        <w:t> p. p.</w:t>
      </w:r>
      <w:r w:rsidRPr="003703F5">
        <w:rPr>
          <w:b w:val="0"/>
          <w:vertAlign w:val="superscript"/>
        </w:rPr>
        <w:t>1</w:t>
      </w:r>
      <w:r w:rsidR="00271263" w:rsidRPr="003703F5">
        <w:rPr>
          <w:b w:val="0"/>
        </w:rPr>
        <w:t xml:space="preserve"> less</w:t>
      </w:r>
      <w:r w:rsidRPr="003703F5">
        <w:rPr>
          <w:b w:val="0"/>
        </w:rPr>
        <w:t>, year-on-year. The total labour costs of non-financial corporations increased by 6.3%</w:t>
      </w:r>
      <w:r w:rsidRPr="003703F5">
        <w:rPr>
          <w:b w:val="0"/>
          <w:vertAlign w:val="superscript"/>
        </w:rPr>
        <w:t>1</w:t>
      </w:r>
      <w:r w:rsidRPr="003703F5">
        <w:rPr>
          <w:b w:val="0"/>
        </w:rPr>
        <w:t xml:space="preserve">, y-o-y. The </w:t>
      </w:r>
      <w:r w:rsidRPr="003703F5">
        <w:rPr>
          <w:i/>
        </w:rPr>
        <w:t>investment rate</w:t>
      </w:r>
      <w:r w:rsidRPr="003703F5">
        <w:rPr>
          <w:b w:val="0"/>
        </w:rPr>
        <w:t xml:space="preserve"> </w:t>
      </w:r>
      <w:r w:rsidR="0043126F" w:rsidRPr="003703F5">
        <w:rPr>
          <w:b w:val="0"/>
        </w:rPr>
        <w:t>stagnated, q-o-q, and reached 26.9%. It decreased by 1.1</w:t>
      </w:r>
      <w:r w:rsidRPr="003703F5">
        <w:rPr>
          <w:b w:val="0"/>
        </w:rPr>
        <w:t> p. p.</w:t>
      </w:r>
      <w:r w:rsidRPr="003703F5">
        <w:rPr>
          <w:b w:val="0"/>
          <w:vertAlign w:val="superscript"/>
        </w:rPr>
        <w:t>1</w:t>
      </w:r>
      <w:r w:rsidRPr="003703F5">
        <w:rPr>
          <w:b w:val="0"/>
        </w:rPr>
        <w:t>, year-on-year.</w:t>
      </w:r>
    </w:p>
    <w:p w14:paraId="563BDEC1" w14:textId="77777777" w:rsidR="003633C6" w:rsidRPr="003703F5" w:rsidRDefault="003633C6" w:rsidP="003633C6">
      <w:pPr>
        <w:pStyle w:val="Perex"/>
        <w:spacing w:after="0"/>
        <w:rPr>
          <w:b w:val="0"/>
        </w:rPr>
      </w:pPr>
      <w:r w:rsidRPr="003703F5">
        <w:rPr>
          <w:rFonts w:eastAsia="Times New Roman"/>
          <w:bCs/>
          <w:color w:val="000000"/>
          <w:szCs w:val="28"/>
        </w:rPr>
        <w:t xml:space="preserve"> </w:t>
      </w:r>
    </w:p>
    <w:p w14:paraId="51DD77CA" w14:textId="2CF22A0D" w:rsidR="003633C6" w:rsidRPr="003703F5" w:rsidRDefault="003633C6" w:rsidP="003633C6">
      <w:pPr>
        <w:pStyle w:val="Perex"/>
        <w:spacing w:after="0"/>
      </w:pPr>
      <w:r w:rsidRPr="003703F5">
        <w:t xml:space="preserve">Households: both </w:t>
      </w:r>
      <w:r w:rsidR="002F3068">
        <w:t xml:space="preserve">the </w:t>
      </w:r>
      <w:r w:rsidRPr="003703F5">
        <w:t>income and consumption increased</w:t>
      </w:r>
    </w:p>
    <w:p w14:paraId="7FD0E862" w14:textId="77777777" w:rsidR="00C96917" w:rsidRPr="003703F5" w:rsidRDefault="003633C6" w:rsidP="003633C6">
      <w:pPr>
        <w:pStyle w:val="Perex"/>
        <w:spacing w:after="0"/>
        <w:rPr>
          <w:b w:val="0"/>
          <w:iCs/>
          <w:color w:val="333333"/>
          <w:szCs w:val="20"/>
          <w:bdr w:val="none" w:sz="0" w:space="0" w:color="auto" w:frame="1"/>
          <w:shd w:val="clear" w:color="auto" w:fill="FFFFFF"/>
        </w:rPr>
      </w:pPr>
      <w:r w:rsidRPr="005823EA">
        <w:rPr>
          <w:b w:val="0"/>
          <w:i/>
          <w:iCs/>
          <w:color w:val="333333"/>
          <w:szCs w:val="20"/>
          <w:bdr w:val="none" w:sz="0" w:space="0" w:color="auto" w:frame="1"/>
          <w:shd w:val="clear" w:color="auto" w:fill="FFFFFF"/>
        </w:rPr>
        <w:t>The total of</w:t>
      </w:r>
      <w:r w:rsidRPr="003703F5">
        <w:rPr>
          <w:i/>
          <w:iCs/>
          <w:color w:val="333333"/>
          <w:szCs w:val="20"/>
          <w:bdr w:val="none" w:sz="0" w:space="0" w:color="auto" w:frame="1"/>
          <w:shd w:val="clear" w:color="auto" w:fill="FFFFFF"/>
        </w:rPr>
        <w:t xml:space="preserve"> real monetary and non-monetary income of households per capita</w:t>
      </w:r>
      <w:r w:rsidRPr="003703F5">
        <w:rPr>
          <w:b w:val="0"/>
          <w:iCs/>
          <w:color w:val="333333"/>
          <w:szCs w:val="20"/>
          <w:bdr w:val="none" w:sz="0" w:space="0" w:color="auto" w:frame="1"/>
          <w:shd w:val="clear" w:color="auto" w:fill="FFFFFF"/>
        </w:rPr>
        <w:t> increased in the Q4 </w:t>
      </w:r>
      <w:r w:rsidR="001F1522" w:rsidRPr="003703F5">
        <w:rPr>
          <w:b w:val="0"/>
          <w:iCs/>
          <w:color w:val="333333"/>
          <w:szCs w:val="20"/>
          <w:bdr w:val="none" w:sz="0" w:space="0" w:color="auto" w:frame="1"/>
          <w:shd w:val="clear" w:color="auto" w:fill="FFFFFF"/>
        </w:rPr>
        <w:t>2024</w:t>
      </w:r>
      <w:r w:rsidR="00C96917" w:rsidRPr="003703F5">
        <w:rPr>
          <w:b w:val="0"/>
          <w:iCs/>
          <w:color w:val="333333"/>
          <w:szCs w:val="20"/>
          <w:bdr w:val="none" w:sz="0" w:space="0" w:color="auto" w:frame="1"/>
          <w:shd w:val="clear" w:color="auto" w:fill="FFFFFF"/>
        </w:rPr>
        <w:t xml:space="preserve"> by 0.1%, q-o-q, and by 1.8</w:t>
      </w:r>
      <w:r w:rsidRPr="003703F5">
        <w:rPr>
          <w:b w:val="0"/>
          <w:iCs/>
          <w:color w:val="333333"/>
          <w:szCs w:val="20"/>
          <w:bdr w:val="none" w:sz="0" w:space="0" w:color="auto" w:frame="1"/>
          <w:shd w:val="clear" w:color="auto" w:fill="FFFFFF"/>
        </w:rPr>
        <w:t>%</w:t>
      </w:r>
      <w:r w:rsidRPr="003703F5">
        <w:rPr>
          <w:b w:val="0"/>
          <w:iCs/>
          <w:color w:val="333333"/>
          <w:szCs w:val="20"/>
          <w:bdr w:val="none" w:sz="0" w:space="0" w:color="auto" w:frame="1"/>
          <w:shd w:val="clear" w:color="auto" w:fill="FFFFFF"/>
          <w:vertAlign w:val="superscript"/>
        </w:rPr>
        <w:t>1</w:t>
      </w:r>
      <w:r w:rsidRPr="003703F5">
        <w:rPr>
          <w:b w:val="0"/>
          <w:iCs/>
          <w:color w:val="333333"/>
          <w:szCs w:val="20"/>
          <w:bdr w:val="none" w:sz="0" w:space="0" w:color="auto" w:frame="1"/>
          <w:shd w:val="clear" w:color="auto" w:fill="FFFFFF"/>
        </w:rPr>
        <w:t xml:space="preserve"> in the year-on-year comparison. </w:t>
      </w:r>
    </w:p>
    <w:p w14:paraId="13F35F2A" w14:textId="77777777" w:rsidR="00C96917" w:rsidRPr="003703F5" w:rsidRDefault="00C96917" w:rsidP="003633C6">
      <w:pPr>
        <w:pStyle w:val="Perex"/>
        <w:spacing w:after="0"/>
        <w:rPr>
          <w:b w:val="0"/>
          <w:iCs/>
          <w:color w:val="333333"/>
          <w:szCs w:val="20"/>
          <w:bdr w:val="none" w:sz="0" w:space="0" w:color="auto" w:frame="1"/>
          <w:shd w:val="clear" w:color="auto" w:fill="FFFFFF"/>
        </w:rPr>
      </w:pPr>
    </w:p>
    <w:p w14:paraId="73E2CE2D" w14:textId="2179D571" w:rsidR="003633C6" w:rsidRPr="003703F5" w:rsidRDefault="003633C6" w:rsidP="003633C6">
      <w:pPr>
        <w:pStyle w:val="Perex"/>
        <w:spacing w:after="0"/>
        <w:rPr>
          <w:b w:val="0"/>
          <w:i/>
        </w:rPr>
      </w:pPr>
      <w:r w:rsidRPr="003703F5">
        <w:rPr>
          <w:i/>
        </w:rPr>
        <w:t>Real consumption of households per capita</w:t>
      </w:r>
      <w:r w:rsidRPr="003703F5">
        <w:t xml:space="preserve"> </w:t>
      </w:r>
      <w:r w:rsidR="00337B4D" w:rsidRPr="003703F5">
        <w:rPr>
          <w:b w:val="0"/>
        </w:rPr>
        <w:t>increased by 1.5</w:t>
      </w:r>
      <w:r w:rsidRPr="003703F5">
        <w:rPr>
          <w:b w:val="0"/>
        </w:rPr>
        <w:t xml:space="preserve">%, quarter-on-quarter, and in the </w:t>
      </w:r>
      <w:r w:rsidR="00337B4D" w:rsidRPr="003703F5">
        <w:rPr>
          <w:b w:val="0"/>
          <w:iCs/>
          <w:color w:val="333333"/>
          <w:szCs w:val="20"/>
          <w:bdr w:val="none" w:sz="0" w:space="0" w:color="auto" w:frame="1"/>
          <w:shd w:val="clear" w:color="auto" w:fill="FFFFFF"/>
        </w:rPr>
        <w:t>year-on-year comparison it in</w:t>
      </w:r>
      <w:r w:rsidRPr="003703F5">
        <w:rPr>
          <w:b w:val="0"/>
          <w:iCs/>
          <w:color w:val="333333"/>
          <w:szCs w:val="20"/>
          <w:bdr w:val="none" w:sz="0" w:space="0" w:color="auto" w:frame="1"/>
          <w:shd w:val="clear" w:color="auto" w:fill="FFFFFF"/>
        </w:rPr>
        <w:t>creased</w:t>
      </w:r>
      <w:r w:rsidR="00337B4D" w:rsidRPr="003703F5">
        <w:rPr>
          <w:b w:val="0"/>
        </w:rPr>
        <w:t xml:space="preserve"> by 3.4</w:t>
      </w:r>
      <w:r w:rsidRPr="003703F5">
        <w:rPr>
          <w:b w:val="0"/>
        </w:rPr>
        <w:t>%</w:t>
      </w:r>
      <w:r w:rsidRPr="003703F5">
        <w:rPr>
          <w:b w:val="0"/>
          <w:color w:val="000000"/>
          <w:vertAlign w:val="superscript"/>
        </w:rPr>
        <w:t>1</w:t>
      </w:r>
      <w:r w:rsidRPr="003703F5">
        <w:rPr>
          <w:b w:val="0"/>
        </w:rPr>
        <w:t>.</w:t>
      </w:r>
    </w:p>
    <w:p w14:paraId="5F0C7767" w14:textId="77777777" w:rsidR="003633C6" w:rsidRPr="003703F5" w:rsidRDefault="003633C6" w:rsidP="003633C6">
      <w:pPr>
        <w:pStyle w:val="Perex"/>
        <w:spacing w:after="0"/>
        <w:rPr>
          <w:b w:val="0"/>
        </w:rPr>
      </w:pPr>
    </w:p>
    <w:p w14:paraId="7C4D8959" w14:textId="05BF4F6E" w:rsidR="003633C6" w:rsidRPr="003703F5" w:rsidRDefault="003633C6" w:rsidP="003633C6">
      <w:pPr>
        <w:rPr>
          <w:rFonts w:eastAsia="Times New Roman"/>
          <w:bCs/>
          <w:szCs w:val="28"/>
        </w:rPr>
      </w:pPr>
      <w:r w:rsidRPr="003703F5">
        <w:rPr>
          <w:rFonts w:eastAsia="Times New Roman"/>
          <w:bCs/>
          <w:szCs w:val="28"/>
        </w:rPr>
        <w:t>The</w:t>
      </w:r>
      <w:r w:rsidRPr="003703F5">
        <w:rPr>
          <w:rFonts w:eastAsia="Times New Roman"/>
          <w:b/>
          <w:bCs/>
          <w:szCs w:val="28"/>
        </w:rPr>
        <w:t xml:space="preserve"> </w:t>
      </w:r>
      <w:r w:rsidRPr="003703F5">
        <w:rPr>
          <w:rFonts w:eastAsia="Times New Roman"/>
          <w:b/>
          <w:bCs/>
          <w:i/>
          <w:szCs w:val="28"/>
        </w:rPr>
        <w:t>average monthly income from employment</w:t>
      </w:r>
      <w:r w:rsidR="00B51524" w:rsidRPr="003703F5">
        <w:rPr>
          <w:rFonts w:eastAsia="Times New Roman"/>
          <w:bCs/>
          <w:szCs w:val="28"/>
        </w:rPr>
        <w:t xml:space="preserve"> reached CZK 52</w:t>
      </w:r>
      <w:r w:rsidRPr="003703F5">
        <w:rPr>
          <w:rFonts w:eastAsia="Times New Roman"/>
          <w:bCs/>
          <w:szCs w:val="28"/>
        </w:rPr>
        <w:t> </w:t>
      </w:r>
      <w:r w:rsidR="00B51524" w:rsidRPr="003703F5">
        <w:rPr>
          <w:rFonts w:eastAsia="Times New Roman"/>
          <w:bCs/>
          <w:szCs w:val="28"/>
        </w:rPr>
        <w:t>363</w:t>
      </w:r>
      <w:r w:rsidRPr="003703F5">
        <w:rPr>
          <w:rFonts w:eastAsia="Times New Roman"/>
          <w:bCs/>
          <w:szCs w:val="28"/>
          <w:vertAlign w:val="superscript"/>
        </w:rPr>
        <w:t>1</w:t>
      </w:r>
      <w:r w:rsidRPr="003703F5">
        <w:rPr>
          <w:rFonts w:eastAsia="Times New Roman"/>
          <w:bCs/>
          <w:szCs w:val="28"/>
        </w:rPr>
        <w:t> in the Q4 </w:t>
      </w:r>
      <w:r w:rsidR="001F1522" w:rsidRPr="003703F5">
        <w:rPr>
          <w:rFonts w:eastAsia="Times New Roman"/>
          <w:bCs/>
          <w:szCs w:val="28"/>
        </w:rPr>
        <w:t>2024</w:t>
      </w:r>
      <w:r w:rsidR="00B51524" w:rsidRPr="003703F5">
        <w:rPr>
          <w:rFonts w:eastAsia="Times New Roman"/>
          <w:bCs/>
          <w:szCs w:val="28"/>
        </w:rPr>
        <w:t>. It increased in real terms by 0.9</w:t>
      </w:r>
      <w:r w:rsidRPr="003703F5">
        <w:rPr>
          <w:rFonts w:eastAsia="Times New Roman"/>
          <w:bCs/>
          <w:szCs w:val="28"/>
        </w:rPr>
        <w:t>%, q-o-q; in the y-o-y comparison, it increase</w:t>
      </w:r>
      <w:r w:rsidR="00B51524" w:rsidRPr="003703F5">
        <w:rPr>
          <w:rFonts w:eastAsia="Times New Roman"/>
          <w:bCs/>
          <w:szCs w:val="28"/>
        </w:rPr>
        <w:t>d by 3.9</w:t>
      </w:r>
      <w:r w:rsidRPr="003703F5">
        <w:rPr>
          <w:rFonts w:eastAsia="Times New Roman"/>
          <w:bCs/>
          <w:szCs w:val="28"/>
        </w:rPr>
        <w:t>%</w:t>
      </w:r>
      <w:r w:rsidRPr="003703F5">
        <w:rPr>
          <w:rFonts w:eastAsia="Times New Roman"/>
          <w:bCs/>
          <w:szCs w:val="28"/>
          <w:vertAlign w:val="superscript"/>
        </w:rPr>
        <w:t>1</w:t>
      </w:r>
      <w:r w:rsidRPr="003703F5">
        <w:rPr>
          <w:rFonts w:eastAsia="Times New Roman"/>
          <w:bCs/>
          <w:szCs w:val="28"/>
        </w:rPr>
        <w:t>.</w:t>
      </w:r>
    </w:p>
    <w:p w14:paraId="459B20DB" w14:textId="77777777" w:rsidR="003633C6" w:rsidRPr="003703F5" w:rsidRDefault="003633C6" w:rsidP="003633C6">
      <w:pPr>
        <w:rPr>
          <w:rFonts w:eastAsia="Times New Roman"/>
          <w:bCs/>
          <w:szCs w:val="28"/>
        </w:rPr>
      </w:pPr>
      <w:r w:rsidRPr="003703F5">
        <w:rPr>
          <w:rFonts w:eastAsia="Times New Roman"/>
          <w:bCs/>
          <w:szCs w:val="28"/>
        </w:rPr>
        <w:t xml:space="preserve"> </w:t>
      </w:r>
    </w:p>
    <w:p w14:paraId="6B483F68" w14:textId="13875FEA" w:rsidR="003633C6" w:rsidRPr="003703F5" w:rsidRDefault="003633C6" w:rsidP="003633C6">
      <w:pPr>
        <w:rPr>
          <w:rFonts w:eastAsia="Times New Roman"/>
          <w:bCs/>
          <w:color w:val="000000"/>
          <w:szCs w:val="28"/>
        </w:rPr>
      </w:pPr>
      <w:r w:rsidRPr="003703F5">
        <w:rPr>
          <w:rFonts w:eastAsia="Times New Roman"/>
          <w:bCs/>
          <w:color w:val="000000"/>
          <w:szCs w:val="28"/>
        </w:rPr>
        <w:t xml:space="preserve">The </w:t>
      </w:r>
      <w:r w:rsidRPr="003703F5">
        <w:rPr>
          <w:rFonts w:eastAsia="Times New Roman"/>
          <w:b/>
          <w:bCs/>
          <w:i/>
          <w:color w:val="000000"/>
          <w:szCs w:val="28"/>
        </w:rPr>
        <w:t>household saving rate</w:t>
      </w:r>
      <w:r w:rsidRPr="003703F5">
        <w:rPr>
          <w:rFonts w:eastAsia="Times New Roman"/>
          <w:bCs/>
          <w:color w:val="000000"/>
          <w:szCs w:val="28"/>
        </w:rPr>
        <w:t xml:space="preserve"> </w:t>
      </w:r>
      <w:r w:rsidR="00B51524" w:rsidRPr="003703F5">
        <w:rPr>
          <w:rFonts w:eastAsia="Times New Roman"/>
          <w:bCs/>
          <w:color w:val="000000"/>
          <w:szCs w:val="28"/>
        </w:rPr>
        <w:t>was 18.3</w:t>
      </w:r>
      <w:r w:rsidRPr="003703F5">
        <w:rPr>
          <w:rFonts w:eastAsia="Times New Roman"/>
          <w:bCs/>
          <w:color w:val="000000"/>
          <w:szCs w:val="28"/>
        </w:rPr>
        <w:t xml:space="preserve">% </w:t>
      </w:r>
      <w:r w:rsidR="00B51524" w:rsidRPr="003703F5">
        <w:rPr>
          <w:rFonts w:eastAsia="Times New Roman"/>
          <w:bCs/>
          <w:szCs w:val="28"/>
        </w:rPr>
        <w:t>in the Q4</w:t>
      </w:r>
      <w:r w:rsidRPr="003703F5">
        <w:rPr>
          <w:rFonts w:eastAsia="Times New Roman"/>
          <w:bCs/>
          <w:szCs w:val="28"/>
        </w:rPr>
        <w:t xml:space="preserve"> </w:t>
      </w:r>
      <w:r w:rsidR="001F1522" w:rsidRPr="003703F5">
        <w:rPr>
          <w:rFonts w:eastAsia="Times New Roman"/>
          <w:bCs/>
          <w:szCs w:val="28"/>
        </w:rPr>
        <w:t>2024</w:t>
      </w:r>
      <w:r w:rsidRPr="003703F5">
        <w:rPr>
          <w:rFonts w:eastAsia="Times New Roman"/>
          <w:bCs/>
          <w:szCs w:val="28"/>
        </w:rPr>
        <w:t xml:space="preserve">, which is by 0.8 p. p. </w:t>
      </w:r>
      <w:r w:rsidR="00B51524" w:rsidRPr="003703F5">
        <w:rPr>
          <w:rFonts w:eastAsia="Times New Roman"/>
          <w:bCs/>
          <w:szCs w:val="28"/>
        </w:rPr>
        <w:t>less</w:t>
      </w:r>
      <w:r w:rsidRPr="003703F5">
        <w:rPr>
          <w:rFonts w:eastAsia="Times New Roman"/>
          <w:bCs/>
          <w:szCs w:val="28"/>
        </w:rPr>
        <w:t xml:space="preserve"> compared to</w:t>
      </w:r>
      <w:r w:rsidR="00B51524" w:rsidRPr="003703F5">
        <w:rPr>
          <w:rFonts w:eastAsia="Times New Roman"/>
          <w:bCs/>
          <w:szCs w:val="28"/>
        </w:rPr>
        <w:t xml:space="preserve"> the previous quarter and by 1.3</w:t>
      </w:r>
      <w:r w:rsidRPr="003703F5">
        <w:rPr>
          <w:rFonts w:eastAsia="Times New Roman"/>
          <w:bCs/>
          <w:szCs w:val="28"/>
        </w:rPr>
        <w:t xml:space="preserve"> p. p. </w:t>
      </w:r>
      <w:r w:rsidR="00B51524" w:rsidRPr="003703F5">
        <w:rPr>
          <w:rFonts w:eastAsia="Times New Roman"/>
          <w:bCs/>
          <w:szCs w:val="28"/>
        </w:rPr>
        <w:t>less</w:t>
      </w:r>
      <w:r w:rsidRPr="003703F5">
        <w:rPr>
          <w:rFonts w:eastAsia="Times New Roman"/>
          <w:bCs/>
          <w:szCs w:val="28"/>
        </w:rPr>
        <w:t>, year-on-year.</w:t>
      </w:r>
    </w:p>
    <w:p w14:paraId="4DB56E6B" w14:textId="77777777" w:rsidR="003633C6" w:rsidRPr="003703F5" w:rsidRDefault="003633C6" w:rsidP="003633C6">
      <w:pPr>
        <w:rPr>
          <w:rFonts w:eastAsia="Times New Roman"/>
          <w:bCs/>
          <w:szCs w:val="28"/>
        </w:rPr>
      </w:pPr>
    </w:p>
    <w:p w14:paraId="4459DF9B" w14:textId="07EC1925" w:rsidR="003633C6" w:rsidRPr="003703F5" w:rsidRDefault="003633C6" w:rsidP="003633C6">
      <w:pPr>
        <w:rPr>
          <w:rFonts w:eastAsia="Times New Roman"/>
          <w:bCs/>
          <w:szCs w:val="28"/>
          <w:vertAlign w:val="superscript"/>
        </w:rPr>
      </w:pPr>
      <w:r w:rsidRPr="003703F5">
        <w:rPr>
          <w:rFonts w:eastAsia="Times New Roman"/>
          <w:bCs/>
          <w:szCs w:val="28"/>
        </w:rPr>
        <w:t xml:space="preserve">The </w:t>
      </w:r>
      <w:r w:rsidRPr="003703F5">
        <w:rPr>
          <w:rFonts w:eastAsia="Times New Roman"/>
          <w:b/>
          <w:bCs/>
          <w:i/>
          <w:szCs w:val="28"/>
        </w:rPr>
        <w:t>investment rate</w:t>
      </w:r>
      <w:r w:rsidRPr="003703F5">
        <w:rPr>
          <w:rFonts w:eastAsia="Times New Roman"/>
          <w:bCs/>
          <w:szCs w:val="28"/>
        </w:rPr>
        <w:t xml:space="preserve"> in the h</w:t>
      </w:r>
      <w:r w:rsidR="00C24DD9" w:rsidRPr="003703F5">
        <w:rPr>
          <w:rFonts w:eastAsia="Times New Roman"/>
          <w:bCs/>
          <w:szCs w:val="28"/>
        </w:rPr>
        <w:t>ousehold sector decreased by 0.2</w:t>
      </w:r>
      <w:r w:rsidRPr="003703F5">
        <w:rPr>
          <w:rFonts w:eastAsia="Times New Roman"/>
          <w:bCs/>
          <w:szCs w:val="28"/>
        </w:rPr>
        <w:t> p. p., q</w:t>
      </w:r>
      <w:r w:rsidR="00C24DD9" w:rsidRPr="003703F5">
        <w:rPr>
          <w:rFonts w:eastAsia="Times New Roman"/>
          <w:bCs/>
          <w:szCs w:val="28"/>
        </w:rPr>
        <w:t>uarter-on-quarter, and reached 10.7</w:t>
      </w:r>
      <w:r w:rsidRPr="003703F5">
        <w:rPr>
          <w:rFonts w:eastAsia="Times New Roman"/>
          <w:bCs/>
          <w:szCs w:val="28"/>
        </w:rPr>
        <w:t>%. In the y-o-y comparison, the investment rate of households decreased by 0.4 p. p.</w:t>
      </w:r>
      <w:r w:rsidRPr="003703F5">
        <w:rPr>
          <w:rFonts w:eastAsia="Times New Roman"/>
          <w:bCs/>
          <w:szCs w:val="28"/>
          <w:vertAlign w:val="superscript"/>
        </w:rPr>
        <w:t>1</w:t>
      </w:r>
    </w:p>
    <w:p w14:paraId="46E403E4" w14:textId="77777777" w:rsidR="003633C6" w:rsidRPr="003703F5" w:rsidRDefault="003633C6" w:rsidP="003633C6">
      <w:pPr>
        <w:rPr>
          <w:rFonts w:eastAsia="Times New Roman"/>
          <w:bCs/>
          <w:szCs w:val="28"/>
        </w:rPr>
      </w:pPr>
      <w:r w:rsidRPr="003703F5">
        <w:rPr>
          <w:rFonts w:eastAsia="Times New Roman"/>
          <w:bCs/>
          <w:szCs w:val="28"/>
        </w:rPr>
        <w:t xml:space="preserve"> </w:t>
      </w:r>
    </w:p>
    <w:p w14:paraId="34761FB7" w14:textId="623EB900" w:rsidR="003633C6" w:rsidRPr="003703F5" w:rsidRDefault="003633C6" w:rsidP="003633C6">
      <w:pPr>
        <w:rPr>
          <w:rFonts w:eastAsia="Times New Roman"/>
          <w:b/>
          <w:bCs/>
          <w:szCs w:val="28"/>
        </w:rPr>
      </w:pPr>
      <w:r w:rsidRPr="003703F5">
        <w:rPr>
          <w:rFonts w:eastAsia="Times New Roman"/>
          <w:b/>
          <w:bCs/>
          <w:szCs w:val="28"/>
        </w:rPr>
        <w:t xml:space="preserve">Year </w:t>
      </w:r>
      <w:r w:rsidR="001F1522" w:rsidRPr="003703F5">
        <w:rPr>
          <w:rFonts w:eastAsia="Times New Roman"/>
          <w:b/>
          <w:bCs/>
          <w:szCs w:val="28"/>
        </w:rPr>
        <w:t>2024</w:t>
      </w:r>
    </w:p>
    <w:p w14:paraId="32AB79CF" w14:textId="77777777" w:rsidR="003633C6" w:rsidRPr="003703F5" w:rsidRDefault="003633C6" w:rsidP="003633C6">
      <w:pPr>
        <w:rPr>
          <w:rFonts w:eastAsia="Times New Roman"/>
          <w:bCs/>
          <w:szCs w:val="28"/>
        </w:rPr>
      </w:pPr>
    </w:p>
    <w:p w14:paraId="776CDB3A" w14:textId="41245375" w:rsidR="003633C6" w:rsidRPr="003703F5" w:rsidRDefault="003633C6" w:rsidP="003633C6">
      <w:pPr>
        <w:pStyle w:val="Perex"/>
        <w:spacing w:after="0"/>
        <w:rPr>
          <w:color w:val="000000"/>
        </w:rPr>
      </w:pPr>
      <w:r w:rsidRPr="003703F5">
        <w:t xml:space="preserve">Non-financial corporations: </w:t>
      </w:r>
      <w:r w:rsidR="00C24DD9" w:rsidRPr="003703F5">
        <w:t xml:space="preserve">both </w:t>
      </w:r>
      <w:r w:rsidR="00CB5E01" w:rsidRPr="003703F5">
        <w:t xml:space="preserve">the </w:t>
      </w:r>
      <w:r w:rsidRPr="003703F5">
        <w:t>profit</w:t>
      </w:r>
      <w:r w:rsidR="00C24DD9" w:rsidRPr="003703F5">
        <w:t xml:space="preserve"> rate and </w:t>
      </w:r>
      <w:r w:rsidR="00CB5E01" w:rsidRPr="003703F5">
        <w:t xml:space="preserve">the </w:t>
      </w:r>
      <w:r w:rsidR="00C24DD9" w:rsidRPr="003703F5">
        <w:t>investment</w:t>
      </w:r>
      <w:r w:rsidRPr="003703F5">
        <w:t xml:space="preserve"> rate </w:t>
      </w:r>
      <w:r w:rsidR="00C24DD9" w:rsidRPr="003703F5">
        <w:t>decreased</w:t>
      </w:r>
      <w:r w:rsidRPr="003703F5">
        <w:t xml:space="preserve"> </w:t>
      </w:r>
    </w:p>
    <w:p w14:paraId="262348E4" w14:textId="7878E3E4" w:rsidR="003633C6" w:rsidRPr="003703F5" w:rsidRDefault="003633C6" w:rsidP="003633C6">
      <w:r w:rsidRPr="003703F5">
        <w:t xml:space="preserve">The </w:t>
      </w:r>
      <w:r w:rsidRPr="003703F5">
        <w:rPr>
          <w:b/>
          <w:i/>
        </w:rPr>
        <w:t>profit rate</w:t>
      </w:r>
      <w:r w:rsidRPr="003703F5">
        <w:t xml:space="preserve"> in </w:t>
      </w:r>
      <w:r w:rsidR="001F1522" w:rsidRPr="003703F5">
        <w:t>2024</w:t>
      </w:r>
      <w:r w:rsidR="00CB5E01" w:rsidRPr="003703F5">
        <w:t xml:space="preserve"> reached 45.4%, which was by 1.6</w:t>
      </w:r>
      <w:r w:rsidRPr="003703F5">
        <w:t> p. p.</w:t>
      </w:r>
      <w:r w:rsidRPr="003703F5">
        <w:rPr>
          <w:rFonts w:eastAsia="Times New Roman"/>
          <w:bCs/>
          <w:szCs w:val="28"/>
          <w:vertAlign w:val="superscript"/>
        </w:rPr>
        <w:t>1</w:t>
      </w:r>
      <w:r w:rsidRPr="003703F5">
        <w:t xml:space="preserve"> </w:t>
      </w:r>
      <w:r w:rsidR="00CB5E01" w:rsidRPr="003703F5">
        <w:t>less</w:t>
      </w:r>
      <w:r w:rsidRPr="003703F5">
        <w:t xml:space="preserve">, y-o-y. The profit rate in the Czech Republic remained above the European Union’s average, </w:t>
      </w:r>
      <w:r w:rsidR="00041CB8" w:rsidRPr="003703F5">
        <w:t>where it reaches</w:t>
      </w:r>
      <w:r w:rsidRPr="003703F5">
        <w:t xml:space="preserve"> approxim</w:t>
      </w:r>
      <w:r w:rsidR="00041CB8" w:rsidRPr="003703F5">
        <w:t>a</w:t>
      </w:r>
      <w:r w:rsidRPr="003703F5">
        <w:t xml:space="preserve">tely 40%. </w:t>
      </w:r>
      <w:r w:rsidR="00FA5965" w:rsidRPr="003703F5">
        <w:t>I</w:t>
      </w:r>
      <w:r w:rsidRPr="003703F5">
        <w:t>n nominal terms, profits increased, y-o-y, despite an increase of labour costs</w:t>
      </w:r>
      <w:r w:rsidR="00FA5965" w:rsidRPr="003703F5">
        <w:t>, which increased by 6.2</w:t>
      </w:r>
      <w:r w:rsidRPr="003703F5">
        <w:t>%</w:t>
      </w:r>
      <w:r w:rsidRPr="003703F5">
        <w:rPr>
          <w:rFonts w:eastAsia="Times New Roman"/>
          <w:bCs/>
          <w:szCs w:val="28"/>
          <w:vertAlign w:val="superscript"/>
        </w:rPr>
        <w:t>1</w:t>
      </w:r>
      <w:r w:rsidRPr="003703F5">
        <w:t>, year-on-year. The</w:t>
      </w:r>
      <w:r w:rsidRPr="003703F5">
        <w:rPr>
          <w:b/>
        </w:rPr>
        <w:t xml:space="preserve"> </w:t>
      </w:r>
      <w:r w:rsidRPr="003703F5">
        <w:rPr>
          <w:b/>
          <w:i/>
        </w:rPr>
        <w:t>investment rate</w:t>
      </w:r>
      <w:r w:rsidR="000651BC" w:rsidRPr="003703F5">
        <w:t xml:space="preserve"> decreased by 1.1</w:t>
      </w:r>
      <w:r w:rsidRPr="003703F5">
        <w:t> p. p.</w:t>
      </w:r>
      <w:r w:rsidRPr="003703F5">
        <w:rPr>
          <w:rFonts w:eastAsia="Times New Roman"/>
          <w:bCs/>
          <w:szCs w:val="28"/>
          <w:vertAlign w:val="superscript"/>
        </w:rPr>
        <w:t>1</w:t>
      </w:r>
      <w:r w:rsidR="000651BC" w:rsidRPr="003703F5">
        <w:t xml:space="preserve"> compared to that of 2023 and reached 26.5</w:t>
      </w:r>
      <w:r w:rsidRPr="003703F5">
        <w:t>%.</w:t>
      </w:r>
    </w:p>
    <w:p w14:paraId="32B02061" w14:textId="77777777" w:rsidR="003633C6" w:rsidRPr="003703F5" w:rsidRDefault="003633C6" w:rsidP="003633C6">
      <w:pPr>
        <w:rPr>
          <w:color w:val="000000"/>
        </w:rPr>
      </w:pPr>
    </w:p>
    <w:p w14:paraId="29D70301" w14:textId="77777777" w:rsidR="003633C6" w:rsidRPr="003703F5" w:rsidRDefault="003633C6" w:rsidP="003633C6">
      <w:r w:rsidRPr="003703F5">
        <w:t>The</w:t>
      </w:r>
      <w:r w:rsidRPr="003703F5">
        <w:rPr>
          <w:b/>
        </w:rPr>
        <w:t xml:space="preserve"> profit rate</w:t>
      </w:r>
      <w:r w:rsidRPr="003703F5">
        <w:t xml:space="preserve"> </w:t>
      </w:r>
      <w:r w:rsidRPr="005E101A">
        <w:rPr>
          <w:b/>
        </w:rPr>
        <w:t>and</w:t>
      </w:r>
      <w:r w:rsidRPr="003703F5">
        <w:t xml:space="preserve"> the </w:t>
      </w:r>
      <w:r w:rsidRPr="003703F5">
        <w:rPr>
          <w:b/>
        </w:rPr>
        <w:t>investment rate</w:t>
      </w:r>
      <w:r w:rsidRPr="003703F5">
        <w:t xml:space="preserve"> of non-financial corporations (%)</w:t>
      </w:r>
    </w:p>
    <w:tbl>
      <w:tblPr>
        <w:tblW w:w="850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10"/>
        <w:gridCol w:w="1134"/>
        <w:gridCol w:w="1221"/>
        <w:gridCol w:w="1293"/>
        <w:gridCol w:w="1293"/>
        <w:gridCol w:w="1154"/>
      </w:tblGrid>
      <w:tr w:rsidR="003633C6" w:rsidRPr="003703F5" w14:paraId="1576ED20" w14:textId="77777777" w:rsidTr="009207F3">
        <w:tc>
          <w:tcPr>
            <w:tcW w:w="2410" w:type="dxa"/>
            <w:shd w:val="clear" w:color="auto" w:fill="DBE5F1"/>
            <w:vAlign w:val="center"/>
          </w:tcPr>
          <w:p w14:paraId="389B0811" w14:textId="77777777" w:rsidR="003633C6" w:rsidRPr="003703F5" w:rsidRDefault="003633C6" w:rsidP="009207F3">
            <w:pPr>
              <w:autoSpaceDE w:val="0"/>
              <w:autoSpaceDN w:val="0"/>
              <w:adjustRightInd w:val="0"/>
              <w:ind w:firstLine="34"/>
              <w:jc w:val="left"/>
              <w:rPr>
                <w:rFonts w:cs="Arial"/>
                <w:color w:val="000000"/>
                <w:sz w:val="18"/>
                <w:szCs w:val="18"/>
              </w:rPr>
            </w:pPr>
          </w:p>
        </w:tc>
        <w:tc>
          <w:tcPr>
            <w:tcW w:w="1134" w:type="dxa"/>
            <w:shd w:val="clear" w:color="auto" w:fill="DBE5F1"/>
            <w:vAlign w:val="center"/>
          </w:tcPr>
          <w:p w14:paraId="2E9151B0" w14:textId="77777777" w:rsidR="003633C6" w:rsidRPr="003703F5" w:rsidRDefault="003633C6" w:rsidP="009207F3">
            <w:pPr>
              <w:autoSpaceDE w:val="0"/>
              <w:autoSpaceDN w:val="0"/>
              <w:adjustRightInd w:val="0"/>
              <w:spacing w:line="240" w:lineRule="auto"/>
              <w:jc w:val="center"/>
              <w:rPr>
                <w:rFonts w:cs="Arial"/>
                <w:sz w:val="18"/>
                <w:szCs w:val="18"/>
              </w:rPr>
            </w:pPr>
            <w:r w:rsidRPr="003703F5">
              <w:rPr>
                <w:rFonts w:cs="Arial"/>
                <w:sz w:val="18"/>
                <w:szCs w:val="18"/>
              </w:rPr>
              <w:t>Q1</w:t>
            </w:r>
          </w:p>
        </w:tc>
        <w:tc>
          <w:tcPr>
            <w:tcW w:w="1221" w:type="dxa"/>
            <w:shd w:val="clear" w:color="auto" w:fill="DBE5F1"/>
            <w:vAlign w:val="center"/>
          </w:tcPr>
          <w:p w14:paraId="17F79ACA" w14:textId="77777777" w:rsidR="003633C6" w:rsidRPr="003703F5" w:rsidRDefault="003633C6" w:rsidP="009207F3">
            <w:pPr>
              <w:autoSpaceDE w:val="0"/>
              <w:autoSpaceDN w:val="0"/>
              <w:adjustRightInd w:val="0"/>
              <w:spacing w:line="240" w:lineRule="auto"/>
              <w:jc w:val="center"/>
              <w:rPr>
                <w:rFonts w:cs="Arial"/>
                <w:sz w:val="18"/>
                <w:szCs w:val="18"/>
              </w:rPr>
            </w:pPr>
            <w:r w:rsidRPr="003703F5">
              <w:rPr>
                <w:rFonts w:cs="Arial"/>
                <w:sz w:val="18"/>
                <w:szCs w:val="18"/>
              </w:rPr>
              <w:t>Q2</w:t>
            </w:r>
          </w:p>
        </w:tc>
        <w:tc>
          <w:tcPr>
            <w:tcW w:w="1293" w:type="dxa"/>
            <w:shd w:val="clear" w:color="auto" w:fill="DBE5F1"/>
            <w:vAlign w:val="center"/>
          </w:tcPr>
          <w:p w14:paraId="10FA06A9" w14:textId="77777777" w:rsidR="003633C6" w:rsidRPr="003703F5" w:rsidRDefault="003633C6" w:rsidP="009207F3">
            <w:pPr>
              <w:autoSpaceDE w:val="0"/>
              <w:autoSpaceDN w:val="0"/>
              <w:adjustRightInd w:val="0"/>
              <w:spacing w:line="240" w:lineRule="auto"/>
              <w:jc w:val="center"/>
              <w:rPr>
                <w:rFonts w:cs="Arial"/>
                <w:sz w:val="18"/>
                <w:szCs w:val="18"/>
              </w:rPr>
            </w:pPr>
            <w:r w:rsidRPr="003703F5">
              <w:rPr>
                <w:rFonts w:cs="Arial"/>
                <w:sz w:val="18"/>
                <w:szCs w:val="18"/>
              </w:rPr>
              <w:t>Q3</w:t>
            </w:r>
          </w:p>
        </w:tc>
        <w:tc>
          <w:tcPr>
            <w:tcW w:w="1293" w:type="dxa"/>
            <w:shd w:val="clear" w:color="auto" w:fill="DBE5F1"/>
            <w:vAlign w:val="center"/>
          </w:tcPr>
          <w:p w14:paraId="62DE3B9D" w14:textId="77777777" w:rsidR="003633C6" w:rsidRPr="003703F5" w:rsidRDefault="003633C6" w:rsidP="009207F3">
            <w:pPr>
              <w:autoSpaceDE w:val="0"/>
              <w:autoSpaceDN w:val="0"/>
              <w:adjustRightInd w:val="0"/>
              <w:spacing w:line="240" w:lineRule="auto"/>
              <w:jc w:val="center"/>
              <w:rPr>
                <w:rFonts w:cs="Arial"/>
                <w:b/>
                <w:sz w:val="18"/>
                <w:szCs w:val="18"/>
              </w:rPr>
            </w:pPr>
            <w:r w:rsidRPr="003703F5">
              <w:rPr>
                <w:rFonts w:cs="Arial"/>
                <w:b/>
                <w:sz w:val="18"/>
                <w:szCs w:val="18"/>
              </w:rPr>
              <w:t>Q4</w:t>
            </w:r>
          </w:p>
        </w:tc>
        <w:tc>
          <w:tcPr>
            <w:tcW w:w="1154" w:type="dxa"/>
            <w:shd w:val="clear" w:color="auto" w:fill="DBE5F1"/>
            <w:vAlign w:val="center"/>
          </w:tcPr>
          <w:p w14:paraId="02A1D50C" w14:textId="12DDDD66" w:rsidR="003633C6" w:rsidRPr="003703F5" w:rsidRDefault="003633C6" w:rsidP="009207F3">
            <w:pPr>
              <w:autoSpaceDE w:val="0"/>
              <w:autoSpaceDN w:val="0"/>
              <w:adjustRightInd w:val="0"/>
              <w:spacing w:line="240" w:lineRule="auto"/>
              <w:jc w:val="center"/>
              <w:rPr>
                <w:rFonts w:cs="Arial"/>
                <w:b/>
                <w:sz w:val="18"/>
                <w:szCs w:val="18"/>
              </w:rPr>
            </w:pPr>
            <w:r w:rsidRPr="003703F5">
              <w:rPr>
                <w:rFonts w:cs="Arial"/>
                <w:b/>
                <w:sz w:val="18"/>
                <w:szCs w:val="18"/>
              </w:rPr>
              <w:t xml:space="preserve">Year </w:t>
            </w:r>
            <w:r w:rsidR="001F1522" w:rsidRPr="003703F5">
              <w:rPr>
                <w:rFonts w:cs="Arial"/>
                <w:b/>
                <w:sz w:val="18"/>
                <w:szCs w:val="18"/>
              </w:rPr>
              <w:t>2024</w:t>
            </w:r>
          </w:p>
        </w:tc>
      </w:tr>
      <w:tr w:rsidR="000651BC" w:rsidRPr="003703F5" w14:paraId="65BFACA0" w14:textId="77777777" w:rsidTr="009207F3">
        <w:tc>
          <w:tcPr>
            <w:tcW w:w="2410" w:type="dxa"/>
            <w:shd w:val="clear" w:color="auto" w:fill="auto"/>
            <w:vAlign w:val="center"/>
          </w:tcPr>
          <w:p w14:paraId="0E73AE36" w14:textId="77777777" w:rsidR="000651BC" w:rsidRPr="003703F5" w:rsidRDefault="000651BC" w:rsidP="000651BC">
            <w:pPr>
              <w:autoSpaceDE w:val="0"/>
              <w:autoSpaceDN w:val="0"/>
              <w:adjustRightInd w:val="0"/>
              <w:spacing w:line="240" w:lineRule="auto"/>
              <w:jc w:val="left"/>
              <w:rPr>
                <w:rFonts w:cs="Arial"/>
                <w:sz w:val="18"/>
                <w:szCs w:val="18"/>
              </w:rPr>
            </w:pPr>
            <w:r w:rsidRPr="003703F5">
              <w:rPr>
                <w:rFonts w:cs="Arial"/>
                <w:sz w:val="18"/>
                <w:szCs w:val="18"/>
              </w:rPr>
              <w:t>Profit rate</w:t>
            </w:r>
          </w:p>
        </w:tc>
        <w:tc>
          <w:tcPr>
            <w:tcW w:w="1134" w:type="dxa"/>
          </w:tcPr>
          <w:p w14:paraId="06EEFFF9" w14:textId="3014DEC9" w:rsidR="000651BC" w:rsidRPr="003703F5" w:rsidRDefault="000651BC" w:rsidP="000651BC">
            <w:pPr>
              <w:autoSpaceDE w:val="0"/>
              <w:autoSpaceDN w:val="0"/>
              <w:adjustRightInd w:val="0"/>
              <w:spacing w:line="240" w:lineRule="auto"/>
              <w:jc w:val="center"/>
              <w:rPr>
                <w:rFonts w:cs="Arial"/>
                <w:color w:val="000000"/>
                <w:sz w:val="18"/>
                <w:szCs w:val="18"/>
              </w:rPr>
            </w:pPr>
            <w:r w:rsidRPr="003703F5">
              <w:rPr>
                <w:color w:val="000000"/>
                <w:sz w:val="18"/>
                <w:szCs w:val="18"/>
              </w:rPr>
              <w:t>46.0</w:t>
            </w:r>
          </w:p>
        </w:tc>
        <w:tc>
          <w:tcPr>
            <w:tcW w:w="1221" w:type="dxa"/>
          </w:tcPr>
          <w:p w14:paraId="19DEA955" w14:textId="684BAD07" w:rsidR="000651BC" w:rsidRPr="003703F5" w:rsidRDefault="000651BC" w:rsidP="000651BC">
            <w:pPr>
              <w:autoSpaceDE w:val="0"/>
              <w:autoSpaceDN w:val="0"/>
              <w:adjustRightInd w:val="0"/>
              <w:spacing w:line="240" w:lineRule="auto"/>
              <w:jc w:val="center"/>
              <w:rPr>
                <w:rFonts w:cs="Arial"/>
                <w:color w:val="000000"/>
                <w:sz w:val="18"/>
                <w:szCs w:val="18"/>
              </w:rPr>
            </w:pPr>
            <w:r w:rsidRPr="003703F5">
              <w:rPr>
                <w:color w:val="000000"/>
                <w:sz w:val="18"/>
                <w:szCs w:val="18"/>
              </w:rPr>
              <w:t>46.0</w:t>
            </w:r>
          </w:p>
        </w:tc>
        <w:tc>
          <w:tcPr>
            <w:tcW w:w="1293" w:type="dxa"/>
          </w:tcPr>
          <w:p w14:paraId="0E12EC5C" w14:textId="472BA2C1" w:rsidR="000651BC" w:rsidRPr="003703F5" w:rsidRDefault="000651BC" w:rsidP="000651BC">
            <w:pPr>
              <w:autoSpaceDE w:val="0"/>
              <w:autoSpaceDN w:val="0"/>
              <w:adjustRightInd w:val="0"/>
              <w:spacing w:line="240" w:lineRule="auto"/>
              <w:jc w:val="center"/>
              <w:rPr>
                <w:rFonts w:cs="Arial"/>
                <w:color w:val="000000"/>
                <w:sz w:val="18"/>
                <w:szCs w:val="18"/>
              </w:rPr>
            </w:pPr>
            <w:r w:rsidRPr="003703F5">
              <w:rPr>
                <w:color w:val="000000"/>
                <w:sz w:val="18"/>
                <w:szCs w:val="18"/>
              </w:rPr>
              <w:t>45.2</w:t>
            </w:r>
          </w:p>
        </w:tc>
        <w:tc>
          <w:tcPr>
            <w:tcW w:w="1293" w:type="dxa"/>
          </w:tcPr>
          <w:p w14:paraId="07024E08" w14:textId="70A01F23" w:rsidR="000651BC" w:rsidRPr="003703F5" w:rsidRDefault="000651BC" w:rsidP="000651BC">
            <w:pPr>
              <w:autoSpaceDE w:val="0"/>
              <w:autoSpaceDN w:val="0"/>
              <w:adjustRightInd w:val="0"/>
              <w:spacing w:line="240" w:lineRule="auto"/>
              <w:jc w:val="center"/>
              <w:rPr>
                <w:rFonts w:cs="Arial"/>
                <w:b/>
                <w:color w:val="000000"/>
                <w:sz w:val="18"/>
                <w:szCs w:val="18"/>
              </w:rPr>
            </w:pPr>
            <w:r w:rsidRPr="003703F5">
              <w:rPr>
                <w:b/>
                <w:color w:val="000000"/>
                <w:sz w:val="18"/>
                <w:szCs w:val="18"/>
              </w:rPr>
              <w:t>44.3</w:t>
            </w:r>
          </w:p>
        </w:tc>
        <w:tc>
          <w:tcPr>
            <w:tcW w:w="1154" w:type="dxa"/>
            <w:shd w:val="clear" w:color="auto" w:fill="DBE5F1"/>
            <w:vAlign w:val="center"/>
          </w:tcPr>
          <w:p w14:paraId="7E783CC1" w14:textId="0DFDCC77" w:rsidR="000651BC" w:rsidRPr="003703F5" w:rsidRDefault="000651BC" w:rsidP="000651BC">
            <w:pPr>
              <w:autoSpaceDE w:val="0"/>
              <w:autoSpaceDN w:val="0"/>
              <w:adjustRightInd w:val="0"/>
              <w:spacing w:line="240" w:lineRule="auto"/>
              <w:jc w:val="center"/>
              <w:rPr>
                <w:rFonts w:cs="Arial"/>
                <w:b/>
                <w:color w:val="000000"/>
                <w:sz w:val="18"/>
                <w:szCs w:val="18"/>
              </w:rPr>
            </w:pPr>
            <w:r w:rsidRPr="003703F5">
              <w:rPr>
                <w:rFonts w:cs="Arial"/>
                <w:b/>
                <w:color w:val="000000"/>
                <w:sz w:val="18"/>
                <w:szCs w:val="18"/>
              </w:rPr>
              <w:t>45.4</w:t>
            </w:r>
          </w:p>
        </w:tc>
      </w:tr>
      <w:tr w:rsidR="000651BC" w:rsidRPr="003703F5" w14:paraId="3B92AB34" w14:textId="77777777" w:rsidTr="009207F3">
        <w:tc>
          <w:tcPr>
            <w:tcW w:w="2410" w:type="dxa"/>
            <w:shd w:val="clear" w:color="auto" w:fill="auto"/>
            <w:vAlign w:val="center"/>
          </w:tcPr>
          <w:p w14:paraId="054E615A" w14:textId="77777777" w:rsidR="000651BC" w:rsidRPr="003703F5" w:rsidRDefault="000651BC" w:rsidP="000651BC">
            <w:pPr>
              <w:autoSpaceDE w:val="0"/>
              <w:autoSpaceDN w:val="0"/>
              <w:adjustRightInd w:val="0"/>
              <w:spacing w:line="240" w:lineRule="auto"/>
              <w:jc w:val="left"/>
              <w:rPr>
                <w:rFonts w:cs="Arial"/>
                <w:sz w:val="18"/>
                <w:szCs w:val="18"/>
              </w:rPr>
            </w:pPr>
            <w:r w:rsidRPr="003703F5">
              <w:rPr>
                <w:rFonts w:cs="Arial"/>
                <w:sz w:val="18"/>
                <w:szCs w:val="18"/>
              </w:rPr>
              <w:t>Investment rate</w:t>
            </w:r>
          </w:p>
        </w:tc>
        <w:tc>
          <w:tcPr>
            <w:tcW w:w="1134" w:type="dxa"/>
          </w:tcPr>
          <w:p w14:paraId="2AF96A66" w14:textId="4F54F6EF" w:rsidR="000651BC" w:rsidRPr="003703F5" w:rsidRDefault="000651BC" w:rsidP="000651BC">
            <w:pPr>
              <w:autoSpaceDE w:val="0"/>
              <w:autoSpaceDN w:val="0"/>
              <w:adjustRightInd w:val="0"/>
              <w:spacing w:line="240" w:lineRule="auto"/>
              <w:jc w:val="center"/>
              <w:rPr>
                <w:rFonts w:cs="Arial"/>
                <w:color w:val="000000"/>
                <w:sz w:val="18"/>
                <w:szCs w:val="18"/>
              </w:rPr>
            </w:pPr>
            <w:r w:rsidRPr="003703F5">
              <w:rPr>
                <w:color w:val="000000"/>
                <w:sz w:val="18"/>
                <w:szCs w:val="18"/>
              </w:rPr>
              <w:t>25.9</w:t>
            </w:r>
          </w:p>
        </w:tc>
        <w:tc>
          <w:tcPr>
            <w:tcW w:w="1221" w:type="dxa"/>
          </w:tcPr>
          <w:p w14:paraId="3D73A771" w14:textId="516A6424" w:rsidR="000651BC" w:rsidRPr="003703F5" w:rsidRDefault="000651BC" w:rsidP="000651BC">
            <w:pPr>
              <w:autoSpaceDE w:val="0"/>
              <w:autoSpaceDN w:val="0"/>
              <w:adjustRightInd w:val="0"/>
              <w:spacing w:line="240" w:lineRule="auto"/>
              <w:jc w:val="center"/>
              <w:rPr>
                <w:rFonts w:cs="Arial"/>
                <w:color w:val="000000"/>
                <w:sz w:val="18"/>
                <w:szCs w:val="18"/>
              </w:rPr>
            </w:pPr>
            <w:r w:rsidRPr="003703F5">
              <w:rPr>
                <w:color w:val="000000"/>
                <w:sz w:val="18"/>
                <w:szCs w:val="18"/>
              </w:rPr>
              <w:t>26.3</w:t>
            </w:r>
          </w:p>
        </w:tc>
        <w:tc>
          <w:tcPr>
            <w:tcW w:w="1293" w:type="dxa"/>
          </w:tcPr>
          <w:p w14:paraId="18EB7278" w14:textId="584F9CBB" w:rsidR="000651BC" w:rsidRPr="003703F5" w:rsidRDefault="000651BC" w:rsidP="000651BC">
            <w:pPr>
              <w:autoSpaceDE w:val="0"/>
              <w:autoSpaceDN w:val="0"/>
              <w:adjustRightInd w:val="0"/>
              <w:spacing w:line="240" w:lineRule="auto"/>
              <w:jc w:val="center"/>
              <w:rPr>
                <w:rFonts w:cs="Arial"/>
                <w:color w:val="000000"/>
                <w:sz w:val="18"/>
                <w:szCs w:val="18"/>
              </w:rPr>
            </w:pPr>
            <w:r w:rsidRPr="003703F5">
              <w:rPr>
                <w:color w:val="000000"/>
                <w:sz w:val="18"/>
                <w:szCs w:val="18"/>
              </w:rPr>
              <w:t>26.9</w:t>
            </w:r>
          </w:p>
        </w:tc>
        <w:tc>
          <w:tcPr>
            <w:tcW w:w="1293" w:type="dxa"/>
          </w:tcPr>
          <w:p w14:paraId="1B9325F6" w14:textId="1C820BEF" w:rsidR="000651BC" w:rsidRPr="003703F5" w:rsidRDefault="000651BC" w:rsidP="000651BC">
            <w:pPr>
              <w:autoSpaceDE w:val="0"/>
              <w:autoSpaceDN w:val="0"/>
              <w:adjustRightInd w:val="0"/>
              <w:spacing w:line="240" w:lineRule="auto"/>
              <w:jc w:val="center"/>
              <w:rPr>
                <w:rFonts w:cs="Arial"/>
                <w:b/>
                <w:color w:val="000000"/>
                <w:sz w:val="18"/>
                <w:szCs w:val="18"/>
              </w:rPr>
            </w:pPr>
            <w:r w:rsidRPr="003703F5">
              <w:rPr>
                <w:b/>
                <w:color w:val="000000"/>
                <w:sz w:val="18"/>
                <w:szCs w:val="18"/>
              </w:rPr>
              <w:t>26.9</w:t>
            </w:r>
          </w:p>
        </w:tc>
        <w:tc>
          <w:tcPr>
            <w:tcW w:w="1154" w:type="dxa"/>
            <w:shd w:val="clear" w:color="auto" w:fill="DBE5F1"/>
            <w:vAlign w:val="center"/>
          </w:tcPr>
          <w:p w14:paraId="772402F7" w14:textId="12CEEC6C" w:rsidR="000651BC" w:rsidRPr="003703F5" w:rsidRDefault="000651BC" w:rsidP="000651BC">
            <w:pPr>
              <w:autoSpaceDE w:val="0"/>
              <w:autoSpaceDN w:val="0"/>
              <w:adjustRightInd w:val="0"/>
              <w:spacing w:line="240" w:lineRule="auto"/>
              <w:jc w:val="center"/>
              <w:rPr>
                <w:rFonts w:cs="Arial"/>
                <w:b/>
                <w:color w:val="000000"/>
                <w:sz w:val="18"/>
                <w:szCs w:val="18"/>
              </w:rPr>
            </w:pPr>
            <w:r w:rsidRPr="003703F5">
              <w:rPr>
                <w:rFonts w:cs="Arial"/>
                <w:b/>
                <w:color w:val="000000"/>
                <w:sz w:val="18"/>
                <w:szCs w:val="18"/>
              </w:rPr>
              <w:t>26.5</w:t>
            </w:r>
          </w:p>
        </w:tc>
      </w:tr>
    </w:tbl>
    <w:p w14:paraId="04BEABE8" w14:textId="77777777" w:rsidR="003633C6" w:rsidRPr="003703F5" w:rsidRDefault="003633C6" w:rsidP="003633C6"/>
    <w:p w14:paraId="21D597BC" w14:textId="3DEF59CF" w:rsidR="003633C6" w:rsidRPr="003703F5" w:rsidRDefault="003633C6" w:rsidP="003633C6">
      <w:pPr>
        <w:pStyle w:val="Perex"/>
        <w:spacing w:after="0"/>
      </w:pPr>
      <w:r w:rsidRPr="003703F5">
        <w:t>Households: bot</w:t>
      </w:r>
      <w:r w:rsidR="00C636CB" w:rsidRPr="003703F5">
        <w:t xml:space="preserve">h </w:t>
      </w:r>
      <w:r w:rsidR="00C01C52">
        <w:t xml:space="preserve">the </w:t>
      </w:r>
      <w:r w:rsidR="00C636CB" w:rsidRPr="003703F5">
        <w:t>real income and consumption in</w:t>
      </w:r>
      <w:r w:rsidRPr="003703F5">
        <w:t xml:space="preserve">creased </w:t>
      </w:r>
    </w:p>
    <w:p w14:paraId="1A2AC078" w14:textId="5CFAE1DD" w:rsidR="003633C6" w:rsidRPr="003703F5" w:rsidRDefault="003633C6" w:rsidP="003633C6">
      <w:pPr>
        <w:pStyle w:val="Perex"/>
        <w:spacing w:after="120"/>
        <w:rPr>
          <w:b w:val="0"/>
        </w:rPr>
      </w:pPr>
      <w:r w:rsidRPr="003703F5">
        <w:rPr>
          <w:b w:val="0"/>
        </w:rPr>
        <w:t>The hou</w:t>
      </w:r>
      <w:r w:rsidR="00C636CB" w:rsidRPr="003703F5">
        <w:rPr>
          <w:b w:val="0"/>
        </w:rPr>
        <w:t>sehold real income per capita increased by 1.5% compared to that of 2023</w:t>
      </w:r>
      <w:r w:rsidRPr="003703F5">
        <w:rPr>
          <w:b w:val="0"/>
        </w:rPr>
        <w:t xml:space="preserve"> and the househol</w:t>
      </w:r>
      <w:r w:rsidR="00C636CB" w:rsidRPr="003703F5">
        <w:rPr>
          <w:b w:val="0"/>
        </w:rPr>
        <w:t>d real consumption per capita increased by 2.4</w:t>
      </w:r>
      <w:r w:rsidRPr="003703F5">
        <w:rPr>
          <w:b w:val="0"/>
        </w:rPr>
        <w:t>%.</w:t>
      </w:r>
    </w:p>
    <w:p w14:paraId="752685C5" w14:textId="77777777" w:rsidR="003633C6" w:rsidRPr="003703F5" w:rsidRDefault="003633C6" w:rsidP="003633C6"/>
    <w:p w14:paraId="61E6D006" w14:textId="77777777" w:rsidR="003633C6" w:rsidRPr="003703F5" w:rsidRDefault="003633C6" w:rsidP="003633C6">
      <w:r w:rsidRPr="003703F5">
        <w:rPr>
          <w:b/>
        </w:rPr>
        <w:t>Household real income and expenditure</w:t>
      </w:r>
      <w:r w:rsidRPr="003703F5">
        <w:t>, y-o-y change (%)</w:t>
      </w:r>
      <w:r w:rsidRPr="003703F5">
        <w:rPr>
          <w:rFonts w:eastAsia="Times New Roman"/>
          <w:bCs/>
          <w:color w:val="000000"/>
          <w:szCs w:val="28"/>
          <w:vertAlign w:val="superscript"/>
        </w:rPr>
        <w:t>1</w:t>
      </w:r>
    </w:p>
    <w:tbl>
      <w:tblPr>
        <w:tblW w:w="850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64"/>
        <w:gridCol w:w="1134"/>
        <w:gridCol w:w="1134"/>
        <w:gridCol w:w="1134"/>
        <w:gridCol w:w="1085"/>
        <w:gridCol w:w="1154"/>
      </w:tblGrid>
      <w:tr w:rsidR="003633C6" w:rsidRPr="003703F5" w14:paraId="2884DBD8" w14:textId="77777777" w:rsidTr="009207F3">
        <w:tc>
          <w:tcPr>
            <w:tcW w:w="2864" w:type="dxa"/>
            <w:shd w:val="clear" w:color="auto" w:fill="DBE5F1"/>
            <w:vAlign w:val="center"/>
          </w:tcPr>
          <w:p w14:paraId="6EC760F3" w14:textId="77777777" w:rsidR="003633C6" w:rsidRPr="003703F5" w:rsidRDefault="003633C6" w:rsidP="009207F3">
            <w:pPr>
              <w:autoSpaceDE w:val="0"/>
              <w:autoSpaceDN w:val="0"/>
              <w:adjustRightInd w:val="0"/>
              <w:ind w:firstLine="34"/>
              <w:jc w:val="left"/>
              <w:rPr>
                <w:rFonts w:cs="Arial"/>
                <w:color w:val="000000"/>
                <w:sz w:val="18"/>
                <w:szCs w:val="18"/>
              </w:rPr>
            </w:pPr>
          </w:p>
        </w:tc>
        <w:tc>
          <w:tcPr>
            <w:tcW w:w="1134" w:type="dxa"/>
            <w:shd w:val="clear" w:color="auto" w:fill="DBE5F1"/>
            <w:vAlign w:val="center"/>
          </w:tcPr>
          <w:p w14:paraId="71DF4442" w14:textId="77777777" w:rsidR="003633C6" w:rsidRPr="003703F5" w:rsidRDefault="003633C6" w:rsidP="009207F3">
            <w:pPr>
              <w:autoSpaceDE w:val="0"/>
              <w:autoSpaceDN w:val="0"/>
              <w:adjustRightInd w:val="0"/>
              <w:spacing w:line="240" w:lineRule="auto"/>
              <w:jc w:val="center"/>
              <w:rPr>
                <w:rFonts w:cs="Arial"/>
                <w:sz w:val="18"/>
                <w:szCs w:val="18"/>
              </w:rPr>
            </w:pPr>
            <w:r w:rsidRPr="003703F5">
              <w:rPr>
                <w:rFonts w:cs="Arial"/>
                <w:sz w:val="18"/>
                <w:szCs w:val="18"/>
              </w:rPr>
              <w:t>Q1</w:t>
            </w:r>
          </w:p>
        </w:tc>
        <w:tc>
          <w:tcPr>
            <w:tcW w:w="1134" w:type="dxa"/>
            <w:shd w:val="clear" w:color="auto" w:fill="DBE5F1"/>
            <w:vAlign w:val="center"/>
          </w:tcPr>
          <w:p w14:paraId="1D4A8D18" w14:textId="77777777" w:rsidR="003633C6" w:rsidRPr="003703F5" w:rsidRDefault="003633C6" w:rsidP="009207F3">
            <w:pPr>
              <w:autoSpaceDE w:val="0"/>
              <w:autoSpaceDN w:val="0"/>
              <w:adjustRightInd w:val="0"/>
              <w:spacing w:line="240" w:lineRule="auto"/>
              <w:jc w:val="center"/>
              <w:rPr>
                <w:rFonts w:cs="Arial"/>
                <w:sz w:val="18"/>
                <w:szCs w:val="18"/>
              </w:rPr>
            </w:pPr>
            <w:r w:rsidRPr="003703F5">
              <w:rPr>
                <w:rFonts w:cs="Arial"/>
                <w:sz w:val="18"/>
                <w:szCs w:val="18"/>
              </w:rPr>
              <w:t>Q2</w:t>
            </w:r>
          </w:p>
        </w:tc>
        <w:tc>
          <w:tcPr>
            <w:tcW w:w="1134" w:type="dxa"/>
            <w:shd w:val="clear" w:color="auto" w:fill="DBE5F1"/>
            <w:vAlign w:val="center"/>
          </w:tcPr>
          <w:p w14:paraId="50138199" w14:textId="77777777" w:rsidR="003633C6" w:rsidRPr="003703F5" w:rsidRDefault="003633C6" w:rsidP="009207F3">
            <w:pPr>
              <w:autoSpaceDE w:val="0"/>
              <w:autoSpaceDN w:val="0"/>
              <w:adjustRightInd w:val="0"/>
              <w:spacing w:line="240" w:lineRule="auto"/>
              <w:jc w:val="center"/>
              <w:rPr>
                <w:rFonts w:cs="Arial"/>
                <w:sz w:val="18"/>
                <w:szCs w:val="18"/>
              </w:rPr>
            </w:pPr>
            <w:r w:rsidRPr="003703F5">
              <w:rPr>
                <w:rFonts w:cs="Arial"/>
                <w:sz w:val="18"/>
                <w:szCs w:val="18"/>
              </w:rPr>
              <w:t>Q3</w:t>
            </w:r>
          </w:p>
        </w:tc>
        <w:tc>
          <w:tcPr>
            <w:tcW w:w="1085" w:type="dxa"/>
            <w:shd w:val="clear" w:color="auto" w:fill="DBE5F1"/>
            <w:vAlign w:val="center"/>
          </w:tcPr>
          <w:p w14:paraId="175FA70C" w14:textId="77777777" w:rsidR="003633C6" w:rsidRPr="003703F5" w:rsidRDefault="003633C6" w:rsidP="009207F3">
            <w:pPr>
              <w:autoSpaceDE w:val="0"/>
              <w:autoSpaceDN w:val="0"/>
              <w:adjustRightInd w:val="0"/>
              <w:spacing w:line="240" w:lineRule="auto"/>
              <w:jc w:val="center"/>
              <w:rPr>
                <w:rFonts w:cs="Arial"/>
                <w:b/>
                <w:sz w:val="18"/>
                <w:szCs w:val="18"/>
              </w:rPr>
            </w:pPr>
            <w:r w:rsidRPr="003703F5">
              <w:rPr>
                <w:rFonts w:cs="Arial"/>
                <w:b/>
                <w:sz w:val="18"/>
                <w:szCs w:val="18"/>
              </w:rPr>
              <w:t>Q4</w:t>
            </w:r>
          </w:p>
        </w:tc>
        <w:tc>
          <w:tcPr>
            <w:tcW w:w="1154" w:type="dxa"/>
            <w:shd w:val="clear" w:color="auto" w:fill="DBE5F1"/>
            <w:vAlign w:val="center"/>
          </w:tcPr>
          <w:p w14:paraId="4B983061" w14:textId="1A01103D" w:rsidR="003633C6" w:rsidRPr="003703F5" w:rsidRDefault="003633C6" w:rsidP="009207F3">
            <w:pPr>
              <w:autoSpaceDE w:val="0"/>
              <w:autoSpaceDN w:val="0"/>
              <w:adjustRightInd w:val="0"/>
              <w:spacing w:line="240" w:lineRule="auto"/>
              <w:jc w:val="center"/>
              <w:rPr>
                <w:rFonts w:cs="Arial"/>
                <w:b/>
                <w:sz w:val="18"/>
                <w:szCs w:val="18"/>
              </w:rPr>
            </w:pPr>
            <w:r w:rsidRPr="003703F5">
              <w:rPr>
                <w:rFonts w:cs="Arial"/>
                <w:b/>
                <w:sz w:val="18"/>
                <w:szCs w:val="18"/>
              </w:rPr>
              <w:t xml:space="preserve">Year </w:t>
            </w:r>
            <w:r w:rsidR="001F1522" w:rsidRPr="003703F5">
              <w:rPr>
                <w:rFonts w:cs="Arial"/>
                <w:b/>
                <w:sz w:val="18"/>
                <w:szCs w:val="18"/>
              </w:rPr>
              <w:t>2024</w:t>
            </w:r>
          </w:p>
        </w:tc>
      </w:tr>
      <w:tr w:rsidR="006D7742" w:rsidRPr="003703F5" w14:paraId="396F0241" w14:textId="77777777" w:rsidTr="009207F3">
        <w:tc>
          <w:tcPr>
            <w:tcW w:w="2864" w:type="dxa"/>
            <w:shd w:val="clear" w:color="auto" w:fill="auto"/>
            <w:vAlign w:val="center"/>
          </w:tcPr>
          <w:p w14:paraId="0BF2C8CF" w14:textId="77777777" w:rsidR="006D7742" w:rsidRPr="003703F5" w:rsidRDefault="006D7742" w:rsidP="006D7742">
            <w:pPr>
              <w:autoSpaceDE w:val="0"/>
              <w:autoSpaceDN w:val="0"/>
              <w:adjustRightInd w:val="0"/>
              <w:spacing w:line="240" w:lineRule="auto"/>
              <w:ind w:firstLine="34"/>
              <w:jc w:val="left"/>
              <w:rPr>
                <w:rFonts w:cs="Arial"/>
                <w:color w:val="000000"/>
                <w:sz w:val="18"/>
                <w:szCs w:val="18"/>
              </w:rPr>
            </w:pPr>
            <w:r w:rsidRPr="003703F5">
              <w:rPr>
                <w:rFonts w:cs="Arial"/>
                <w:sz w:val="18"/>
                <w:szCs w:val="18"/>
              </w:rPr>
              <w:t>Real income</w:t>
            </w:r>
          </w:p>
        </w:tc>
        <w:tc>
          <w:tcPr>
            <w:tcW w:w="1134" w:type="dxa"/>
          </w:tcPr>
          <w:p w14:paraId="7C0E70C8" w14:textId="72CF7093" w:rsidR="006D7742" w:rsidRPr="003703F5" w:rsidRDefault="006D7742" w:rsidP="006D7742">
            <w:pPr>
              <w:autoSpaceDE w:val="0"/>
              <w:autoSpaceDN w:val="0"/>
              <w:adjustRightInd w:val="0"/>
              <w:spacing w:line="240" w:lineRule="auto"/>
              <w:jc w:val="center"/>
              <w:rPr>
                <w:rFonts w:cs="Arial"/>
                <w:color w:val="000000"/>
                <w:sz w:val="18"/>
                <w:szCs w:val="18"/>
              </w:rPr>
            </w:pPr>
            <w:r w:rsidRPr="003703F5">
              <w:rPr>
                <w:color w:val="000000"/>
                <w:sz w:val="18"/>
                <w:szCs w:val="18"/>
              </w:rPr>
              <w:t>+0.6</w:t>
            </w:r>
          </w:p>
        </w:tc>
        <w:tc>
          <w:tcPr>
            <w:tcW w:w="1134" w:type="dxa"/>
          </w:tcPr>
          <w:p w14:paraId="5109A2B7" w14:textId="5E20DB2E" w:rsidR="006D7742" w:rsidRPr="003703F5" w:rsidRDefault="006D7742" w:rsidP="006D7742">
            <w:pPr>
              <w:autoSpaceDE w:val="0"/>
              <w:autoSpaceDN w:val="0"/>
              <w:adjustRightInd w:val="0"/>
              <w:spacing w:line="240" w:lineRule="auto"/>
              <w:jc w:val="center"/>
              <w:rPr>
                <w:rFonts w:cs="Arial"/>
                <w:color w:val="000000"/>
                <w:sz w:val="18"/>
                <w:szCs w:val="18"/>
              </w:rPr>
            </w:pPr>
            <w:r w:rsidRPr="003703F5">
              <w:rPr>
                <w:rFonts w:cs="Arial"/>
                <w:color w:val="000000"/>
                <w:sz w:val="18"/>
                <w:szCs w:val="18"/>
              </w:rPr>
              <w:t>+0.6</w:t>
            </w:r>
          </w:p>
        </w:tc>
        <w:tc>
          <w:tcPr>
            <w:tcW w:w="1134" w:type="dxa"/>
          </w:tcPr>
          <w:p w14:paraId="79B41C45" w14:textId="273601B2" w:rsidR="006D7742" w:rsidRPr="003703F5" w:rsidRDefault="006D7742" w:rsidP="006D7742">
            <w:pPr>
              <w:autoSpaceDE w:val="0"/>
              <w:autoSpaceDN w:val="0"/>
              <w:adjustRightInd w:val="0"/>
              <w:spacing w:line="240" w:lineRule="auto"/>
              <w:jc w:val="center"/>
              <w:rPr>
                <w:rFonts w:cs="Arial"/>
                <w:color w:val="000000"/>
                <w:sz w:val="18"/>
                <w:szCs w:val="18"/>
              </w:rPr>
            </w:pPr>
            <w:r w:rsidRPr="003703F5">
              <w:rPr>
                <w:color w:val="000000"/>
                <w:sz w:val="18"/>
                <w:szCs w:val="18"/>
              </w:rPr>
              <w:t>+2.6</w:t>
            </w:r>
          </w:p>
        </w:tc>
        <w:tc>
          <w:tcPr>
            <w:tcW w:w="1085" w:type="dxa"/>
          </w:tcPr>
          <w:p w14:paraId="0DAD8273" w14:textId="533DC603" w:rsidR="006D7742" w:rsidRPr="003703F5" w:rsidRDefault="006D7742" w:rsidP="006D7742">
            <w:pPr>
              <w:autoSpaceDE w:val="0"/>
              <w:autoSpaceDN w:val="0"/>
              <w:adjustRightInd w:val="0"/>
              <w:spacing w:line="240" w:lineRule="auto"/>
              <w:jc w:val="center"/>
              <w:rPr>
                <w:rFonts w:cs="Arial"/>
                <w:b/>
                <w:color w:val="000000"/>
                <w:sz w:val="18"/>
                <w:szCs w:val="18"/>
              </w:rPr>
            </w:pPr>
            <w:r w:rsidRPr="003703F5">
              <w:rPr>
                <w:b/>
                <w:color w:val="000000"/>
                <w:sz w:val="18"/>
                <w:szCs w:val="18"/>
              </w:rPr>
              <w:t>+1.8</w:t>
            </w:r>
          </w:p>
        </w:tc>
        <w:tc>
          <w:tcPr>
            <w:tcW w:w="1154" w:type="dxa"/>
            <w:shd w:val="clear" w:color="auto" w:fill="DBE5F1"/>
            <w:vAlign w:val="center"/>
          </w:tcPr>
          <w:p w14:paraId="54722129" w14:textId="6DDC2156" w:rsidR="006D7742" w:rsidRPr="003703F5" w:rsidRDefault="006D7742" w:rsidP="006D7742">
            <w:pPr>
              <w:autoSpaceDE w:val="0"/>
              <w:autoSpaceDN w:val="0"/>
              <w:adjustRightInd w:val="0"/>
              <w:spacing w:line="240" w:lineRule="auto"/>
              <w:jc w:val="center"/>
              <w:rPr>
                <w:rFonts w:cs="Arial"/>
                <w:b/>
                <w:color w:val="000000"/>
                <w:sz w:val="18"/>
                <w:szCs w:val="18"/>
              </w:rPr>
            </w:pPr>
            <w:r w:rsidRPr="003703F5">
              <w:rPr>
                <w:rFonts w:cs="Arial"/>
                <w:b/>
                <w:color w:val="000000"/>
                <w:sz w:val="18"/>
                <w:szCs w:val="18"/>
              </w:rPr>
              <w:t>+1.5</w:t>
            </w:r>
          </w:p>
        </w:tc>
      </w:tr>
      <w:tr w:rsidR="006D7742" w:rsidRPr="003703F5" w14:paraId="4C0D9C23" w14:textId="77777777" w:rsidTr="009207F3">
        <w:tc>
          <w:tcPr>
            <w:tcW w:w="2864" w:type="dxa"/>
            <w:shd w:val="clear" w:color="auto" w:fill="auto"/>
            <w:vAlign w:val="center"/>
          </w:tcPr>
          <w:p w14:paraId="72B641B7" w14:textId="77777777" w:rsidR="006D7742" w:rsidRPr="003703F5" w:rsidRDefault="006D7742" w:rsidP="006D7742">
            <w:pPr>
              <w:autoSpaceDE w:val="0"/>
              <w:autoSpaceDN w:val="0"/>
              <w:adjustRightInd w:val="0"/>
              <w:spacing w:line="240" w:lineRule="auto"/>
              <w:ind w:firstLine="34"/>
              <w:jc w:val="left"/>
              <w:rPr>
                <w:rFonts w:cs="Arial"/>
                <w:color w:val="000000"/>
                <w:sz w:val="18"/>
                <w:szCs w:val="18"/>
              </w:rPr>
            </w:pPr>
            <w:r w:rsidRPr="003703F5">
              <w:rPr>
                <w:rFonts w:cs="Arial"/>
                <w:sz w:val="18"/>
                <w:szCs w:val="18"/>
              </w:rPr>
              <w:t>Real consumption (expenditure)</w:t>
            </w:r>
          </w:p>
        </w:tc>
        <w:tc>
          <w:tcPr>
            <w:tcW w:w="1134" w:type="dxa"/>
          </w:tcPr>
          <w:p w14:paraId="5503FBF8" w14:textId="36E3FEED" w:rsidR="006D7742" w:rsidRPr="003703F5" w:rsidRDefault="006D7742" w:rsidP="006D7742">
            <w:pPr>
              <w:autoSpaceDE w:val="0"/>
              <w:autoSpaceDN w:val="0"/>
              <w:adjustRightInd w:val="0"/>
              <w:spacing w:line="240" w:lineRule="auto"/>
              <w:jc w:val="center"/>
              <w:rPr>
                <w:rFonts w:cs="Arial"/>
                <w:color w:val="000000"/>
                <w:sz w:val="18"/>
                <w:szCs w:val="18"/>
              </w:rPr>
            </w:pPr>
            <w:r w:rsidRPr="003703F5">
              <w:rPr>
                <w:color w:val="000000"/>
                <w:sz w:val="18"/>
                <w:szCs w:val="18"/>
              </w:rPr>
              <w:t>+1.1</w:t>
            </w:r>
          </w:p>
        </w:tc>
        <w:tc>
          <w:tcPr>
            <w:tcW w:w="1134" w:type="dxa"/>
          </w:tcPr>
          <w:p w14:paraId="14E647EA" w14:textId="684907BB" w:rsidR="006D7742" w:rsidRPr="003703F5" w:rsidRDefault="006D7742" w:rsidP="006D7742">
            <w:pPr>
              <w:autoSpaceDE w:val="0"/>
              <w:autoSpaceDN w:val="0"/>
              <w:adjustRightInd w:val="0"/>
              <w:spacing w:line="240" w:lineRule="auto"/>
              <w:jc w:val="center"/>
              <w:rPr>
                <w:rFonts w:cs="Arial"/>
                <w:color w:val="000000"/>
                <w:sz w:val="18"/>
                <w:szCs w:val="18"/>
              </w:rPr>
            </w:pPr>
            <w:r w:rsidRPr="003703F5">
              <w:rPr>
                <w:color w:val="000000"/>
                <w:sz w:val="18"/>
                <w:szCs w:val="18"/>
              </w:rPr>
              <w:t>+1.8</w:t>
            </w:r>
          </w:p>
        </w:tc>
        <w:tc>
          <w:tcPr>
            <w:tcW w:w="1134" w:type="dxa"/>
          </w:tcPr>
          <w:p w14:paraId="6161A848" w14:textId="54C85EA5" w:rsidR="006D7742" w:rsidRPr="003703F5" w:rsidRDefault="006D7742" w:rsidP="006D7742">
            <w:pPr>
              <w:autoSpaceDE w:val="0"/>
              <w:autoSpaceDN w:val="0"/>
              <w:adjustRightInd w:val="0"/>
              <w:spacing w:line="240" w:lineRule="auto"/>
              <w:jc w:val="center"/>
              <w:rPr>
                <w:rFonts w:cs="Arial"/>
                <w:color w:val="000000"/>
                <w:sz w:val="18"/>
                <w:szCs w:val="18"/>
              </w:rPr>
            </w:pPr>
            <w:r w:rsidRPr="003703F5">
              <w:rPr>
                <w:color w:val="000000"/>
                <w:sz w:val="18"/>
                <w:szCs w:val="18"/>
              </w:rPr>
              <w:t>+3.3</w:t>
            </w:r>
          </w:p>
        </w:tc>
        <w:tc>
          <w:tcPr>
            <w:tcW w:w="1085" w:type="dxa"/>
          </w:tcPr>
          <w:p w14:paraId="7A81CEE9" w14:textId="040167BA" w:rsidR="006D7742" w:rsidRPr="003703F5" w:rsidRDefault="006D7742" w:rsidP="006D7742">
            <w:pPr>
              <w:autoSpaceDE w:val="0"/>
              <w:autoSpaceDN w:val="0"/>
              <w:adjustRightInd w:val="0"/>
              <w:spacing w:line="240" w:lineRule="auto"/>
              <w:jc w:val="center"/>
              <w:rPr>
                <w:rFonts w:cs="Arial"/>
                <w:b/>
                <w:color w:val="000000"/>
                <w:sz w:val="18"/>
                <w:szCs w:val="18"/>
              </w:rPr>
            </w:pPr>
            <w:r w:rsidRPr="003703F5">
              <w:rPr>
                <w:b/>
                <w:color w:val="000000"/>
                <w:sz w:val="18"/>
                <w:szCs w:val="18"/>
              </w:rPr>
              <w:t>+3.4</w:t>
            </w:r>
          </w:p>
        </w:tc>
        <w:tc>
          <w:tcPr>
            <w:tcW w:w="1154" w:type="dxa"/>
            <w:shd w:val="clear" w:color="auto" w:fill="DBE5F1"/>
            <w:vAlign w:val="center"/>
          </w:tcPr>
          <w:p w14:paraId="60EBAB0B" w14:textId="3D4222DA" w:rsidR="006D7742" w:rsidRPr="003703F5" w:rsidRDefault="006D7742" w:rsidP="006D7742">
            <w:pPr>
              <w:autoSpaceDE w:val="0"/>
              <w:autoSpaceDN w:val="0"/>
              <w:adjustRightInd w:val="0"/>
              <w:spacing w:line="240" w:lineRule="auto"/>
              <w:jc w:val="center"/>
              <w:rPr>
                <w:rFonts w:cs="Arial"/>
                <w:b/>
                <w:color w:val="000000"/>
                <w:sz w:val="18"/>
                <w:szCs w:val="18"/>
              </w:rPr>
            </w:pPr>
            <w:r w:rsidRPr="003703F5">
              <w:rPr>
                <w:rFonts w:cs="Arial"/>
                <w:b/>
                <w:color w:val="000000"/>
                <w:sz w:val="18"/>
                <w:szCs w:val="18"/>
              </w:rPr>
              <w:t>+2.4</w:t>
            </w:r>
          </w:p>
        </w:tc>
      </w:tr>
    </w:tbl>
    <w:p w14:paraId="412BCE12" w14:textId="77777777" w:rsidR="003633C6" w:rsidRPr="003703F5" w:rsidRDefault="003633C6" w:rsidP="003633C6"/>
    <w:p w14:paraId="488D5CD5" w14:textId="772C591E" w:rsidR="003633C6" w:rsidRPr="003703F5" w:rsidRDefault="003633C6" w:rsidP="003633C6">
      <w:pPr>
        <w:rPr>
          <w:rFonts w:eastAsia="Times New Roman"/>
          <w:bCs/>
          <w:szCs w:val="28"/>
        </w:rPr>
      </w:pPr>
      <w:r w:rsidRPr="003703F5">
        <w:rPr>
          <w:rFonts w:eastAsia="Times New Roman"/>
          <w:bCs/>
          <w:szCs w:val="28"/>
        </w:rPr>
        <w:t xml:space="preserve">The </w:t>
      </w:r>
      <w:r w:rsidRPr="003703F5">
        <w:rPr>
          <w:rFonts w:eastAsia="Times New Roman"/>
          <w:b/>
          <w:bCs/>
          <w:i/>
          <w:szCs w:val="28"/>
        </w:rPr>
        <w:t>average monthly income from employment</w:t>
      </w:r>
      <w:r w:rsidRPr="003703F5">
        <w:rPr>
          <w:rFonts w:eastAsia="Times New Roman"/>
          <w:bCs/>
          <w:szCs w:val="28"/>
        </w:rPr>
        <w:t xml:space="preserve"> reached CZK 4</w:t>
      </w:r>
      <w:r w:rsidR="00EC0A2D" w:rsidRPr="003703F5">
        <w:rPr>
          <w:rFonts w:eastAsia="Times New Roman"/>
          <w:bCs/>
          <w:szCs w:val="28"/>
        </w:rPr>
        <w:t>9 067</w:t>
      </w:r>
      <w:r w:rsidRPr="003703F5">
        <w:rPr>
          <w:rFonts w:eastAsia="Times New Roman"/>
          <w:b/>
          <w:bCs/>
          <w:szCs w:val="28"/>
          <w:vertAlign w:val="superscript"/>
        </w:rPr>
        <w:t>1</w:t>
      </w:r>
      <w:r w:rsidRPr="003703F5">
        <w:rPr>
          <w:rFonts w:eastAsia="Times New Roman"/>
          <w:bCs/>
          <w:szCs w:val="28"/>
        </w:rPr>
        <w:t xml:space="preserve"> in </w:t>
      </w:r>
      <w:r w:rsidR="001F1522" w:rsidRPr="003703F5">
        <w:rPr>
          <w:rFonts w:eastAsia="Times New Roman"/>
          <w:bCs/>
          <w:szCs w:val="28"/>
        </w:rPr>
        <w:t>2024</w:t>
      </w:r>
      <w:r w:rsidR="00EC0A2D" w:rsidRPr="003703F5">
        <w:rPr>
          <w:rFonts w:eastAsia="Times New Roman"/>
          <w:bCs/>
          <w:szCs w:val="28"/>
        </w:rPr>
        <w:t xml:space="preserve"> and increased by 3.3</w:t>
      </w:r>
      <w:r w:rsidRPr="003703F5">
        <w:rPr>
          <w:rFonts w:eastAsia="Times New Roman"/>
          <w:bCs/>
          <w:szCs w:val="28"/>
        </w:rPr>
        <w:t>%,</w:t>
      </w:r>
      <w:r w:rsidR="00EC0A2D" w:rsidRPr="003703F5">
        <w:rPr>
          <w:rFonts w:eastAsia="Times New Roman"/>
          <w:bCs/>
          <w:szCs w:val="28"/>
        </w:rPr>
        <w:t xml:space="preserve"> in real terms, compared to 2023</w:t>
      </w:r>
      <w:r w:rsidRPr="003703F5">
        <w:rPr>
          <w:rFonts w:eastAsia="Times New Roman"/>
          <w:bCs/>
          <w:szCs w:val="28"/>
        </w:rPr>
        <w:t xml:space="preserve">. </w:t>
      </w:r>
    </w:p>
    <w:p w14:paraId="722F3E7A" w14:textId="77777777" w:rsidR="003633C6" w:rsidRPr="003703F5" w:rsidRDefault="003633C6" w:rsidP="003633C6">
      <w:pPr>
        <w:rPr>
          <w:rFonts w:eastAsia="Times New Roman"/>
          <w:bCs/>
          <w:szCs w:val="28"/>
        </w:rPr>
      </w:pPr>
    </w:p>
    <w:p w14:paraId="197CCC21" w14:textId="7D22CD1D" w:rsidR="003633C6" w:rsidRPr="003703F5" w:rsidRDefault="003633C6" w:rsidP="003633C6">
      <w:pPr>
        <w:rPr>
          <w:rFonts w:eastAsia="Times New Roman"/>
          <w:b/>
          <w:bCs/>
          <w:szCs w:val="28"/>
          <w:vertAlign w:val="superscript"/>
        </w:rPr>
      </w:pPr>
      <w:r w:rsidRPr="003703F5">
        <w:rPr>
          <w:rFonts w:eastAsia="Times New Roman"/>
          <w:bCs/>
          <w:szCs w:val="28"/>
        </w:rPr>
        <w:t xml:space="preserve">The </w:t>
      </w:r>
      <w:r w:rsidRPr="003703F5">
        <w:rPr>
          <w:rFonts w:eastAsia="Times New Roman"/>
          <w:b/>
          <w:bCs/>
          <w:i/>
          <w:szCs w:val="28"/>
        </w:rPr>
        <w:t>saving rate</w:t>
      </w:r>
      <w:r w:rsidR="000C4DE5" w:rsidRPr="003703F5">
        <w:rPr>
          <w:rFonts w:eastAsia="Times New Roman"/>
          <w:bCs/>
          <w:szCs w:val="28"/>
        </w:rPr>
        <w:t xml:space="preserve"> reached 18.8</w:t>
      </w:r>
      <w:r w:rsidRPr="003703F5">
        <w:rPr>
          <w:rFonts w:eastAsia="Times New Roman"/>
          <w:bCs/>
          <w:szCs w:val="28"/>
        </w:rPr>
        <w:t xml:space="preserve">% in </w:t>
      </w:r>
      <w:r w:rsidR="001F1522" w:rsidRPr="003703F5">
        <w:rPr>
          <w:rFonts w:eastAsia="Times New Roman"/>
          <w:bCs/>
          <w:szCs w:val="28"/>
        </w:rPr>
        <w:t>2024</w:t>
      </w:r>
      <w:r w:rsidR="000C4DE5" w:rsidRPr="003703F5">
        <w:rPr>
          <w:rFonts w:eastAsia="Times New Roman"/>
          <w:bCs/>
          <w:szCs w:val="28"/>
        </w:rPr>
        <w:t xml:space="preserve"> and was by 0.9</w:t>
      </w:r>
      <w:r w:rsidRPr="003703F5">
        <w:rPr>
          <w:rFonts w:eastAsia="Times New Roman"/>
          <w:bCs/>
          <w:szCs w:val="28"/>
        </w:rPr>
        <w:t> p. p.</w:t>
      </w:r>
      <w:r w:rsidRPr="003703F5">
        <w:rPr>
          <w:rFonts w:eastAsia="Times New Roman"/>
          <w:bCs/>
          <w:szCs w:val="28"/>
          <w:vertAlign w:val="superscript"/>
        </w:rPr>
        <w:t>1</w:t>
      </w:r>
      <w:r w:rsidRPr="003703F5">
        <w:rPr>
          <w:rFonts w:eastAsia="Times New Roman"/>
          <w:bCs/>
          <w:szCs w:val="28"/>
        </w:rPr>
        <w:t xml:space="preserve"> </w:t>
      </w:r>
      <w:r w:rsidR="000C4DE5" w:rsidRPr="003703F5">
        <w:rPr>
          <w:rFonts w:eastAsia="Times New Roman"/>
          <w:bCs/>
          <w:szCs w:val="28"/>
        </w:rPr>
        <w:t>lower than in 2023</w:t>
      </w:r>
      <w:r w:rsidRPr="003703F5">
        <w:rPr>
          <w:rFonts w:eastAsia="Times New Roman"/>
          <w:bCs/>
          <w:szCs w:val="28"/>
        </w:rPr>
        <w:t xml:space="preserve">. The </w:t>
      </w:r>
      <w:r w:rsidRPr="003703F5">
        <w:rPr>
          <w:rFonts w:eastAsia="Times New Roman"/>
          <w:b/>
          <w:bCs/>
          <w:i/>
          <w:szCs w:val="28"/>
        </w:rPr>
        <w:t>investment rate</w:t>
      </w:r>
      <w:r w:rsidRPr="003703F5">
        <w:rPr>
          <w:rFonts w:eastAsia="Times New Roman"/>
          <w:bCs/>
          <w:szCs w:val="28"/>
        </w:rPr>
        <w:t xml:space="preserve"> in the household sector reached </w:t>
      </w:r>
      <w:r w:rsidR="000C4DE5" w:rsidRPr="003703F5">
        <w:rPr>
          <w:rFonts w:eastAsia="Times New Roman"/>
          <w:bCs/>
          <w:szCs w:val="28"/>
        </w:rPr>
        <w:t>10.8</w:t>
      </w:r>
      <w:r w:rsidRPr="003703F5">
        <w:rPr>
          <w:rFonts w:eastAsia="Times New Roman"/>
          <w:bCs/>
          <w:szCs w:val="28"/>
        </w:rPr>
        <w:t xml:space="preserve">% in </w:t>
      </w:r>
      <w:r w:rsidR="001F1522" w:rsidRPr="003703F5">
        <w:rPr>
          <w:rFonts w:eastAsia="Times New Roman"/>
          <w:bCs/>
          <w:szCs w:val="28"/>
        </w:rPr>
        <w:t>2024</w:t>
      </w:r>
      <w:r w:rsidRPr="003703F5">
        <w:rPr>
          <w:rFonts w:eastAsia="Times New Roman"/>
          <w:bCs/>
          <w:szCs w:val="28"/>
        </w:rPr>
        <w:t xml:space="preserve"> and thus it decreased by 0.</w:t>
      </w:r>
      <w:r w:rsidR="000C4DE5" w:rsidRPr="003703F5">
        <w:rPr>
          <w:rFonts w:eastAsia="Times New Roman"/>
          <w:bCs/>
          <w:szCs w:val="28"/>
        </w:rPr>
        <w:t>3</w:t>
      </w:r>
      <w:r w:rsidRPr="003703F5">
        <w:rPr>
          <w:rFonts w:eastAsia="Times New Roman"/>
          <w:bCs/>
          <w:szCs w:val="28"/>
        </w:rPr>
        <w:t> p. p.</w:t>
      </w:r>
      <w:r w:rsidRPr="003703F5">
        <w:rPr>
          <w:rFonts w:eastAsia="Times New Roman"/>
          <w:bCs/>
          <w:szCs w:val="28"/>
          <w:vertAlign w:val="superscript"/>
        </w:rPr>
        <w:t>1</w:t>
      </w:r>
    </w:p>
    <w:p w14:paraId="63AFC090" w14:textId="77777777" w:rsidR="003633C6" w:rsidRPr="003703F5" w:rsidRDefault="003633C6" w:rsidP="003633C6">
      <w:pPr>
        <w:rPr>
          <w:rFonts w:eastAsia="Times New Roman"/>
          <w:b/>
          <w:bCs/>
          <w:szCs w:val="28"/>
          <w:vertAlign w:val="superscript"/>
        </w:rPr>
      </w:pPr>
    </w:p>
    <w:p w14:paraId="687B4574" w14:textId="5ACAE1AA" w:rsidR="003633C6" w:rsidRPr="003703F5" w:rsidRDefault="003633C6" w:rsidP="003633C6">
      <w:pPr>
        <w:rPr>
          <w:rFonts w:eastAsia="Times New Roman"/>
          <w:bCs/>
          <w:szCs w:val="28"/>
        </w:rPr>
      </w:pPr>
      <w:r w:rsidRPr="003703F5">
        <w:rPr>
          <w:rFonts w:eastAsia="Times New Roman"/>
          <w:b/>
          <w:bCs/>
          <w:szCs w:val="28"/>
        </w:rPr>
        <w:t xml:space="preserve">Relationship to the rest of the world in </w:t>
      </w:r>
      <w:r w:rsidR="001F1522" w:rsidRPr="003703F5">
        <w:rPr>
          <w:rFonts w:eastAsia="Times New Roman"/>
          <w:b/>
          <w:bCs/>
          <w:szCs w:val="28"/>
        </w:rPr>
        <w:t>2024</w:t>
      </w:r>
      <w:r w:rsidRPr="003703F5">
        <w:rPr>
          <w:rFonts w:eastAsia="Times New Roman"/>
          <w:b/>
          <w:bCs/>
          <w:szCs w:val="28"/>
        </w:rPr>
        <w:t>: profit from foreign investment reached CZK </w:t>
      </w:r>
      <w:r w:rsidR="000C4DE5" w:rsidRPr="003703F5">
        <w:rPr>
          <w:rFonts w:eastAsia="Times New Roman"/>
          <w:b/>
          <w:bCs/>
          <w:szCs w:val="28"/>
        </w:rPr>
        <w:t>553</w:t>
      </w:r>
      <w:r w:rsidRPr="003703F5">
        <w:rPr>
          <w:rFonts w:eastAsia="Times New Roman"/>
          <w:b/>
          <w:bCs/>
          <w:szCs w:val="28"/>
        </w:rPr>
        <w:t> billion</w:t>
      </w:r>
    </w:p>
    <w:p w14:paraId="5C24579E" w14:textId="5A8EFE08" w:rsidR="003633C6" w:rsidRPr="003703F5" w:rsidRDefault="003633C6" w:rsidP="003633C6">
      <w:pPr>
        <w:rPr>
          <w:rFonts w:eastAsia="Times New Roman"/>
          <w:bCs/>
          <w:szCs w:val="28"/>
        </w:rPr>
      </w:pPr>
      <w:r w:rsidRPr="003703F5">
        <w:rPr>
          <w:rFonts w:eastAsia="Times New Roman"/>
          <w:bCs/>
          <w:i/>
          <w:szCs w:val="28"/>
        </w:rPr>
        <w:t>“The profit from foreign investment (p</w:t>
      </w:r>
      <w:r w:rsidRPr="003703F5">
        <w:rPr>
          <w:i/>
        </w:rPr>
        <w:t xml:space="preserve">rofit belonging to foreign owners of corporations) </w:t>
      </w:r>
      <w:r w:rsidR="00157488" w:rsidRPr="003703F5">
        <w:rPr>
          <w:rFonts w:eastAsia="Times New Roman"/>
          <w:bCs/>
          <w:i/>
          <w:szCs w:val="28"/>
        </w:rPr>
        <w:t>reached</w:t>
      </w:r>
      <w:r w:rsidR="0068239F">
        <w:rPr>
          <w:rFonts w:eastAsia="Times New Roman"/>
          <w:bCs/>
          <w:i/>
          <w:szCs w:val="28"/>
        </w:rPr>
        <w:t xml:space="preserve"> last year</w:t>
      </w:r>
      <w:r w:rsidR="00157488" w:rsidRPr="003703F5">
        <w:rPr>
          <w:rFonts w:eastAsia="Times New Roman"/>
          <w:bCs/>
          <w:i/>
          <w:szCs w:val="28"/>
        </w:rPr>
        <w:t xml:space="preserve"> 6.9</w:t>
      </w:r>
      <w:r w:rsidRPr="003703F5">
        <w:rPr>
          <w:rFonts w:eastAsia="Times New Roman"/>
          <w:bCs/>
          <w:i/>
          <w:szCs w:val="28"/>
        </w:rPr>
        <w:t xml:space="preserve">% of GDP. Foreign owners distributed </w:t>
      </w:r>
      <w:r w:rsidR="00157488" w:rsidRPr="003703F5">
        <w:rPr>
          <w:rFonts w:eastAsia="Times New Roman"/>
          <w:bCs/>
          <w:i/>
          <w:szCs w:val="28"/>
        </w:rPr>
        <w:t>over</w:t>
      </w:r>
      <w:r w:rsidRPr="003703F5">
        <w:rPr>
          <w:rFonts w:eastAsia="Times New Roman"/>
          <w:bCs/>
          <w:i/>
          <w:szCs w:val="28"/>
        </w:rPr>
        <w:t xml:space="preserve"> CZK </w:t>
      </w:r>
      <w:r w:rsidR="00157488" w:rsidRPr="003703F5">
        <w:rPr>
          <w:rFonts w:eastAsia="Times New Roman"/>
          <w:bCs/>
          <w:i/>
          <w:szCs w:val="28"/>
        </w:rPr>
        <w:t>360</w:t>
      </w:r>
      <w:r w:rsidRPr="003703F5">
        <w:rPr>
          <w:rFonts w:eastAsia="Times New Roman"/>
          <w:bCs/>
          <w:i/>
          <w:szCs w:val="28"/>
        </w:rPr>
        <w:t xml:space="preserve"> billion in the form of dividends; </w:t>
      </w:r>
      <w:r w:rsidR="00157488" w:rsidRPr="003703F5">
        <w:rPr>
          <w:rFonts w:eastAsia="Times New Roman"/>
          <w:bCs/>
          <w:i/>
          <w:szCs w:val="28"/>
        </w:rPr>
        <w:t>over CZK 192 billion were reinvested</w:t>
      </w:r>
      <w:r w:rsidRPr="003703F5">
        <w:rPr>
          <w:rFonts w:eastAsia="Times New Roman"/>
          <w:bCs/>
          <w:i/>
          <w:szCs w:val="28"/>
        </w:rPr>
        <w:t xml:space="preserve">,” </w:t>
      </w:r>
      <w:r w:rsidRPr="003703F5">
        <w:t>Vladimír Kermiet, Director of the National Accounts Department of the Czech Statistical Office (CZSO), said.</w:t>
      </w:r>
    </w:p>
    <w:p w14:paraId="7942387D" w14:textId="77777777" w:rsidR="003633C6" w:rsidRPr="003703F5" w:rsidRDefault="003633C6" w:rsidP="003633C6">
      <w:pPr>
        <w:rPr>
          <w:rFonts w:eastAsia="Times New Roman"/>
          <w:bCs/>
          <w:szCs w:val="28"/>
        </w:rPr>
      </w:pPr>
      <w:bookmarkStart w:id="0" w:name="_GoBack"/>
      <w:bookmarkEnd w:id="0"/>
    </w:p>
    <w:p w14:paraId="7C7E096B" w14:textId="206C290B" w:rsidR="003633C6" w:rsidRPr="003703F5" w:rsidRDefault="003633C6" w:rsidP="003633C6">
      <w:pPr>
        <w:rPr>
          <w:rFonts w:eastAsia="Times New Roman"/>
          <w:bCs/>
          <w:szCs w:val="28"/>
        </w:rPr>
      </w:pPr>
      <w:r w:rsidRPr="003703F5">
        <w:rPr>
          <w:rFonts w:eastAsia="Times New Roman"/>
          <w:bCs/>
          <w:szCs w:val="28"/>
        </w:rPr>
        <w:t xml:space="preserve">On the other hand, the outflow of income from profit was partially compensated by an inflow of income from abroad, especially by income from employment and by subsidies. The balance of primary income from abroad </w:t>
      </w:r>
      <w:r w:rsidR="007302FA" w:rsidRPr="003703F5">
        <w:rPr>
          <w:rFonts w:eastAsia="Times New Roman"/>
          <w:bCs/>
          <w:szCs w:val="28"/>
        </w:rPr>
        <w:t>worsened</w:t>
      </w:r>
      <w:r w:rsidRPr="003703F5">
        <w:rPr>
          <w:rFonts w:eastAsia="Times New Roman"/>
          <w:bCs/>
          <w:szCs w:val="28"/>
        </w:rPr>
        <w:t xml:space="preserve"> by CZK </w:t>
      </w:r>
      <w:r w:rsidR="007302FA" w:rsidRPr="003703F5">
        <w:rPr>
          <w:rFonts w:eastAsia="Times New Roman"/>
          <w:bCs/>
          <w:szCs w:val="28"/>
        </w:rPr>
        <w:t>238</w:t>
      </w:r>
      <w:r w:rsidRPr="003703F5">
        <w:rPr>
          <w:rFonts w:eastAsia="Times New Roman"/>
          <w:bCs/>
          <w:szCs w:val="28"/>
        </w:rPr>
        <w:t> billion, y-o-y, and reached CZK </w:t>
      </w:r>
      <w:r w:rsidRPr="003703F5">
        <w:rPr>
          <w:rFonts w:eastAsia="Times New Roman"/>
          <w:bCs/>
          <w:color w:val="000000"/>
          <w:szCs w:val="28"/>
        </w:rPr>
        <w:t>-</w:t>
      </w:r>
      <w:r w:rsidRPr="003703F5">
        <w:rPr>
          <w:rFonts w:cs="Arial"/>
          <w:szCs w:val="20"/>
        </w:rPr>
        <w:t>3</w:t>
      </w:r>
      <w:r w:rsidR="007302FA" w:rsidRPr="003703F5">
        <w:rPr>
          <w:rFonts w:cs="Arial"/>
          <w:szCs w:val="20"/>
        </w:rPr>
        <w:t>48</w:t>
      </w:r>
      <w:r w:rsidRPr="003703F5">
        <w:rPr>
          <w:rFonts w:cs="Arial"/>
          <w:szCs w:val="20"/>
        </w:rPr>
        <w:t> </w:t>
      </w:r>
      <w:r w:rsidRPr="003703F5">
        <w:rPr>
          <w:rFonts w:eastAsia="Times New Roman"/>
          <w:bCs/>
          <w:szCs w:val="28"/>
        </w:rPr>
        <w:t>billion.</w:t>
      </w:r>
    </w:p>
    <w:p w14:paraId="0A3C5160" w14:textId="77777777" w:rsidR="003633C6" w:rsidRPr="003703F5" w:rsidRDefault="003633C6" w:rsidP="003633C6">
      <w:pPr>
        <w:rPr>
          <w:rFonts w:eastAsia="Times New Roman"/>
          <w:bCs/>
          <w:szCs w:val="28"/>
        </w:rPr>
      </w:pPr>
    </w:p>
    <w:p w14:paraId="470A7AF5" w14:textId="0EB4797F" w:rsidR="003633C6" w:rsidRPr="003703F5" w:rsidRDefault="003633C6" w:rsidP="003633C6">
      <w:pPr>
        <w:rPr>
          <w:rFonts w:eastAsia="Times New Roman"/>
          <w:bCs/>
          <w:szCs w:val="28"/>
        </w:rPr>
      </w:pPr>
      <w:r w:rsidRPr="003703F5">
        <w:rPr>
          <w:rFonts w:eastAsia="Times New Roman"/>
          <w:bCs/>
          <w:szCs w:val="28"/>
        </w:rPr>
        <w:t xml:space="preserve">The </w:t>
      </w:r>
      <w:r w:rsidRPr="003703F5">
        <w:rPr>
          <w:rFonts w:eastAsia="Times New Roman"/>
          <w:b/>
          <w:bCs/>
          <w:szCs w:val="28"/>
        </w:rPr>
        <w:t xml:space="preserve">gross national income </w:t>
      </w:r>
      <w:r w:rsidR="007302FA" w:rsidRPr="003703F5">
        <w:rPr>
          <w:rFonts w:eastAsia="Times New Roman"/>
          <w:bCs/>
          <w:szCs w:val="28"/>
        </w:rPr>
        <w:t>decreased in real terms by 0.8</w:t>
      </w:r>
      <w:r w:rsidRPr="003703F5">
        <w:rPr>
          <w:rFonts w:eastAsia="Times New Roman"/>
          <w:bCs/>
          <w:szCs w:val="28"/>
        </w:rPr>
        <w:t xml:space="preserve">% in </w:t>
      </w:r>
      <w:r w:rsidR="001F1522" w:rsidRPr="003703F5">
        <w:rPr>
          <w:rFonts w:eastAsia="Times New Roman"/>
          <w:bCs/>
          <w:szCs w:val="28"/>
        </w:rPr>
        <w:t>2024</w:t>
      </w:r>
      <w:r w:rsidR="00D430C2">
        <w:rPr>
          <w:rFonts w:eastAsia="Times New Roman"/>
          <w:bCs/>
          <w:szCs w:val="28"/>
        </w:rPr>
        <w:t xml:space="preserve">, which was related to the worsened balance of primary income. </w:t>
      </w:r>
    </w:p>
    <w:p w14:paraId="781BF3D9" w14:textId="77777777" w:rsidR="003633C6" w:rsidRPr="003703F5" w:rsidRDefault="003633C6" w:rsidP="003633C6">
      <w:pPr>
        <w:rPr>
          <w:rFonts w:eastAsia="Times New Roman"/>
          <w:bCs/>
          <w:szCs w:val="28"/>
        </w:rPr>
      </w:pPr>
    </w:p>
    <w:p w14:paraId="6366CCC8" w14:textId="7BB9C554" w:rsidR="003633C6" w:rsidRPr="003703F5" w:rsidRDefault="003633C6" w:rsidP="003633C6">
      <w:pPr>
        <w:keepNext/>
        <w:rPr>
          <w:rFonts w:eastAsia="Times New Roman"/>
          <w:b/>
          <w:bCs/>
          <w:szCs w:val="28"/>
        </w:rPr>
      </w:pPr>
      <w:r w:rsidRPr="003703F5">
        <w:rPr>
          <w:rFonts w:eastAsia="Times New Roman"/>
          <w:bCs/>
          <w:szCs w:val="28"/>
        </w:rPr>
        <w:t xml:space="preserve">The </w:t>
      </w:r>
      <w:r w:rsidRPr="003703F5">
        <w:rPr>
          <w:rFonts w:eastAsia="Times New Roman"/>
          <w:b/>
          <w:bCs/>
          <w:szCs w:val="28"/>
        </w:rPr>
        <w:t xml:space="preserve">gross disposable income </w:t>
      </w:r>
      <w:r w:rsidR="007302FA" w:rsidRPr="003703F5">
        <w:rPr>
          <w:rFonts w:eastAsia="Times New Roman"/>
          <w:bCs/>
          <w:szCs w:val="28"/>
        </w:rPr>
        <w:t>for the whole economy decreased in real terms by 0.9</w:t>
      </w:r>
      <w:r w:rsidRPr="003703F5">
        <w:rPr>
          <w:rFonts w:eastAsia="Times New Roman"/>
          <w:bCs/>
          <w:szCs w:val="28"/>
        </w:rPr>
        <w:t xml:space="preserve">% in </w:t>
      </w:r>
      <w:r w:rsidR="001F1522" w:rsidRPr="003703F5">
        <w:rPr>
          <w:rFonts w:eastAsia="Times New Roman"/>
          <w:bCs/>
          <w:szCs w:val="28"/>
        </w:rPr>
        <w:t>2024</w:t>
      </w:r>
      <w:r w:rsidRPr="003703F5">
        <w:rPr>
          <w:rFonts w:eastAsia="Times New Roman"/>
          <w:bCs/>
          <w:szCs w:val="28"/>
        </w:rPr>
        <w:t xml:space="preserve">. </w:t>
      </w:r>
    </w:p>
    <w:p w14:paraId="79CB05B8" w14:textId="77777777" w:rsidR="003633C6" w:rsidRPr="003703F5" w:rsidRDefault="003633C6" w:rsidP="003633C6">
      <w:pPr>
        <w:keepNext/>
        <w:rPr>
          <w:rFonts w:eastAsia="Times New Roman"/>
          <w:b/>
          <w:bCs/>
          <w:szCs w:val="28"/>
        </w:rPr>
      </w:pPr>
    </w:p>
    <w:p w14:paraId="7CA767B7" w14:textId="77777777" w:rsidR="003633C6" w:rsidRPr="003703F5" w:rsidRDefault="003633C6" w:rsidP="003633C6">
      <w:pPr>
        <w:keepNext/>
        <w:rPr>
          <w:rFonts w:eastAsia="Times New Roman"/>
          <w:bCs/>
          <w:szCs w:val="28"/>
        </w:rPr>
      </w:pPr>
      <w:r w:rsidRPr="003703F5">
        <w:rPr>
          <w:rFonts w:eastAsia="Times New Roman"/>
          <w:b/>
          <w:bCs/>
          <w:szCs w:val="28"/>
        </w:rPr>
        <w:t>GDP estimate refinement</w:t>
      </w:r>
    </w:p>
    <w:p w14:paraId="7197968B" w14:textId="794C91B0" w:rsidR="0061228F" w:rsidRPr="003703F5" w:rsidRDefault="003633C6" w:rsidP="0061228F">
      <w:pPr>
        <w:rPr>
          <w:rFonts w:eastAsia="Times New Roman"/>
          <w:bCs/>
          <w:szCs w:val="28"/>
        </w:rPr>
      </w:pPr>
      <w:r w:rsidRPr="003703F5">
        <w:rPr>
          <w:rFonts w:eastAsia="Times New Roman"/>
          <w:bCs/>
          <w:szCs w:val="28"/>
        </w:rPr>
        <w:t xml:space="preserve">New data for the general government sector were also included in the sector accounts for the fourth quarter of </w:t>
      </w:r>
      <w:r w:rsidR="001F1522" w:rsidRPr="003703F5">
        <w:rPr>
          <w:rFonts w:eastAsia="Times New Roman"/>
          <w:bCs/>
          <w:szCs w:val="28"/>
        </w:rPr>
        <w:t>2024</w:t>
      </w:r>
      <w:r w:rsidRPr="003703F5">
        <w:rPr>
          <w:rFonts w:eastAsia="Times New Roman"/>
          <w:bCs/>
          <w:szCs w:val="28"/>
        </w:rPr>
        <w:t xml:space="preserve">, which resulted in the refinement of the gross domestic product (GDP) growth rate estimate. In the fourth quarter of </w:t>
      </w:r>
      <w:r w:rsidR="001F1522" w:rsidRPr="003703F5">
        <w:rPr>
          <w:rFonts w:eastAsia="Times New Roman"/>
          <w:bCs/>
          <w:szCs w:val="28"/>
        </w:rPr>
        <w:t>2024</w:t>
      </w:r>
      <w:r w:rsidRPr="003703F5">
        <w:rPr>
          <w:rFonts w:eastAsia="Times New Roman"/>
          <w:bCs/>
          <w:szCs w:val="28"/>
        </w:rPr>
        <w:t>, t</w:t>
      </w:r>
      <w:r w:rsidR="00A67A30" w:rsidRPr="003703F5">
        <w:rPr>
          <w:rFonts w:eastAsia="Times New Roman"/>
          <w:bCs/>
          <w:szCs w:val="28"/>
        </w:rPr>
        <w:t>he GDP increased by 0.7</w:t>
      </w:r>
      <w:r w:rsidRPr="003703F5">
        <w:rPr>
          <w:rFonts w:eastAsia="Times New Roman"/>
          <w:bCs/>
          <w:szCs w:val="28"/>
        </w:rPr>
        <w:t>%, quarter</w:t>
      </w:r>
      <w:r w:rsidR="00A67A30" w:rsidRPr="003703F5">
        <w:rPr>
          <w:rFonts w:eastAsia="Times New Roman"/>
          <w:bCs/>
          <w:szCs w:val="28"/>
        </w:rPr>
        <w:t>-on-quarter, and by 1.8</w:t>
      </w:r>
      <w:r w:rsidRPr="003703F5">
        <w:rPr>
          <w:rFonts w:eastAsia="Times New Roman"/>
          <w:bCs/>
          <w:szCs w:val="28"/>
        </w:rPr>
        <w:t xml:space="preserve">%, year-on-year. In the year </w:t>
      </w:r>
      <w:r w:rsidR="001F1522" w:rsidRPr="003703F5">
        <w:rPr>
          <w:rFonts w:eastAsia="Times New Roman"/>
          <w:bCs/>
          <w:szCs w:val="28"/>
        </w:rPr>
        <w:t>2024</w:t>
      </w:r>
      <w:r w:rsidR="00B53893" w:rsidRPr="003703F5">
        <w:rPr>
          <w:rFonts w:eastAsia="Times New Roman"/>
          <w:bCs/>
          <w:szCs w:val="28"/>
        </w:rPr>
        <w:t>, the GDP in</w:t>
      </w:r>
      <w:r w:rsidRPr="003703F5">
        <w:rPr>
          <w:rFonts w:eastAsia="Times New Roman"/>
          <w:bCs/>
          <w:szCs w:val="28"/>
        </w:rPr>
        <w:t xml:space="preserve">creased by </w:t>
      </w:r>
      <w:r w:rsidR="00B53893" w:rsidRPr="003703F5">
        <w:rPr>
          <w:rFonts w:eastAsia="Times New Roman"/>
          <w:bCs/>
          <w:szCs w:val="28"/>
        </w:rPr>
        <w:t>1.0</w:t>
      </w:r>
      <w:r w:rsidRPr="003703F5">
        <w:rPr>
          <w:rFonts w:eastAsia="Times New Roman"/>
          <w:bCs/>
          <w:szCs w:val="28"/>
        </w:rPr>
        <w:t xml:space="preserve">%. For the time series on GDP resources and uses </w:t>
      </w:r>
      <w:r w:rsidR="0061228F" w:rsidRPr="003703F5">
        <w:rPr>
          <w:rFonts w:eastAsia="Times New Roman"/>
          <w:bCs/>
          <w:szCs w:val="28"/>
        </w:rPr>
        <w:t xml:space="preserve">see: </w:t>
      </w:r>
      <w:hyperlink r:id="rId10" w:history="1">
        <w:r w:rsidR="0061228F" w:rsidRPr="003703F5">
          <w:rPr>
            <w:rStyle w:val="Hypertextovodkaz"/>
          </w:rPr>
          <w:t>Gross domestic product - time series | Products (gov.cz)</w:t>
        </w:r>
      </w:hyperlink>
      <w:r w:rsidR="0061228F" w:rsidRPr="003703F5">
        <w:t>.</w:t>
      </w:r>
    </w:p>
    <w:p w14:paraId="468D3B03" w14:textId="181826DC" w:rsidR="003633C6" w:rsidRPr="003703F5" w:rsidRDefault="003633C6" w:rsidP="003633C6">
      <w:pPr>
        <w:rPr>
          <w:rFonts w:eastAsia="Times New Roman"/>
          <w:bCs/>
          <w:szCs w:val="28"/>
        </w:rPr>
      </w:pPr>
    </w:p>
    <w:p w14:paraId="331DC9A4" w14:textId="77777777" w:rsidR="003633C6" w:rsidRPr="003703F5" w:rsidRDefault="003633C6" w:rsidP="003633C6">
      <w:pPr>
        <w:pStyle w:val="Poznmky0"/>
        <w:rPr>
          <w:i w:val="0"/>
          <w:sz w:val="20"/>
          <w:szCs w:val="20"/>
        </w:rPr>
      </w:pPr>
      <w:r w:rsidRPr="003703F5">
        <w:rPr>
          <w:i w:val="0"/>
          <w:sz w:val="20"/>
          <w:szCs w:val="20"/>
          <w:vertAlign w:val="superscript"/>
        </w:rPr>
        <w:t>1</w:t>
      </w:r>
      <w:r w:rsidRPr="003703F5">
        <w:rPr>
          <w:sz w:val="20"/>
          <w:szCs w:val="20"/>
        </w:rPr>
        <w:t xml:space="preserve"> </w:t>
      </w:r>
      <w:r w:rsidRPr="003703F5">
        <w:rPr>
          <w:i w:val="0"/>
          <w:sz w:val="20"/>
          <w:szCs w:val="20"/>
        </w:rPr>
        <w:t>seasonally non-adjusted piece of data</w:t>
      </w:r>
    </w:p>
    <w:p w14:paraId="794B2C5A" w14:textId="77777777" w:rsidR="003633C6" w:rsidRPr="003703F5" w:rsidRDefault="003633C6" w:rsidP="003633C6">
      <w:pPr>
        <w:pStyle w:val="Poznmky0"/>
        <w:rPr>
          <w:sz w:val="20"/>
          <w:szCs w:val="20"/>
        </w:rPr>
      </w:pPr>
      <w:r w:rsidRPr="003703F5">
        <w:rPr>
          <w:i w:val="0"/>
          <w:sz w:val="20"/>
          <w:szCs w:val="20"/>
        </w:rPr>
        <w:t xml:space="preserve">All terms are in terms of national accounts; for explanations of terms written in </w:t>
      </w:r>
      <w:r w:rsidRPr="003703F5">
        <w:rPr>
          <w:b/>
          <w:bCs/>
          <w:sz w:val="20"/>
          <w:szCs w:val="20"/>
        </w:rPr>
        <w:t>bold italics</w:t>
      </w:r>
      <w:r w:rsidRPr="003703F5">
        <w:rPr>
          <w:i w:val="0"/>
          <w:sz w:val="20"/>
          <w:szCs w:val="20"/>
        </w:rPr>
        <w:t xml:space="preserve"> see: </w:t>
      </w:r>
      <w:hyperlink r:id="rId11" w:history="1">
        <w:r w:rsidRPr="003703F5">
          <w:rPr>
            <w:rStyle w:val="Hypertextovodkaz"/>
            <w:iCs/>
            <w:sz w:val="20"/>
            <w:szCs w:val="20"/>
          </w:rPr>
          <w:t>https://apl.czso.cz/nufile/Definitions.pdf</w:t>
        </w:r>
      </w:hyperlink>
      <w:r w:rsidRPr="003703F5">
        <w:rPr>
          <w:rStyle w:val="Zdraznn"/>
          <w:sz w:val="20"/>
          <w:szCs w:val="20"/>
        </w:rPr>
        <w:t>.</w:t>
      </w:r>
      <w:r w:rsidRPr="003703F5">
        <w:rPr>
          <w:sz w:val="20"/>
          <w:szCs w:val="20"/>
        </w:rPr>
        <w:t xml:space="preserve"> </w:t>
      </w:r>
    </w:p>
    <w:p w14:paraId="1CD47F20" w14:textId="77777777" w:rsidR="001842E9" w:rsidRPr="003703F5" w:rsidRDefault="001842E9" w:rsidP="001842E9">
      <w:pPr>
        <w:pStyle w:val="Poznmky0"/>
        <w:tabs>
          <w:tab w:val="left" w:pos="3402"/>
        </w:tabs>
      </w:pPr>
      <w:r w:rsidRPr="003703F5">
        <w:t>Contact person:</w:t>
      </w:r>
      <w:r w:rsidRPr="003703F5">
        <w:tab/>
        <w:t>Vladimír Kermiet, Director of the National Accounts Department</w:t>
      </w:r>
    </w:p>
    <w:p w14:paraId="1F1DA447" w14:textId="77777777" w:rsidR="001842E9" w:rsidRPr="003703F5" w:rsidRDefault="001842E9" w:rsidP="001842E9">
      <w:pPr>
        <w:pStyle w:val="Poznmky0"/>
        <w:tabs>
          <w:tab w:val="left" w:pos="3402"/>
        </w:tabs>
        <w:spacing w:before="0"/>
      </w:pPr>
      <w:r w:rsidRPr="003703F5">
        <w:tab/>
        <w:t xml:space="preserve">phone number (+420) 274 054 247, </w:t>
      </w:r>
    </w:p>
    <w:p w14:paraId="4F33ED5E" w14:textId="1F1B7E92" w:rsidR="001842E9" w:rsidRPr="003703F5" w:rsidRDefault="001842E9" w:rsidP="001842E9">
      <w:pPr>
        <w:pStyle w:val="Poznmky0"/>
        <w:tabs>
          <w:tab w:val="left" w:pos="3402"/>
        </w:tabs>
        <w:spacing w:before="0"/>
      </w:pPr>
      <w:r w:rsidRPr="003703F5">
        <w:tab/>
        <w:t xml:space="preserve">e-mail: </w:t>
      </w:r>
      <w:hyperlink r:id="rId12" w:history="1">
        <w:r w:rsidR="00AE676D" w:rsidRPr="003703F5">
          <w:rPr>
            <w:rStyle w:val="Hypertextovodkaz"/>
          </w:rPr>
          <w:t>vladimir.kermiet@csu.gov.cz</w:t>
        </w:r>
      </w:hyperlink>
      <w:r w:rsidRPr="003703F5">
        <w:t xml:space="preserve"> </w:t>
      </w:r>
    </w:p>
    <w:p w14:paraId="1626041F" w14:textId="77E65583" w:rsidR="001842E9" w:rsidRPr="003703F5" w:rsidRDefault="001842E9" w:rsidP="001842E9">
      <w:pPr>
        <w:pStyle w:val="Poznmky0"/>
        <w:tabs>
          <w:tab w:val="left" w:pos="3402"/>
        </w:tabs>
        <w:spacing w:before="0"/>
      </w:pPr>
      <w:r w:rsidRPr="003703F5">
        <w:t>Used data sources updated as at:</w:t>
      </w:r>
      <w:r w:rsidRPr="003703F5">
        <w:tab/>
      </w:r>
      <w:r w:rsidR="007646FB" w:rsidRPr="003703F5">
        <w:t>26 March </w:t>
      </w:r>
      <w:r w:rsidR="003F0CF8" w:rsidRPr="003703F5">
        <w:t>2025</w:t>
      </w:r>
    </w:p>
    <w:p w14:paraId="59458D77" w14:textId="2423CBB7" w:rsidR="003D3100" w:rsidRPr="003703F5" w:rsidRDefault="001842E9" w:rsidP="001842E9">
      <w:pPr>
        <w:pStyle w:val="Poznmky0"/>
        <w:tabs>
          <w:tab w:val="left" w:pos="3402"/>
        </w:tabs>
        <w:spacing w:before="0"/>
        <w:ind w:left="3402" w:hanging="3402"/>
      </w:pPr>
      <w:r w:rsidRPr="003703F5">
        <w:t>Related CZSO</w:t>
      </w:r>
      <w:r w:rsidR="005864E4" w:rsidRPr="003703F5">
        <w:rPr>
          <w:rFonts w:cs="Arial"/>
        </w:rPr>
        <w:t>’</w:t>
      </w:r>
      <w:r w:rsidR="005864E4" w:rsidRPr="003703F5">
        <w:t>s</w:t>
      </w:r>
      <w:r w:rsidRPr="003703F5">
        <w:t xml:space="preserve"> website:</w:t>
      </w:r>
      <w:r w:rsidRPr="003703F5">
        <w:tab/>
      </w:r>
      <w:hyperlink r:id="rId13" w:history="1">
        <w:r w:rsidR="003D3100" w:rsidRPr="003703F5">
          <w:rPr>
            <w:rFonts w:cs="Arial"/>
            <w:lang w:val="cs-CZ"/>
          </w:rPr>
          <w:t>Quarterly National Accounts, GDP resources and uses and GDP preliminary estimate - News Releases | Statistics (gov.cz)</w:t>
        </w:r>
      </w:hyperlink>
    </w:p>
    <w:p w14:paraId="7436819F" w14:textId="6B5A6227" w:rsidR="001842E9" w:rsidRPr="003703F5" w:rsidRDefault="001842E9" w:rsidP="001842E9">
      <w:pPr>
        <w:pStyle w:val="Poznmky0"/>
        <w:tabs>
          <w:tab w:val="left" w:pos="3402"/>
        </w:tabs>
        <w:spacing w:before="0"/>
        <w:ind w:left="3402" w:hanging="3402"/>
      </w:pPr>
      <w:r w:rsidRPr="003703F5">
        <w:t xml:space="preserve">Next </w:t>
      </w:r>
      <w:r w:rsidR="0090459E" w:rsidRPr="003703F5">
        <w:t>news r</w:t>
      </w:r>
      <w:r w:rsidRPr="003703F5">
        <w:t>elease will be published on:</w:t>
      </w:r>
      <w:r w:rsidRPr="003703F5">
        <w:tab/>
      </w:r>
      <w:r w:rsidR="00405AFA" w:rsidRPr="003703F5">
        <w:t>27 June</w:t>
      </w:r>
      <w:r w:rsidR="00F92D14" w:rsidRPr="003703F5">
        <w:t> </w:t>
      </w:r>
      <w:r w:rsidR="003D3100" w:rsidRPr="003703F5">
        <w:t>2025</w:t>
      </w:r>
      <w:r w:rsidRPr="003703F5">
        <w:t xml:space="preserve"> (Quarterly </w:t>
      </w:r>
      <w:r w:rsidR="00E320BE" w:rsidRPr="003703F5">
        <w:t>s</w:t>
      </w:r>
      <w:r w:rsidRPr="003703F5">
        <w:t xml:space="preserve">ector </w:t>
      </w:r>
      <w:r w:rsidR="00E320BE" w:rsidRPr="003703F5">
        <w:t>a</w:t>
      </w:r>
      <w:r w:rsidRPr="003703F5">
        <w:t xml:space="preserve">ccounts for the </w:t>
      </w:r>
      <w:r w:rsidR="00405AFA" w:rsidRPr="003703F5">
        <w:t>first quarter of 2025</w:t>
      </w:r>
      <w:r w:rsidRPr="003703F5">
        <w:t>)</w:t>
      </w:r>
    </w:p>
    <w:p w14:paraId="6A17B35C" w14:textId="77777777" w:rsidR="001842E9" w:rsidRPr="003703F5" w:rsidRDefault="001842E9" w:rsidP="001842E9"/>
    <w:p w14:paraId="442DF62E" w14:textId="77777777" w:rsidR="001842E9" w:rsidRPr="003703F5" w:rsidRDefault="001842E9" w:rsidP="001842E9">
      <w:pPr>
        <w:spacing w:after="60"/>
        <w:rPr>
          <w:i/>
          <w:sz w:val="18"/>
          <w:szCs w:val="18"/>
        </w:rPr>
      </w:pPr>
      <w:r w:rsidRPr="003703F5">
        <w:rPr>
          <w:i/>
          <w:sz w:val="18"/>
          <w:szCs w:val="18"/>
        </w:rPr>
        <w:t xml:space="preserve">Data of quarterly sector accounts are seasonally adjusted unless otherwise stated. </w:t>
      </w:r>
    </w:p>
    <w:p w14:paraId="324A18CE" w14:textId="77777777" w:rsidR="001842E9" w:rsidRPr="003703F5" w:rsidRDefault="001842E9" w:rsidP="001842E9">
      <w:pPr>
        <w:spacing w:after="60"/>
        <w:rPr>
          <w:i/>
          <w:sz w:val="18"/>
          <w:szCs w:val="18"/>
        </w:rPr>
      </w:pPr>
    </w:p>
    <w:p w14:paraId="5FA6655C" w14:textId="06AAB2AA" w:rsidR="001842E9" w:rsidRPr="003703F5" w:rsidRDefault="001842E9" w:rsidP="001842E9">
      <w:pPr>
        <w:spacing w:after="60"/>
        <w:rPr>
          <w:i/>
          <w:sz w:val="18"/>
          <w:szCs w:val="18"/>
        </w:rPr>
      </w:pPr>
      <w:r w:rsidRPr="003703F5">
        <w:rPr>
          <w:i/>
          <w:sz w:val="18"/>
          <w:szCs w:val="18"/>
        </w:rPr>
        <w:t>The news releases of Eurostat on quarterly sector accounts are published later. The latest published informatio</w:t>
      </w:r>
      <w:r w:rsidR="00C62575" w:rsidRPr="003703F5">
        <w:rPr>
          <w:i/>
          <w:sz w:val="18"/>
          <w:szCs w:val="18"/>
        </w:rPr>
        <w:t xml:space="preserve">n for the </w:t>
      </w:r>
      <w:r w:rsidR="00AB2A06" w:rsidRPr="003703F5">
        <w:rPr>
          <w:i/>
          <w:sz w:val="18"/>
          <w:szCs w:val="18"/>
        </w:rPr>
        <w:t>third</w:t>
      </w:r>
      <w:r w:rsidR="00C62575" w:rsidRPr="003703F5">
        <w:rPr>
          <w:i/>
          <w:sz w:val="18"/>
          <w:szCs w:val="18"/>
        </w:rPr>
        <w:t xml:space="preserve"> quarter of 202</w:t>
      </w:r>
      <w:r w:rsidR="003D3100" w:rsidRPr="003703F5">
        <w:rPr>
          <w:i/>
          <w:sz w:val="18"/>
          <w:szCs w:val="18"/>
        </w:rPr>
        <w:t>4</w:t>
      </w:r>
      <w:r w:rsidRPr="003703F5">
        <w:rPr>
          <w:i/>
          <w:sz w:val="18"/>
          <w:szCs w:val="18"/>
        </w:rPr>
        <w:t xml:space="preserve"> is available at:</w:t>
      </w:r>
    </w:p>
    <w:p w14:paraId="0D8B620D" w14:textId="5B9B6146" w:rsidR="001842E9" w:rsidRPr="003703F5" w:rsidRDefault="00AB2A06" w:rsidP="001842E9">
      <w:pPr>
        <w:ind w:left="426"/>
        <w:jc w:val="left"/>
        <w:rPr>
          <w:rFonts w:cs="Arial"/>
          <w:sz w:val="18"/>
          <w:szCs w:val="18"/>
        </w:rPr>
      </w:pPr>
      <w:r w:rsidRPr="003703F5">
        <w:rPr>
          <w:rFonts w:cs="Arial"/>
          <w:sz w:val="18"/>
          <w:szCs w:val="18"/>
        </w:rPr>
        <w:t>https://ec.europa.eu/eurostat/en/web/products-euro-indicators/w/2-28012025-ap</w:t>
      </w:r>
      <w:r w:rsidR="001842E9" w:rsidRPr="003703F5">
        <w:rPr>
          <w:rFonts w:cs="Arial"/>
          <w:sz w:val="18"/>
          <w:szCs w:val="18"/>
        </w:rPr>
        <w:t>,</w:t>
      </w:r>
    </w:p>
    <w:p w14:paraId="373D4837" w14:textId="4224B06A" w:rsidR="001842E9" w:rsidRPr="003703F5" w:rsidRDefault="00AB2A06" w:rsidP="001842E9">
      <w:pPr>
        <w:ind w:left="425"/>
        <w:rPr>
          <w:rFonts w:cs="Arial"/>
          <w:i/>
          <w:sz w:val="18"/>
          <w:szCs w:val="18"/>
        </w:rPr>
      </w:pPr>
      <w:r w:rsidRPr="003703F5">
        <w:rPr>
          <w:rFonts w:cs="Arial"/>
          <w:sz w:val="18"/>
          <w:szCs w:val="18"/>
        </w:rPr>
        <w:t>https://ec.europa.eu/eurostat/en/web/products-euro-indicators/w</w:t>
      </w:r>
      <w:r w:rsidRPr="003703F5">
        <w:t>/</w:t>
      </w:r>
      <w:r w:rsidRPr="003703F5">
        <w:rPr>
          <w:rFonts w:cs="Arial"/>
          <w:sz w:val="18"/>
          <w:szCs w:val="18"/>
        </w:rPr>
        <w:t>2-13012025-ap</w:t>
      </w:r>
      <w:r w:rsidR="001842E9" w:rsidRPr="003703F5">
        <w:rPr>
          <w:rFonts w:cs="Arial"/>
          <w:sz w:val="18"/>
          <w:szCs w:val="18"/>
        </w:rPr>
        <w:t>.</w:t>
      </w:r>
    </w:p>
    <w:p w14:paraId="4508485D" w14:textId="77777777" w:rsidR="001842E9" w:rsidRPr="003703F5" w:rsidRDefault="001842E9" w:rsidP="001842E9">
      <w:pPr>
        <w:rPr>
          <w:i/>
          <w:sz w:val="18"/>
          <w:szCs w:val="18"/>
        </w:rPr>
      </w:pPr>
    </w:p>
    <w:p w14:paraId="69CCDE37" w14:textId="35764B0A" w:rsidR="001842E9" w:rsidRPr="003703F5" w:rsidRDefault="001842E9" w:rsidP="001842E9">
      <w:pPr>
        <w:jc w:val="left"/>
        <w:rPr>
          <w:sz w:val="18"/>
          <w:szCs w:val="18"/>
        </w:rPr>
      </w:pPr>
      <w:r w:rsidRPr="003703F5">
        <w:rPr>
          <w:i/>
          <w:sz w:val="18"/>
          <w:szCs w:val="18"/>
        </w:rPr>
        <w:t>Quarterly sector accounts data are published on the CZSO</w:t>
      </w:r>
      <w:r w:rsidR="00F526F9" w:rsidRPr="003703F5">
        <w:rPr>
          <w:i/>
          <w:sz w:val="18"/>
          <w:szCs w:val="18"/>
        </w:rPr>
        <w:t>’s</w:t>
      </w:r>
      <w:r w:rsidRPr="003703F5">
        <w:rPr>
          <w:i/>
          <w:sz w:val="18"/>
          <w:szCs w:val="18"/>
        </w:rPr>
        <w:t xml:space="preserve"> website in the tables of </w:t>
      </w:r>
      <w:r w:rsidRPr="003703F5">
        <w:rPr>
          <w:rStyle w:val="odkaz-style-wrapper"/>
          <w:i/>
          <w:sz w:val="18"/>
          <w:szCs w:val="18"/>
        </w:rPr>
        <w:t xml:space="preserve">Transactions in products and distributive transactions by sector: </w:t>
      </w:r>
      <w:hyperlink r:id="rId14" w:history="1">
        <w:r w:rsidRPr="003703F5">
          <w:rPr>
            <w:rStyle w:val="Hypertextovodkaz"/>
            <w:sz w:val="18"/>
            <w:szCs w:val="18"/>
          </w:rPr>
          <w:t>http://apl.czso.cz/pll/rocenka/rocenkavyber.kvart_qsa?mylang=EN&amp;oblast=@RU</w:t>
        </w:r>
      </w:hyperlink>
    </w:p>
    <w:p w14:paraId="7375DA4A" w14:textId="77777777" w:rsidR="001842E9" w:rsidRPr="003703F5" w:rsidRDefault="001842E9" w:rsidP="001842E9">
      <w:pPr>
        <w:jc w:val="left"/>
      </w:pPr>
      <w:r w:rsidRPr="003703F5">
        <w:rPr>
          <w:rStyle w:val="odkaz-style-wrapper"/>
          <w:i/>
          <w:sz w:val="18"/>
          <w:szCs w:val="18"/>
        </w:rPr>
        <w:t>and quarterly non-financial sector accounts (current and capital accounts)</w:t>
      </w:r>
      <w:r w:rsidRPr="003703F5">
        <w:rPr>
          <w:i/>
          <w:sz w:val="18"/>
          <w:szCs w:val="18"/>
        </w:rPr>
        <w:t xml:space="preserve">:  </w:t>
      </w:r>
    </w:p>
    <w:p w14:paraId="0B4441D2" w14:textId="77777777" w:rsidR="001842E9" w:rsidRPr="00041CB8" w:rsidRDefault="00D430C2" w:rsidP="001842E9">
      <w:pPr>
        <w:rPr>
          <w:sz w:val="18"/>
          <w:szCs w:val="18"/>
        </w:rPr>
      </w:pPr>
      <w:hyperlink r:id="rId15" w:history="1">
        <w:r w:rsidR="001842E9" w:rsidRPr="003703F5">
          <w:rPr>
            <w:rStyle w:val="Hypertextovodkaz"/>
            <w:sz w:val="18"/>
            <w:szCs w:val="18"/>
          </w:rPr>
          <w:t>http://apl.czso.cz/pll/rocenka/rocenkavyber.kvart_qsa_mat?mylang=EN&amp;oblast=@RU</w:t>
        </w:r>
      </w:hyperlink>
    </w:p>
    <w:p w14:paraId="549DCF5C" w14:textId="77777777" w:rsidR="001842E9" w:rsidRPr="00041CB8" w:rsidRDefault="001842E9" w:rsidP="001842E9">
      <w:pPr>
        <w:spacing w:before="120" w:after="120"/>
        <w:rPr>
          <w:rFonts w:eastAsia="Times New Roman"/>
          <w:b/>
          <w:bCs/>
          <w:szCs w:val="28"/>
        </w:rPr>
      </w:pPr>
    </w:p>
    <w:p w14:paraId="13332383" w14:textId="77777777" w:rsidR="00D209A7" w:rsidRPr="00041CB8" w:rsidRDefault="00D209A7" w:rsidP="001842E9"/>
    <w:sectPr w:rsidR="00D209A7" w:rsidRPr="00041CB8" w:rsidSect="00405244">
      <w:headerReference w:type="default" r:id="rId16"/>
      <w:footerReference w:type="default" r:id="rId17"/>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A0026A" w14:textId="77777777" w:rsidR="002E7E9E" w:rsidRDefault="002E7E9E" w:rsidP="00BA6370">
      <w:r>
        <w:separator/>
      </w:r>
    </w:p>
  </w:endnote>
  <w:endnote w:type="continuationSeparator" w:id="0">
    <w:p w14:paraId="5E1EC499" w14:textId="77777777" w:rsidR="002E7E9E" w:rsidRDefault="002E7E9E"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BEFC1E" w14:textId="77777777" w:rsidR="003D0499" w:rsidRDefault="00D430C2">
    <w:pPr>
      <w:pStyle w:val="Zpat"/>
    </w:pPr>
    <w:r>
      <w:rPr>
        <w:noProof/>
        <w:lang w:val="cs-CZ" w:eastAsia="cs-CZ"/>
      </w:rPr>
      <w:pict w14:anchorId="0C798C09">
        <v:shapetype id="_x0000_t202" coordsize="21600,21600" o:spt="202" path="m,l,21600r21600,l21600,xe">
          <v:stroke joinstyle="miter"/>
          <v:path gradientshapeok="t" o:connecttype="rect"/>
        </v:shapetype>
        <v:shape id="Textové pole 2" o:spid="_x0000_s2090" type="#_x0000_t202" style="position:absolute;left:0;text-align:left;margin-left:99.3pt;margin-top:763.2pt;width:426.2pt;height:45.9pt;z-index:251657728;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14:paraId="7F97A769" w14:textId="77777777"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14:paraId="77FE63F9" w14:textId="77777777"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754E38F8" w14:textId="77777777"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00EA4798" w:rsidRPr="000055B2">
                    <w:rPr>
                      <w:rStyle w:val="Hypertextovodkaz"/>
                      <w:rFonts w:cs="Arial"/>
                      <w:b/>
                      <w:sz w:val="15"/>
                      <w:szCs w:val="15"/>
                    </w:rPr>
                    <w:t>www.csu.gov.cz</w:t>
                  </w:r>
                </w:hyperlink>
              </w:p>
              <w:p w14:paraId="54EC897D" w14:textId="327FA0FD" w:rsidR="00380178" w:rsidRPr="007B5907" w:rsidRDefault="00380178" w:rsidP="00380178">
                <w:pPr>
                  <w:tabs>
                    <w:tab w:val="right" w:pos="8505"/>
                  </w:tabs>
                  <w:spacing w:line="220" w:lineRule="atLeast"/>
                  <w:rPr>
                    <w:rFonts w:cs="Arial"/>
                    <w:lang w:val="fr-FR"/>
                  </w:rPr>
                </w:pPr>
                <w:r w:rsidRPr="007B5907">
                  <w:rPr>
                    <w:rFonts w:cs="Arial"/>
                    <w:sz w:val="15"/>
                    <w:szCs w:val="15"/>
                    <w:lang w:val="fr-FR"/>
                  </w:rPr>
                  <w:t xml:space="preserve">tel: +420 </w:t>
                </w:r>
                <w:r w:rsidR="000B6773" w:rsidRPr="007B5907">
                  <w:rPr>
                    <w:rFonts w:cs="Arial"/>
                    <w:sz w:val="15"/>
                    <w:szCs w:val="15"/>
                    <w:lang w:val="fr-FR"/>
                  </w:rPr>
                  <w:t>274 056 789</w:t>
                </w:r>
                <w:r w:rsidRPr="007B5907">
                  <w:rPr>
                    <w:rFonts w:cs="Arial"/>
                    <w:sz w:val="15"/>
                    <w:szCs w:val="15"/>
                    <w:lang w:val="fr-FR"/>
                  </w:rPr>
                  <w:t xml:space="preserve">, e-mail: </w:t>
                </w:r>
                <w:hyperlink r:id="rId2" w:history="1">
                  <w:r w:rsidR="00EA4798" w:rsidRPr="007B5907">
                    <w:rPr>
                      <w:rStyle w:val="Hypertextovodkaz"/>
                      <w:rFonts w:cs="Arial"/>
                      <w:sz w:val="15"/>
                      <w:szCs w:val="15"/>
                      <w:lang w:val="fr-FR"/>
                    </w:rPr>
                    <w:t>infoservis@csu.gov.cz</w:t>
                  </w:r>
                </w:hyperlink>
                <w:r w:rsidRPr="007B5907">
                  <w:rPr>
                    <w:rFonts w:cs="Arial"/>
                    <w:sz w:val="15"/>
                    <w:szCs w:val="15"/>
                    <w:lang w:val="fr-FR"/>
                  </w:rPr>
                  <w:tab/>
                </w:r>
                <w:r w:rsidR="00123849" w:rsidRPr="007E75DE">
                  <w:rPr>
                    <w:rFonts w:cs="Arial"/>
                    <w:szCs w:val="15"/>
                  </w:rPr>
                  <w:fldChar w:fldCharType="begin"/>
                </w:r>
                <w:r w:rsidRPr="007B5907">
                  <w:rPr>
                    <w:rFonts w:cs="Arial"/>
                    <w:szCs w:val="15"/>
                    <w:lang w:val="fr-FR"/>
                  </w:rPr>
                  <w:instrText xml:space="preserve"> PAGE   \* MERGEFORMAT </w:instrText>
                </w:r>
                <w:r w:rsidR="00123849" w:rsidRPr="007E75DE">
                  <w:rPr>
                    <w:rFonts w:cs="Arial"/>
                    <w:szCs w:val="15"/>
                  </w:rPr>
                  <w:fldChar w:fldCharType="separate"/>
                </w:r>
                <w:r w:rsidR="00D430C2">
                  <w:rPr>
                    <w:rFonts w:cs="Arial"/>
                    <w:noProof/>
                    <w:szCs w:val="15"/>
                    <w:lang w:val="fr-FR"/>
                  </w:rPr>
                  <w:t>2</w:t>
                </w:r>
                <w:r w:rsidR="00123849" w:rsidRPr="007E75DE">
                  <w:rPr>
                    <w:rFonts w:cs="Arial"/>
                    <w:szCs w:val="15"/>
                  </w:rPr>
                  <w:fldChar w:fldCharType="end"/>
                </w:r>
              </w:p>
            </w:txbxContent>
          </v:textbox>
          <w10:wrap anchorx="page" anchory="page"/>
        </v:shape>
      </w:pict>
    </w:r>
    <w:r>
      <w:rPr>
        <w:noProof/>
      </w:rPr>
      <w:pict w14:anchorId="2DFDE06E">
        <v:line id="Přímá spojnice 2" o:spid="_x0000_s2049" style="position:absolute;left:0;text-align:left;flip:y;z-index:251656704;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67DD1D" w14:textId="77777777" w:rsidR="002E7E9E" w:rsidRDefault="002E7E9E" w:rsidP="00BA6370">
      <w:r>
        <w:separator/>
      </w:r>
    </w:p>
  </w:footnote>
  <w:footnote w:type="continuationSeparator" w:id="0">
    <w:p w14:paraId="5698F946" w14:textId="77777777" w:rsidR="002E7E9E" w:rsidRDefault="002E7E9E"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7BE6D2" w14:textId="77777777" w:rsidR="003D0499" w:rsidRDefault="00D430C2">
    <w:pPr>
      <w:pStyle w:val="Zhlav"/>
    </w:pPr>
    <w:r>
      <w:rPr>
        <w:noProof/>
      </w:rPr>
      <w:pict w14:anchorId="1C97F40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96" type="#_x0000_t75" style="position:absolute;left:0;text-align:left;margin-left:-69.45pt;margin-top:7.95pt;width:506.25pt;height:80.2pt;z-index:251658752;mso-position-horizontal:absolute;mso-position-horizontal-relative:text;mso-position-vertical:absolute;mso-position-vertical-relative:text">
          <v:imagedata r:id="rId1" o:title="Záhlaví_News Release_E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oNotTrackMoves/>
  <w:defaultTabStop w:val="720"/>
  <w:hyphenationZone w:val="425"/>
  <w:characterSpacingControl w:val="doNotCompress"/>
  <w:hdrShapeDefaults>
    <o:shapedefaults v:ext="edit" spidmax="2098">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64EE"/>
    <w:rsid w:val="00014A93"/>
    <w:rsid w:val="00041CB8"/>
    <w:rsid w:val="00043BF4"/>
    <w:rsid w:val="000560A0"/>
    <w:rsid w:val="00057191"/>
    <w:rsid w:val="000651BC"/>
    <w:rsid w:val="000843A5"/>
    <w:rsid w:val="00091722"/>
    <w:rsid w:val="000B6773"/>
    <w:rsid w:val="000B6F63"/>
    <w:rsid w:val="000C4DE5"/>
    <w:rsid w:val="00116ED1"/>
    <w:rsid w:val="00123849"/>
    <w:rsid w:val="00126003"/>
    <w:rsid w:val="0013242C"/>
    <w:rsid w:val="001404AB"/>
    <w:rsid w:val="00157488"/>
    <w:rsid w:val="00167D93"/>
    <w:rsid w:val="0017231D"/>
    <w:rsid w:val="00176E26"/>
    <w:rsid w:val="0018061F"/>
    <w:rsid w:val="001810DC"/>
    <w:rsid w:val="00182956"/>
    <w:rsid w:val="001842E9"/>
    <w:rsid w:val="001947A0"/>
    <w:rsid w:val="00197B71"/>
    <w:rsid w:val="001B607F"/>
    <w:rsid w:val="001C057D"/>
    <w:rsid w:val="001C71FD"/>
    <w:rsid w:val="001D369A"/>
    <w:rsid w:val="001F08B3"/>
    <w:rsid w:val="001F1522"/>
    <w:rsid w:val="001F48C6"/>
    <w:rsid w:val="001F55CC"/>
    <w:rsid w:val="002070FB"/>
    <w:rsid w:val="00213729"/>
    <w:rsid w:val="002406FA"/>
    <w:rsid w:val="00245F51"/>
    <w:rsid w:val="002478AD"/>
    <w:rsid w:val="00271263"/>
    <w:rsid w:val="00293377"/>
    <w:rsid w:val="00297900"/>
    <w:rsid w:val="002A4D11"/>
    <w:rsid w:val="002B2E47"/>
    <w:rsid w:val="002D37F5"/>
    <w:rsid w:val="002E7E9E"/>
    <w:rsid w:val="002F3068"/>
    <w:rsid w:val="002F3110"/>
    <w:rsid w:val="002F662A"/>
    <w:rsid w:val="0032398D"/>
    <w:rsid w:val="003301A3"/>
    <w:rsid w:val="00333AD3"/>
    <w:rsid w:val="00337B4D"/>
    <w:rsid w:val="003633C6"/>
    <w:rsid w:val="0036777B"/>
    <w:rsid w:val="003703F5"/>
    <w:rsid w:val="003760C0"/>
    <w:rsid w:val="00380178"/>
    <w:rsid w:val="0038282A"/>
    <w:rsid w:val="0038557F"/>
    <w:rsid w:val="003916AF"/>
    <w:rsid w:val="00392144"/>
    <w:rsid w:val="00397580"/>
    <w:rsid w:val="003A45C8"/>
    <w:rsid w:val="003B7F42"/>
    <w:rsid w:val="003C2DCF"/>
    <w:rsid w:val="003C3372"/>
    <w:rsid w:val="003C7FE7"/>
    <w:rsid w:val="003D0499"/>
    <w:rsid w:val="003D3100"/>
    <w:rsid w:val="003D3576"/>
    <w:rsid w:val="003E54DC"/>
    <w:rsid w:val="003F0CF8"/>
    <w:rsid w:val="003F2E69"/>
    <w:rsid w:val="003F526A"/>
    <w:rsid w:val="00405244"/>
    <w:rsid w:val="00405AFA"/>
    <w:rsid w:val="0043126F"/>
    <w:rsid w:val="00436D82"/>
    <w:rsid w:val="004436EE"/>
    <w:rsid w:val="0045547F"/>
    <w:rsid w:val="004904C6"/>
    <w:rsid w:val="004920AD"/>
    <w:rsid w:val="00495B3B"/>
    <w:rsid w:val="00495F42"/>
    <w:rsid w:val="004A2633"/>
    <w:rsid w:val="004D05B3"/>
    <w:rsid w:val="004E479E"/>
    <w:rsid w:val="004F78E6"/>
    <w:rsid w:val="0050273E"/>
    <w:rsid w:val="005101CB"/>
    <w:rsid w:val="00512D99"/>
    <w:rsid w:val="00531DBB"/>
    <w:rsid w:val="0055023D"/>
    <w:rsid w:val="00564213"/>
    <w:rsid w:val="005823EA"/>
    <w:rsid w:val="005864E4"/>
    <w:rsid w:val="005B6658"/>
    <w:rsid w:val="005C42BF"/>
    <w:rsid w:val="005D1267"/>
    <w:rsid w:val="005E101A"/>
    <w:rsid w:val="005F79FB"/>
    <w:rsid w:val="00604406"/>
    <w:rsid w:val="006046B4"/>
    <w:rsid w:val="00605F4A"/>
    <w:rsid w:val="00607822"/>
    <w:rsid w:val="006103AA"/>
    <w:rsid w:val="0061228F"/>
    <w:rsid w:val="00613BBF"/>
    <w:rsid w:val="00622B80"/>
    <w:rsid w:val="0064139A"/>
    <w:rsid w:val="006437F0"/>
    <w:rsid w:val="00655617"/>
    <w:rsid w:val="0068239F"/>
    <w:rsid w:val="006A416F"/>
    <w:rsid w:val="006D06BD"/>
    <w:rsid w:val="006D5C60"/>
    <w:rsid w:val="006D7742"/>
    <w:rsid w:val="006E024F"/>
    <w:rsid w:val="006E0261"/>
    <w:rsid w:val="006E4E81"/>
    <w:rsid w:val="00707F7D"/>
    <w:rsid w:val="00717EC5"/>
    <w:rsid w:val="007302FA"/>
    <w:rsid w:val="00755D8B"/>
    <w:rsid w:val="00763787"/>
    <w:rsid w:val="007646FB"/>
    <w:rsid w:val="00784615"/>
    <w:rsid w:val="00793D5F"/>
    <w:rsid w:val="007A0CA5"/>
    <w:rsid w:val="007A57F2"/>
    <w:rsid w:val="007B1333"/>
    <w:rsid w:val="007B48D1"/>
    <w:rsid w:val="007B5907"/>
    <w:rsid w:val="007C1CFB"/>
    <w:rsid w:val="007E156D"/>
    <w:rsid w:val="007F4AEB"/>
    <w:rsid w:val="007F75B2"/>
    <w:rsid w:val="008043C4"/>
    <w:rsid w:val="00831B1B"/>
    <w:rsid w:val="00855FB3"/>
    <w:rsid w:val="00861D0E"/>
    <w:rsid w:val="00867569"/>
    <w:rsid w:val="008764EE"/>
    <w:rsid w:val="00883C60"/>
    <w:rsid w:val="00885C0D"/>
    <w:rsid w:val="008A750A"/>
    <w:rsid w:val="008B1B29"/>
    <w:rsid w:val="008B3970"/>
    <w:rsid w:val="008C384C"/>
    <w:rsid w:val="008D0F11"/>
    <w:rsid w:val="008F1124"/>
    <w:rsid w:val="008F73B4"/>
    <w:rsid w:val="009035E8"/>
    <w:rsid w:val="0090459E"/>
    <w:rsid w:val="009211A3"/>
    <w:rsid w:val="00937BA4"/>
    <w:rsid w:val="00947239"/>
    <w:rsid w:val="00953416"/>
    <w:rsid w:val="009616CE"/>
    <w:rsid w:val="00971374"/>
    <w:rsid w:val="00977440"/>
    <w:rsid w:val="00994287"/>
    <w:rsid w:val="009970FB"/>
    <w:rsid w:val="009B55B1"/>
    <w:rsid w:val="009C4D55"/>
    <w:rsid w:val="009E39C5"/>
    <w:rsid w:val="00A07BA7"/>
    <w:rsid w:val="00A17409"/>
    <w:rsid w:val="00A4343D"/>
    <w:rsid w:val="00A502F1"/>
    <w:rsid w:val="00A66544"/>
    <w:rsid w:val="00A67A30"/>
    <w:rsid w:val="00A70A83"/>
    <w:rsid w:val="00A81EB3"/>
    <w:rsid w:val="00A97ACD"/>
    <w:rsid w:val="00AA26ED"/>
    <w:rsid w:val="00AA33B9"/>
    <w:rsid w:val="00AB2A06"/>
    <w:rsid w:val="00AB6196"/>
    <w:rsid w:val="00AC3140"/>
    <w:rsid w:val="00AD338C"/>
    <w:rsid w:val="00AE676D"/>
    <w:rsid w:val="00AE7362"/>
    <w:rsid w:val="00AF6310"/>
    <w:rsid w:val="00B00C1D"/>
    <w:rsid w:val="00B51524"/>
    <w:rsid w:val="00B51EE8"/>
    <w:rsid w:val="00B53893"/>
    <w:rsid w:val="00B63241"/>
    <w:rsid w:val="00B632CC"/>
    <w:rsid w:val="00B80408"/>
    <w:rsid w:val="00B83618"/>
    <w:rsid w:val="00BA12F1"/>
    <w:rsid w:val="00BA439F"/>
    <w:rsid w:val="00BA6370"/>
    <w:rsid w:val="00BF6A45"/>
    <w:rsid w:val="00C01C52"/>
    <w:rsid w:val="00C20E4C"/>
    <w:rsid w:val="00C24DD9"/>
    <w:rsid w:val="00C269D4"/>
    <w:rsid w:val="00C36150"/>
    <w:rsid w:val="00C4160D"/>
    <w:rsid w:val="00C454FA"/>
    <w:rsid w:val="00C62575"/>
    <w:rsid w:val="00C636CB"/>
    <w:rsid w:val="00C8406E"/>
    <w:rsid w:val="00C84D24"/>
    <w:rsid w:val="00C96917"/>
    <w:rsid w:val="00CB2709"/>
    <w:rsid w:val="00CB5E01"/>
    <w:rsid w:val="00CB6F89"/>
    <w:rsid w:val="00CC07C8"/>
    <w:rsid w:val="00CE228C"/>
    <w:rsid w:val="00CE71D9"/>
    <w:rsid w:val="00CF545B"/>
    <w:rsid w:val="00D209A7"/>
    <w:rsid w:val="00D27D69"/>
    <w:rsid w:val="00D35D99"/>
    <w:rsid w:val="00D42A90"/>
    <w:rsid w:val="00D430C2"/>
    <w:rsid w:val="00D448C2"/>
    <w:rsid w:val="00D4569E"/>
    <w:rsid w:val="00D576EA"/>
    <w:rsid w:val="00D666C3"/>
    <w:rsid w:val="00D811AB"/>
    <w:rsid w:val="00DC3A92"/>
    <w:rsid w:val="00DD2A77"/>
    <w:rsid w:val="00DF1078"/>
    <w:rsid w:val="00DF47FE"/>
    <w:rsid w:val="00E0156A"/>
    <w:rsid w:val="00E1630A"/>
    <w:rsid w:val="00E26704"/>
    <w:rsid w:val="00E31980"/>
    <w:rsid w:val="00E320BE"/>
    <w:rsid w:val="00E6423C"/>
    <w:rsid w:val="00E71483"/>
    <w:rsid w:val="00E93830"/>
    <w:rsid w:val="00E93E0E"/>
    <w:rsid w:val="00EA4798"/>
    <w:rsid w:val="00EA7638"/>
    <w:rsid w:val="00EB1A25"/>
    <w:rsid w:val="00EB1ED3"/>
    <w:rsid w:val="00EC0A2D"/>
    <w:rsid w:val="00ED6432"/>
    <w:rsid w:val="00EE70B7"/>
    <w:rsid w:val="00F24F76"/>
    <w:rsid w:val="00F314B7"/>
    <w:rsid w:val="00F37642"/>
    <w:rsid w:val="00F526F9"/>
    <w:rsid w:val="00F6664E"/>
    <w:rsid w:val="00F83C49"/>
    <w:rsid w:val="00F849D3"/>
    <w:rsid w:val="00F92D14"/>
    <w:rsid w:val="00FA5965"/>
    <w:rsid w:val="00FB2FAF"/>
    <w:rsid w:val="00FB687C"/>
    <w:rsid w:val="00FC3673"/>
    <w:rsid w:val="00FC6110"/>
    <w:rsid w:val="00FE114D"/>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98">
      <o:colormru v:ext="edit" colors="#0071bc"/>
    </o:shapedefaults>
    <o:shapelayout v:ext="edit">
      <o:idmap v:ext="edit" data="1"/>
    </o:shapelayout>
  </w:shapeDefaults>
  <w:decimalSymbol w:val=","/>
  <w:listSeparator w:val=";"/>
  <w14:docId w14:val="2CF4565F"/>
  <w15:docId w15:val="{664FE102-E29C-4CBA-9479-E95B2ABBF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842E9"/>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character" w:customStyle="1" w:styleId="odkaz-style-wrapper">
    <w:name w:val="odkaz-style-wrapper"/>
    <w:rsid w:val="00883C60"/>
  </w:style>
  <w:style w:type="character" w:styleId="Zdraznn">
    <w:name w:val="Emphasis"/>
    <w:uiPriority w:val="20"/>
    <w:qFormat/>
    <w:rsid w:val="00883C60"/>
    <w:rPr>
      <w:i/>
      <w:iCs/>
    </w:rPr>
  </w:style>
  <w:style w:type="character" w:styleId="Odkaznakoment">
    <w:name w:val="annotation reference"/>
    <w:uiPriority w:val="99"/>
    <w:semiHidden/>
    <w:unhideWhenUsed/>
    <w:rsid w:val="00F849D3"/>
    <w:rPr>
      <w:sz w:val="16"/>
      <w:szCs w:val="16"/>
    </w:rPr>
  </w:style>
  <w:style w:type="paragraph" w:styleId="Textkomente">
    <w:name w:val="annotation text"/>
    <w:basedOn w:val="Normln"/>
    <w:link w:val="TextkomenteChar"/>
    <w:uiPriority w:val="99"/>
    <w:semiHidden/>
    <w:unhideWhenUsed/>
    <w:rsid w:val="00F849D3"/>
    <w:rPr>
      <w:szCs w:val="20"/>
    </w:rPr>
  </w:style>
  <w:style w:type="character" w:customStyle="1" w:styleId="TextkomenteChar">
    <w:name w:val="Text komentáře Char"/>
    <w:link w:val="Textkomente"/>
    <w:uiPriority w:val="99"/>
    <w:semiHidden/>
    <w:rsid w:val="00F849D3"/>
    <w:rPr>
      <w:rFonts w:ascii="Arial" w:hAnsi="Arial"/>
      <w:lang w:val="en-GB" w:eastAsia="en-US"/>
    </w:rPr>
  </w:style>
  <w:style w:type="paragraph" w:styleId="Pedmtkomente">
    <w:name w:val="annotation subject"/>
    <w:basedOn w:val="Textkomente"/>
    <w:next w:val="Textkomente"/>
    <w:link w:val="PedmtkomenteChar"/>
    <w:uiPriority w:val="99"/>
    <w:semiHidden/>
    <w:unhideWhenUsed/>
    <w:rsid w:val="00F849D3"/>
    <w:rPr>
      <w:b/>
      <w:bCs/>
    </w:rPr>
  </w:style>
  <w:style w:type="character" w:customStyle="1" w:styleId="PedmtkomenteChar">
    <w:name w:val="Předmět komentáře Char"/>
    <w:link w:val="Pedmtkomente"/>
    <w:uiPriority w:val="99"/>
    <w:semiHidden/>
    <w:rsid w:val="00F849D3"/>
    <w:rPr>
      <w:rFonts w:ascii="Arial" w:hAnsi="Arial"/>
      <w:b/>
      <w:bCs/>
      <w:lang w:val="en-GB" w:eastAsia="en-US"/>
    </w:rPr>
  </w:style>
  <w:style w:type="character" w:customStyle="1" w:styleId="normaltextrun">
    <w:name w:val="normaltextrun"/>
    <w:rsid w:val="0038557F"/>
  </w:style>
  <w:style w:type="character" w:styleId="Sledovanodkaz">
    <w:name w:val="FollowedHyperlink"/>
    <w:uiPriority w:val="99"/>
    <w:semiHidden/>
    <w:unhideWhenUsed/>
    <w:rsid w:val="007E156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966960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csu.gov.cz/quarterly-national-accounts-gdp-resources-and-uses-and-gdp-preliminary-estimate"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vladimir.kermiet@csu.gov.cz"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apl.czso.cz/nufile/Definitions.pdf" TargetMode="External"/><Relationship Id="rId5" Type="http://schemas.openxmlformats.org/officeDocument/2006/relationships/styles" Target="styles.xml"/><Relationship Id="rId15" Type="http://schemas.openxmlformats.org/officeDocument/2006/relationships/hyperlink" Target="http://apl.czso.cz/pll/rocenka/rocenkavyber.kvart_qsa_mat?mylang=EN&amp;oblast=@RU" TargetMode="External"/><Relationship Id="rId10" Type="http://schemas.openxmlformats.org/officeDocument/2006/relationships/hyperlink" Target="https://csu.gov.cz/produkty/hdp_ts" TargetMode="Externa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apl.czso.cz/pll/rocenka/rocenkavyber.kvart_qsa?mylang=EN&amp;oblast=@RU"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su.gov.cz" TargetMode="External"/><Relationship Id="rId1" Type="http://schemas.openxmlformats.org/officeDocument/2006/relationships/hyperlink" Target="http://www.csu.gov.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ousova9707\Desktop\NOV&#201;_FORMUL&#193;&#344;E_RI_apod_MM_13_06_2024\Form_c466_Rychla%20informace_EN_NOV&#193;_DOM&#201;NA.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4" ma:contentTypeDescription="Vytvoří nový dokument" ma:contentTypeScope="" ma:versionID="c0c140c9d05ca1c47f4a405bdec15489">
  <xsd:schema xmlns:xsd="http://www.w3.org/2001/XMLSchema" xmlns:xs="http://www.w3.org/2001/XMLSchema" xmlns:p="http://schemas.microsoft.com/office/2006/metadata/properties" xmlns:ns2="6f5a4aca-455c-4012-a902-4d97d6c174df" targetNamespace="http://schemas.microsoft.com/office/2006/metadata/properties" ma:root="true" ma:fieldsID="02bf72f01db06c9395d44c145d248dca"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1215F2-D9B3-4995-BDE1-7BBC53832C3F}">
  <ds:schemaRefs>
    <ds:schemaRef ds:uri="http://schemas.microsoft.com/sharepoint/v3/contenttype/forms"/>
  </ds:schemaRefs>
</ds:datastoreItem>
</file>

<file path=customXml/itemProps2.xml><?xml version="1.0" encoding="utf-8"?>
<ds:datastoreItem xmlns:ds="http://schemas.openxmlformats.org/officeDocument/2006/customXml" ds:itemID="{27B604C2-90F1-443B-9B76-272619FAE4D4}">
  <ds:schemaRefs>
    <ds:schemaRef ds:uri="http://schemas.microsoft.com/office/2006/metadata/properties"/>
    <ds:schemaRef ds:uri="http://schemas.microsoft.com/office/infopath/2007/PartnerControls"/>
    <ds:schemaRef ds:uri="8675fb2b-b414-4bad-b4c4-d9349268b5a1"/>
    <ds:schemaRef ds:uri="406a38fe-c53c-4047-b0f8-c641386931ae"/>
  </ds:schemaRefs>
</ds:datastoreItem>
</file>

<file path=customXml/itemProps3.xml><?xml version="1.0" encoding="utf-8"?>
<ds:datastoreItem xmlns:ds="http://schemas.openxmlformats.org/officeDocument/2006/customXml" ds:itemID="{11750E72-F31D-436D-A431-5F0DA81F96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5a4aca-455c-4012-a902-4d97d6c174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59E3546-7138-4A38-98E5-0DC2769635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Form_c466_Rychla informace_EN_NOVÁ_DOMÉNA.dotx</Template>
  <TotalTime>125</TotalTime>
  <Pages>3</Pages>
  <Words>937</Words>
  <Characters>5534</Characters>
  <Application>Microsoft Office Word</Application>
  <DocSecurity>0</DocSecurity>
  <Lines>46</Lines>
  <Paragraphs>12</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6459</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Matoušová Milada</dc:creator>
  <cp:lastModifiedBy>Michl Pavel</cp:lastModifiedBy>
  <cp:revision>37</cp:revision>
  <dcterms:created xsi:type="dcterms:W3CDTF">2025-03-28T07:39:00Z</dcterms:created>
  <dcterms:modified xsi:type="dcterms:W3CDTF">2025-03-28T10:34:00Z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y fmtid="{D5CDD505-2E9C-101B-9397-08002B2CF9AE}" pid="3" name="Názevformuláře">
    <vt:lpwstr>Rychlá informace EN - konjukturální průzkum
</vt:lpwstr>
  </property>
  <property fmtid="{D5CDD505-2E9C-101B-9397-08002B2CF9AE}" pid="4" name="Vazbanaprocesnídoménu">
    <vt:lpwstr>;#4. Komunikace a propagace;#</vt:lpwstr>
  </property>
  <property fmtid="{D5CDD505-2E9C-101B-9397-08002B2CF9AE}" pid="5" name="Vazbanadefiničnípředpis">
    <vt:lpwstr>Směrnice č. 6/2020; Manuál jednotného vizuálního stylu ČSÚ
</vt:lpwstr>
  </property>
  <property fmtid="{D5CDD505-2E9C-101B-9397-08002B2CF9AE}" pid="6" name="Ustanovení">
    <vt:lpwstr>čl. 3, odst. 5a; část 11.1
</vt:lpwstr>
  </property>
  <property fmtid="{D5CDD505-2E9C-101B-9397-08002B2CF9AE}" pid="7" name="Účinnostod">
    <vt:filetime>2022-03-02T08:00:00Z</vt:filetime>
  </property>
  <property fmtid="{D5CDD505-2E9C-101B-9397-08002B2CF9AE}" pid="8" name="Označení">
    <vt:lpwstr>Form_c466</vt:lpwstr>
  </property>
  <property fmtid="{D5CDD505-2E9C-101B-9397-08002B2CF9AE}" pid="9" name="xd_ProgID">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TriggerFlowInfo">
    <vt:lpwstr/>
  </property>
  <property fmtid="{D5CDD505-2E9C-101B-9397-08002B2CF9AE}" pid="14" name="xd_Signature">
    <vt:bool>false</vt:bool>
  </property>
</Properties>
</file>