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A1AB" w14:textId="2B0F61DF" w:rsidR="00867569" w:rsidRDefault="006E39A7" w:rsidP="00270F84">
      <w:pPr>
        <w:pStyle w:val="Datum"/>
      </w:pPr>
      <w:r>
        <w:t>0</w:t>
      </w:r>
      <w:r w:rsidR="00C55D6B">
        <w:t>3</w:t>
      </w:r>
      <w:r w:rsidR="00304176">
        <w:t>.</w:t>
      </w:r>
      <w:r w:rsidR="00915A3B">
        <w:t xml:space="preserve"> </w:t>
      </w:r>
      <w:r w:rsidR="00C55D6B">
        <w:t>10</w:t>
      </w:r>
      <w:r w:rsidR="00A93DE1">
        <w:t>.</w:t>
      </w:r>
      <w:r w:rsidR="00022194">
        <w:t xml:space="preserve"> </w:t>
      </w:r>
      <w:r w:rsidR="00304176">
        <w:t>20</w:t>
      </w:r>
      <w:r w:rsidR="0070617B">
        <w:t>2</w:t>
      </w:r>
      <w:r w:rsidR="00BC0239">
        <w:t>2</w:t>
      </w:r>
    </w:p>
    <w:p w14:paraId="262E8C2C" w14:textId="75A76314" w:rsidR="002F357E" w:rsidRDefault="008D5BB8" w:rsidP="00DB7DDE">
      <w:pPr>
        <w:pStyle w:val="Podtitulek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H</w:t>
      </w:r>
      <w:r w:rsidR="00701B16">
        <w:rPr>
          <w:color w:val="BD1B21"/>
          <w:sz w:val="32"/>
          <w:szCs w:val="32"/>
        </w:rPr>
        <w:t xml:space="preserve">ospodaření vládních </w:t>
      </w:r>
      <w:r w:rsidR="004D7156">
        <w:rPr>
          <w:color w:val="BD1B21"/>
          <w:sz w:val="32"/>
          <w:szCs w:val="32"/>
        </w:rPr>
        <w:t xml:space="preserve">institucí </w:t>
      </w:r>
      <w:r w:rsidR="00276813">
        <w:rPr>
          <w:color w:val="BD1B21"/>
          <w:sz w:val="32"/>
          <w:szCs w:val="32"/>
        </w:rPr>
        <w:t>bylo v 2. čtvrtletí 2022 v nepatrném přebytku</w:t>
      </w:r>
    </w:p>
    <w:p w14:paraId="698A55A3" w14:textId="7F20020E"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C55D6B">
        <w:t>2</w:t>
      </w:r>
      <w:r w:rsidR="00407901">
        <w:t>. čtvrtletí 202</w:t>
      </w:r>
      <w:r w:rsidR="008B4DC3">
        <w:t>2</w:t>
      </w:r>
    </w:p>
    <w:p w14:paraId="7B043CCE" w14:textId="17835EC3" w:rsidR="00053474" w:rsidRDefault="00053474" w:rsidP="00053474">
      <w:pPr>
        <w:rPr>
          <w:b/>
        </w:rPr>
      </w:pPr>
      <w:r w:rsidRPr="002A63D2">
        <w:rPr>
          <w:b/>
        </w:rPr>
        <w:t>Saldo hospodaření sekto</w:t>
      </w:r>
      <w:r w:rsidR="00474243">
        <w:rPr>
          <w:b/>
        </w:rPr>
        <w:t xml:space="preserve">ru vládních institucí </w:t>
      </w:r>
      <w:r w:rsidR="00760124">
        <w:rPr>
          <w:b/>
        </w:rPr>
        <w:t>skončilo</w:t>
      </w:r>
      <w:r w:rsidR="00474243">
        <w:rPr>
          <w:b/>
        </w:rPr>
        <w:t xml:space="preserve"> v</w:t>
      </w:r>
      <w:r w:rsidR="00411E28">
        <w:rPr>
          <w:b/>
        </w:rPr>
        <w:t>e</w:t>
      </w:r>
      <w:r w:rsidR="00474243">
        <w:rPr>
          <w:b/>
        </w:rPr>
        <w:t xml:space="preserve"> </w:t>
      </w:r>
      <w:r w:rsidR="008D5BB8">
        <w:rPr>
          <w:b/>
        </w:rPr>
        <w:t>druhém</w:t>
      </w:r>
      <w:r w:rsidR="00CD4356">
        <w:rPr>
          <w:b/>
        </w:rPr>
        <w:t xml:space="preserve"> čtvrtletí </w:t>
      </w:r>
      <w:r w:rsidR="000D4AC4">
        <w:rPr>
          <w:b/>
        </w:rPr>
        <w:t xml:space="preserve">roku </w:t>
      </w:r>
      <w:r w:rsidR="00CD4356">
        <w:rPr>
          <w:b/>
        </w:rPr>
        <w:t>202</w:t>
      </w:r>
      <w:r w:rsidR="008B4DC3">
        <w:rPr>
          <w:b/>
        </w:rPr>
        <w:t>2</w:t>
      </w:r>
      <w:r w:rsidRPr="002A63D2">
        <w:rPr>
          <w:b/>
        </w:rPr>
        <w:t xml:space="preserve"> </w:t>
      </w:r>
      <w:r w:rsidR="00D31739">
        <w:rPr>
          <w:b/>
        </w:rPr>
        <w:t>v </w:t>
      </w:r>
      <w:r w:rsidR="00276813">
        <w:rPr>
          <w:b/>
        </w:rPr>
        <w:t>nepatrném</w:t>
      </w:r>
      <w:r w:rsidR="00D31739">
        <w:rPr>
          <w:b/>
        </w:rPr>
        <w:t xml:space="preserve"> přebytku</w:t>
      </w:r>
      <w:r w:rsidR="00760124">
        <w:rPr>
          <w:b/>
        </w:rPr>
        <w:t xml:space="preserve"> </w:t>
      </w:r>
      <w:r w:rsidR="00AC2E71">
        <w:rPr>
          <w:b/>
        </w:rPr>
        <w:t>odpovídající úrovni</w:t>
      </w:r>
      <w:r w:rsidR="00760124">
        <w:rPr>
          <w:b/>
        </w:rPr>
        <w:t xml:space="preserve"> 0,0</w:t>
      </w:r>
      <w:r w:rsidR="000C0C1C">
        <w:rPr>
          <w:b/>
        </w:rPr>
        <w:t>3</w:t>
      </w:r>
      <w:r w:rsidR="00760124">
        <w:rPr>
          <w:b/>
        </w:rPr>
        <w:t xml:space="preserve"> % HDP</w:t>
      </w:r>
      <w:r w:rsidR="007A2F1F">
        <w:rPr>
          <w:b/>
        </w:rPr>
        <w:t xml:space="preserve">. </w:t>
      </w:r>
      <w:r w:rsidRPr="00811BF3">
        <w:rPr>
          <w:b/>
        </w:rPr>
        <w:t xml:space="preserve">Míra zadlužení sektoru vládních institucí </w:t>
      </w:r>
      <w:r w:rsidR="008D5BB8">
        <w:rPr>
          <w:b/>
        </w:rPr>
        <w:t>stoupla</w:t>
      </w:r>
      <w:r w:rsidRPr="00F520C7">
        <w:rPr>
          <w:b/>
        </w:rPr>
        <w:t xml:space="preserve"> meziročně </w:t>
      </w:r>
      <w:r w:rsidRPr="001807A0">
        <w:rPr>
          <w:b/>
        </w:rPr>
        <w:t xml:space="preserve">o </w:t>
      </w:r>
      <w:r w:rsidR="00F100EB">
        <w:rPr>
          <w:b/>
        </w:rPr>
        <w:t>1,</w:t>
      </w:r>
      <w:r w:rsidR="008D5BB8">
        <w:rPr>
          <w:b/>
        </w:rPr>
        <w:t>4</w:t>
      </w:r>
      <w:r w:rsidR="00DC1C8F" w:rsidRPr="00F100EB">
        <w:rPr>
          <w:b/>
        </w:rPr>
        <w:t xml:space="preserve"> </w:t>
      </w:r>
      <w:r w:rsidRPr="00F100EB">
        <w:rPr>
          <w:b/>
        </w:rPr>
        <w:t xml:space="preserve">p. b. </w:t>
      </w:r>
      <w:proofErr w:type="gramStart"/>
      <w:r w:rsidRPr="00F100EB">
        <w:rPr>
          <w:b/>
        </w:rPr>
        <w:t>na</w:t>
      </w:r>
      <w:proofErr w:type="gramEnd"/>
      <w:r w:rsidRPr="00F100EB">
        <w:rPr>
          <w:b/>
        </w:rPr>
        <w:t xml:space="preserve"> </w:t>
      </w:r>
      <w:r w:rsidR="00A23729" w:rsidRPr="00F100EB">
        <w:rPr>
          <w:b/>
        </w:rPr>
        <w:t>4</w:t>
      </w:r>
      <w:r w:rsidR="008D5BB8">
        <w:rPr>
          <w:b/>
        </w:rPr>
        <w:t>4</w:t>
      </w:r>
      <w:r w:rsidR="001807A0" w:rsidRPr="00F100EB">
        <w:rPr>
          <w:b/>
        </w:rPr>
        <w:t>,</w:t>
      </w:r>
      <w:r w:rsidR="008D5BB8">
        <w:rPr>
          <w:b/>
        </w:rPr>
        <w:t>0</w:t>
      </w:r>
      <w:r w:rsidR="006179B0" w:rsidRPr="00F100EB">
        <w:rPr>
          <w:b/>
        </w:rPr>
        <w:t xml:space="preserve"> </w:t>
      </w:r>
      <w:r w:rsidRPr="00F100EB">
        <w:rPr>
          <w:b/>
        </w:rPr>
        <w:t>% HDP.</w:t>
      </w:r>
    </w:p>
    <w:p w14:paraId="6C9DAEEF" w14:textId="77777777" w:rsidR="00A94B28" w:rsidRDefault="00A94B28" w:rsidP="00043BF4"/>
    <w:p w14:paraId="6449515F" w14:textId="1C2A125C" w:rsidR="00BF6C41" w:rsidRDefault="008D5BB8" w:rsidP="00053474">
      <w:r>
        <w:t>Přebytek</w:t>
      </w:r>
      <w:r w:rsidR="00B237A0">
        <w:t xml:space="preserve"> hospodaření vládních institucí v</w:t>
      </w:r>
      <w:r w:rsidR="0021676A">
        <w:t>e</w:t>
      </w:r>
      <w:r w:rsidR="0000660A">
        <w:t xml:space="preserve"> </w:t>
      </w:r>
      <w:r>
        <w:t>2</w:t>
      </w:r>
      <w:r w:rsidR="00B237A0">
        <w:t>.</w:t>
      </w:r>
      <w:r w:rsidR="00551E5D">
        <w:t xml:space="preserve"> </w:t>
      </w:r>
      <w:r w:rsidR="003C7864">
        <w:t>čtvrtletí</w:t>
      </w:r>
      <w:r w:rsidR="007E04BF">
        <w:t xml:space="preserve"> </w:t>
      </w:r>
      <w:r w:rsidR="000D4AC4">
        <w:t xml:space="preserve">roku </w:t>
      </w:r>
      <w:r w:rsidR="007E04BF">
        <w:t>20</w:t>
      </w:r>
      <w:r w:rsidR="000D4AC4">
        <w:t>2</w:t>
      </w:r>
      <w:r w:rsidR="008B4DC3">
        <w:t>2</w:t>
      </w:r>
      <w:r w:rsidR="003C7864">
        <w:t xml:space="preserve"> </w:t>
      </w:r>
      <w:r w:rsidR="00B237A0">
        <w:t xml:space="preserve">dosáhl </w:t>
      </w:r>
      <w:r w:rsidR="00166228">
        <w:t>0,5</w:t>
      </w:r>
      <w:r w:rsidR="00B237A0">
        <w:t xml:space="preserve"> mld. Kč, </w:t>
      </w:r>
      <w:r w:rsidR="00390F50">
        <w:t xml:space="preserve">což </w:t>
      </w:r>
      <w:r w:rsidR="00166228">
        <w:t>v meziročním srovnání znamená vylepšení o 40,8 mld. Kč</w:t>
      </w:r>
      <w:r w:rsidR="00390F50">
        <w:t>.</w:t>
      </w:r>
      <w:r w:rsidR="00F221D2">
        <w:t xml:space="preserve"> </w:t>
      </w:r>
      <w:r w:rsidR="00805BA6">
        <w:t>H</w:t>
      </w:r>
      <w:r w:rsidR="00F100EB">
        <w:t xml:space="preserve">ospodaření </w:t>
      </w:r>
      <w:r w:rsidR="009C00B5">
        <w:t>ústřední</w:t>
      </w:r>
      <w:r w:rsidR="00F100EB">
        <w:t>ch</w:t>
      </w:r>
      <w:r w:rsidR="009C00B5">
        <w:t xml:space="preserve"> </w:t>
      </w:r>
      <w:r w:rsidR="00060E33">
        <w:t>vládní</w:t>
      </w:r>
      <w:r w:rsidR="00F100EB">
        <w:t>ch</w:t>
      </w:r>
      <w:r w:rsidR="009C00B5">
        <w:t xml:space="preserve"> instituc</w:t>
      </w:r>
      <w:r w:rsidR="00F100EB">
        <w:t>í</w:t>
      </w:r>
      <w:r w:rsidR="00805BA6">
        <w:t xml:space="preserve"> i nadále zůstalo</w:t>
      </w:r>
      <w:r w:rsidR="00060E33">
        <w:t xml:space="preserve"> </w:t>
      </w:r>
      <w:r w:rsidR="009C00B5">
        <w:t xml:space="preserve">ve schodku </w:t>
      </w:r>
      <w:r w:rsidR="00805BA6">
        <w:t>69,8</w:t>
      </w:r>
      <w:r w:rsidR="009C00B5">
        <w:t xml:space="preserve"> mld.</w:t>
      </w:r>
      <w:r w:rsidR="00060E33">
        <w:t xml:space="preserve"> Kč</w:t>
      </w:r>
      <w:r w:rsidR="00F100EB">
        <w:t xml:space="preserve">, ale meziročně se vylepšilo o </w:t>
      </w:r>
      <w:r w:rsidR="00760124">
        <w:t>19,5</w:t>
      </w:r>
      <w:r w:rsidR="00F100EB">
        <w:t xml:space="preserve"> mld. Kč</w:t>
      </w:r>
      <w:r w:rsidR="00060E33">
        <w:t xml:space="preserve">. </w:t>
      </w:r>
      <w:r w:rsidR="00EB6243">
        <w:t>M</w:t>
      </w:r>
      <w:r w:rsidR="003C7864">
        <w:t>ístní vládní</w:t>
      </w:r>
      <w:r w:rsidR="00EB6243">
        <w:t xml:space="preserve"> instituce hospodař</w:t>
      </w:r>
      <w:r w:rsidR="00E92D16">
        <w:t xml:space="preserve">ily </w:t>
      </w:r>
      <w:r w:rsidR="008B4DC3">
        <w:t>s přebytkem</w:t>
      </w:r>
      <w:r w:rsidR="0036612E" w:rsidRPr="00B46BFE">
        <w:t xml:space="preserve"> </w:t>
      </w:r>
      <w:r w:rsidR="00760124">
        <w:t>62,9</w:t>
      </w:r>
      <w:r w:rsidR="0036612E">
        <w:t xml:space="preserve"> m</w:t>
      </w:r>
      <w:r w:rsidR="00F221D2">
        <w:t>ld. Kč</w:t>
      </w:r>
      <w:r w:rsidR="00760124">
        <w:t xml:space="preserve">, </w:t>
      </w:r>
      <w:r w:rsidR="00D31739">
        <w:t>které odpovídá</w:t>
      </w:r>
      <w:r w:rsidR="00760124">
        <w:t xml:space="preserve"> meziroční</w:t>
      </w:r>
      <w:r w:rsidR="00D31739">
        <w:t>mu</w:t>
      </w:r>
      <w:r w:rsidR="00760124">
        <w:t xml:space="preserve"> zlepšení o 23,1 mld. Kč</w:t>
      </w:r>
      <w:r w:rsidR="00F221D2">
        <w:t xml:space="preserve"> a </w:t>
      </w:r>
      <w:r w:rsidR="001F4E2C">
        <w:t>h</w:t>
      </w:r>
      <w:r w:rsidR="00660D90">
        <w:t>ospodaření fondů sociálního</w:t>
      </w:r>
      <w:r w:rsidR="00FE5C90">
        <w:t xml:space="preserve"> zabezpečení</w:t>
      </w:r>
      <w:r w:rsidR="00660D90">
        <w:t xml:space="preserve"> </w:t>
      </w:r>
      <w:r w:rsidR="00F221D2">
        <w:t>skončilo v </w:t>
      </w:r>
      <w:r w:rsidR="008B4DC3">
        <w:t>přebytku</w:t>
      </w:r>
      <w:r w:rsidR="00F221D2">
        <w:t xml:space="preserve"> </w:t>
      </w:r>
      <w:r w:rsidR="00760124">
        <w:t>7,3</w:t>
      </w:r>
      <w:r w:rsidR="00F221D2">
        <w:t xml:space="preserve"> mld. Kč.</w:t>
      </w:r>
      <w:r w:rsidR="00BF6C41">
        <w:t xml:space="preserve"> </w:t>
      </w:r>
    </w:p>
    <w:p w14:paraId="6213615B" w14:textId="77777777" w:rsidR="007029F8" w:rsidRDefault="007029F8" w:rsidP="00053474"/>
    <w:p w14:paraId="6A517D79" w14:textId="08CCD7C3" w:rsidR="007029F8" w:rsidRDefault="007029F8" w:rsidP="007029F8">
      <w:r>
        <w:rPr>
          <w:i/>
        </w:rPr>
        <w:t>„</w:t>
      </w:r>
      <w:r w:rsidRPr="00E72D7F">
        <w:rPr>
          <w:i/>
        </w:rPr>
        <w:t xml:space="preserve">Hospodaření vládních institucí </w:t>
      </w:r>
      <w:r w:rsidR="008B4DC3">
        <w:rPr>
          <w:i/>
        </w:rPr>
        <w:t xml:space="preserve">v </w:t>
      </w:r>
      <w:r w:rsidR="00CA2B5C">
        <w:rPr>
          <w:i/>
        </w:rPr>
        <w:t>druhém</w:t>
      </w:r>
      <w:r w:rsidRPr="00E72D7F">
        <w:rPr>
          <w:i/>
        </w:rPr>
        <w:t xml:space="preserve"> čtvrtletí roku 202</w:t>
      </w:r>
      <w:r w:rsidR="008B4DC3">
        <w:rPr>
          <w:i/>
        </w:rPr>
        <w:t>2</w:t>
      </w:r>
      <w:r w:rsidRPr="00E72D7F">
        <w:rPr>
          <w:i/>
        </w:rPr>
        <w:t xml:space="preserve"> </w:t>
      </w:r>
      <w:r w:rsidR="00CA2B5C">
        <w:rPr>
          <w:i/>
        </w:rPr>
        <w:t>skončilo v </w:t>
      </w:r>
      <w:r w:rsidR="00276813">
        <w:rPr>
          <w:i/>
        </w:rPr>
        <w:t>nepatrném</w:t>
      </w:r>
      <w:r w:rsidR="00CA2B5C">
        <w:rPr>
          <w:i/>
        </w:rPr>
        <w:t xml:space="preserve"> přebytku ve výši 0,5</w:t>
      </w:r>
      <w:r w:rsidRPr="00E72D7F">
        <w:rPr>
          <w:i/>
        </w:rPr>
        <w:t xml:space="preserve"> mld. Kč</w:t>
      </w:r>
      <w:r w:rsidR="00CA2B5C">
        <w:rPr>
          <w:i/>
        </w:rPr>
        <w:t>.</w:t>
      </w:r>
      <w:r w:rsidRPr="00E72D7F">
        <w:rPr>
          <w:i/>
        </w:rPr>
        <w:t xml:space="preserve"> Meziroční míra zadlužení sektoru vládní</w:t>
      </w:r>
      <w:r>
        <w:rPr>
          <w:i/>
        </w:rPr>
        <w:t>ch</w:t>
      </w:r>
      <w:r w:rsidR="00F100EB">
        <w:rPr>
          <w:i/>
        </w:rPr>
        <w:t xml:space="preserve"> institucí </w:t>
      </w:r>
      <w:r w:rsidR="00CA2B5C">
        <w:rPr>
          <w:i/>
        </w:rPr>
        <w:t>stoupla</w:t>
      </w:r>
      <w:r w:rsidRPr="00E72D7F">
        <w:rPr>
          <w:i/>
        </w:rPr>
        <w:t xml:space="preserve"> </w:t>
      </w:r>
      <w:r w:rsidRPr="00F100EB">
        <w:rPr>
          <w:i/>
        </w:rPr>
        <w:t xml:space="preserve">o </w:t>
      </w:r>
      <w:r w:rsidR="00F100EB">
        <w:rPr>
          <w:i/>
        </w:rPr>
        <w:t>1,</w:t>
      </w:r>
      <w:r w:rsidR="00CA2B5C">
        <w:rPr>
          <w:i/>
        </w:rPr>
        <w:t>4</w:t>
      </w:r>
      <w:r w:rsidR="00D17C22">
        <w:rPr>
          <w:i/>
        </w:rPr>
        <w:t xml:space="preserve"> </w:t>
      </w:r>
      <w:r w:rsidR="002639AF">
        <w:rPr>
          <w:i/>
        </w:rPr>
        <w:t>procentních bodů</w:t>
      </w:r>
      <w:r w:rsidR="00D17C22">
        <w:rPr>
          <w:i/>
        </w:rPr>
        <w:t xml:space="preserve"> </w:t>
      </w:r>
      <w:r w:rsidRPr="00F100EB">
        <w:rPr>
          <w:i/>
        </w:rPr>
        <w:t>a dosáhla výše 4</w:t>
      </w:r>
      <w:r w:rsidR="00CA2B5C">
        <w:rPr>
          <w:i/>
        </w:rPr>
        <w:t>4</w:t>
      </w:r>
      <w:r w:rsidRPr="00F100EB">
        <w:rPr>
          <w:i/>
        </w:rPr>
        <w:t>,</w:t>
      </w:r>
      <w:r w:rsidR="00CA2B5C">
        <w:rPr>
          <w:i/>
        </w:rPr>
        <w:t>0</w:t>
      </w:r>
      <w:r w:rsidRPr="00F100EB">
        <w:rPr>
          <w:i/>
        </w:rPr>
        <w:t xml:space="preserve"> % HDP.</w:t>
      </w:r>
      <w:r w:rsidR="00313271">
        <w:rPr>
          <w:i/>
        </w:rPr>
        <w:t xml:space="preserve"> </w:t>
      </w:r>
      <w:r w:rsidR="00313271" w:rsidRPr="00472BA3">
        <w:rPr>
          <w:i/>
        </w:rPr>
        <w:t xml:space="preserve">Na výsledku </w:t>
      </w:r>
      <w:r w:rsidR="00D62A50" w:rsidRPr="00472BA3">
        <w:rPr>
          <w:i/>
        </w:rPr>
        <w:t xml:space="preserve">hospodaření </w:t>
      </w:r>
      <w:r w:rsidR="00313271" w:rsidRPr="00472BA3">
        <w:rPr>
          <w:i/>
        </w:rPr>
        <w:t xml:space="preserve">se podepsalo </w:t>
      </w:r>
      <w:r w:rsidR="00472BA3" w:rsidRPr="00472BA3">
        <w:rPr>
          <w:i/>
        </w:rPr>
        <w:t xml:space="preserve">především </w:t>
      </w:r>
      <w:r w:rsidR="00313271" w:rsidRPr="00472BA3">
        <w:rPr>
          <w:i/>
        </w:rPr>
        <w:t>zvýšení příjmů z </w:t>
      </w:r>
      <w:r w:rsidR="00472BA3" w:rsidRPr="00472BA3">
        <w:rPr>
          <w:i/>
        </w:rPr>
        <w:t>da</w:t>
      </w:r>
      <w:r w:rsidR="00472BA3">
        <w:rPr>
          <w:i/>
        </w:rPr>
        <w:t>ní</w:t>
      </w:r>
      <w:r w:rsidR="00A10D2A">
        <w:rPr>
          <w:i/>
        </w:rPr>
        <w:t>,</w:t>
      </w:r>
      <w:r>
        <w:rPr>
          <w:i/>
        </w:rPr>
        <w:t>“</w:t>
      </w:r>
      <w:r>
        <w:t xml:space="preserve"> uvedla </w:t>
      </w:r>
      <w:r w:rsidRPr="00AC528C">
        <w:t>Helen</w:t>
      </w:r>
      <w:r>
        <w:t>a</w:t>
      </w:r>
      <w:r w:rsidRPr="00AC528C">
        <w:t xml:space="preserve"> Houžvičkov</w:t>
      </w:r>
      <w:r>
        <w:t>á</w:t>
      </w:r>
      <w:r w:rsidRPr="00AC528C">
        <w:t>, ředitelk</w:t>
      </w:r>
      <w:r>
        <w:t>a</w:t>
      </w:r>
      <w:r w:rsidRPr="00AC528C">
        <w:t xml:space="preserve"> odboru vládních a finančních účtů ČSÚ</w:t>
      </w:r>
      <w:r>
        <w:t>.</w:t>
      </w:r>
    </w:p>
    <w:p w14:paraId="7DB73843" w14:textId="503D1767" w:rsidR="00BF6C41" w:rsidRDefault="00BF6C41" w:rsidP="00053474"/>
    <w:p w14:paraId="7B668639" w14:textId="22BB93BB" w:rsidR="00DE5999" w:rsidRPr="0037782A" w:rsidRDefault="00DE5999" w:rsidP="00DE5999">
      <w:pPr>
        <w:pStyle w:val="TabulkaGraf"/>
      </w:pPr>
      <w:r w:rsidRPr="0037782A">
        <w:t xml:space="preserve">Saldo hospodaření sektoru vládních institucí, </w:t>
      </w:r>
      <w:r w:rsidR="00166228">
        <w:t>2</w:t>
      </w:r>
      <w:r w:rsidRPr="0037782A">
        <w:t>. čtvrtletí 20</w:t>
      </w:r>
      <w:r w:rsidR="008B4DC3">
        <w:t>20</w:t>
      </w:r>
      <w:r w:rsidRPr="0037782A">
        <w:t xml:space="preserve"> – </w:t>
      </w:r>
      <w:r w:rsidR="00166228">
        <w:t>2</w:t>
      </w:r>
      <w:r w:rsidRPr="0037782A">
        <w:t>. čtvrtletí 20</w:t>
      </w:r>
      <w:r w:rsidR="008B4DC3">
        <w:t>22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6228" w:rsidRPr="0037782A" w14:paraId="00DB6E80" w14:textId="77777777" w:rsidTr="001439E7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262E" w14:textId="77777777" w:rsidR="00166228" w:rsidRPr="0037782A" w:rsidRDefault="00166228" w:rsidP="0016622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74B9" w14:textId="287DDDF6" w:rsidR="00166228" w:rsidRPr="0037782A" w:rsidRDefault="00166228" w:rsidP="0016622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B804" w14:textId="72A0D898" w:rsidR="00166228" w:rsidRPr="0037782A" w:rsidRDefault="00166228" w:rsidP="0016622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775A" w14:textId="2BEF806F" w:rsidR="00166228" w:rsidRPr="0037782A" w:rsidRDefault="00166228" w:rsidP="0016622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81F3" w14:textId="249A55FE" w:rsidR="00166228" w:rsidRPr="0037782A" w:rsidRDefault="00166228" w:rsidP="0016622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2158" w14:textId="234B53F1" w:rsidR="00166228" w:rsidRPr="0037782A" w:rsidRDefault="00166228" w:rsidP="0016622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ED2E" w14:textId="7F6DDA55" w:rsidR="00166228" w:rsidRPr="0037782A" w:rsidRDefault="00166228" w:rsidP="0016622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F119" w14:textId="141C999F" w:rsidR="00166228" w:rsidRPr="0037782A" w:rsidRDefault="00166228" w:rsidP="0016622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41CC" w14:textId="728EB92A" w:rsidR="00166228" w:rsidRPr="0037782A" w:rsidRDefault="00166228" w:rsidP="0016622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F04D" w14:textId="24B36E61" w:rsidR="00166228" w:rsidRPr="0037782A" w:rsidRDefault="00166228" w:rsidP="00166228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2022</w:t>
            </w:r>
            <w:proofErr w:type="gramEnd"/>
          </w:p>
        </w:tc>
      </w:tr>
      <w:tr w:rsidR="00166228" w:rsidRPr="0037782A" w14:paraId="3CDCC000" w14:textId="77777777" w:rsidTr="00042C3D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E4A3" w14:textId="77777777" w:rsidR="00166228" w:rsidRPr="0037782A" w:rsidRDefault="00166228" w:rsidP="0016622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2DA2" w14:textId="5CD26835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A54D" w14:textId="5A599342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41C8" w14:textId="111BDA51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-137,5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6216" w14:textId="4930A76D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-131,3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A3F5" w14:textId="42ABE954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D028" w14:textId="5541D25E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8CC9" w14:textId="2B4CE3A7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D756" w14:textId="32C259D2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-71,9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A953" w14:textId="487F92DF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0,5</w:t>
            </w:r>
          </w:p>
        </w:tc>
      </w:tr>
      <w:tr w:rsidR="00166228" w:rsidRPr="0037782A" w14:paraId="10AA7365" w14:textId="77777777" w:rsidTr="00042C3D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9A96" w14:textId="77777777" w:rsidR="00166228" w:rsidRPr="0037782A" w:rsidRDefault="00166228" w:rsidP="0016622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5D7C" w14:textId="62698E78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3496" w14:textId="2F93BCC1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56D4" w14:textId="5A97EFA5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D210" w14:textId="287AE2AD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A1DA" w14:textId="568F6D49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1392" w14:textId="27AE13A6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86AE" w14:textId="65EF49F6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955C" w14:textId="0A4C5E4E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-4,7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9D3A" w14:textId="28C59CE1" w:rsidR="00166228" w:rsidRPr="0037782A" w:rsidRDefault="00166228" w:rsidP="0016622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</w:tbl>
    <w:p w14:paraId="15FE823E" w14:textId="77777777" w:rsidR="005D1FA7" w:rsidRPr="000A18CB" w:rsidRDefault="005D1FA7" w:rsidP="005D1FA7">
      <w:pPr>
        <w:rPr>
          <w:i/>
        </w:rPr>
      </w:pPr>
      <w:r w:rsidRPr="0037782A">
        <w:rPr>
          <w:i/>
        </w:rPr>
        <w:t xml:space="preserve">Poznámka: Údaje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Pr="0037782A">
        <w:rPr>
          <w:i/>
        </w:rPr>
        <w:t>.</w:t>
      </w:r>
    </w:p>
    <w:p w14:paraId="3C697DA6" w14:textId="61C07715" w:rsidR="000A18CB" w:rsidRDefault="000A18CB" w:rsidP="00043BF4"/>
    <w:p w14:paraId="2EA608BE" w14:textId="58DF53F0" w:rsidR="00601F81" w:rsidRDefault="00601F81" w:rsidP="00A94B28">
      <w:r w:rsidRPr="00E736BE">
        <w:t xml:space="preserve">Celkové příjmy sektoru vládních institucí </w:t>
      </w:r>
      <w:r w:rsidR="00C33E70">
        <w:t>stoupl</w:t>
      </w:r>
      <w:r w:rsidR="00174C88">
        <w:t>y</w:t>
      </w:r>
      <w:r w:rsidRPr="00174C88">
        <w:t xml:space="preserve"> meziročně o </w:t>
      </w:r>
      <w:r w:rsidR="006918F5">
        <w:t>1</w:t>
      </w:r>
      <w:r w:rsidR="00973340">
        <w:t>1</w:t>
      </w:r>
      <w:r w:rsidR="006918F5">
        <w:t>,</w:t>
      </w:r>
      <w:r w:rsidR="00973340">
        <w:t>6</w:t>
      </w:r>
      <w:r w:rsidRPr="00174C88">
        <w:t xml:space="preserve"> %</w:t>
      </w:r>
      <w:r w:rsidR="00A25220">
        <w:t xml:space="preserve"> a dosáhly 4</w:t>
      </w:r>
      <w:r w:rsidR="00973340">
        <w:t>4</w:t>
      </w:r>
      <w:r w:rsidR="00A25220">
        <w:t>,</w:t>
      </w:r>
      <w:r w:rsidR="006918F5">
        <w:t>2</w:t>
      </w:r>
      <w:r w:rsidR="00A25220">
        <w:t xml:space="preserve"> % HDP.</w:t>
      </w:r>
      <w:r w:rsidRPr="00E736BE">
        <w:t xml:space="preserve"> Na meziročním </w:t>
      </w:r>
      <w:r w:rsidR="00174C88">
        <w:t>růstu</w:t>
      </w:r>
      <w:r w:rsidRPr="00E736BE">
        <w:t xml:space="preserve"> příjmů se </w:t>
      </w:r>
      <w:r w:rsidR="009906E9">
        <w:t>podílel</w:t>
      </w:r>
      <w:r w:rsidR="0062459A">
        <w:t>o</w:t>
      </w:r>
      <w:r w:rsidR="009906E9">
        <w:t xml:space="preserve"> </w:t>
      </w:r>
      <w:r w:rsidR="000C2F30" w:rsidRPr="00E736BE">
        <w:t>zejména</w:t>
      </w:r>
      <w:r w:rsidRPr="00E736BE">
        <w:t xml:space="preserve"> </w:t>
      </w:r>
      <w:r w:rsidR="00174C88">
        <w:t>zvýšení</w:t>
      </w:r>
      <w:r w:rsidRPr="00E736BE">
        <w:t xml:space="preserve"> příjmů </w:t>
      </w:r>
      <w:r w:rsidR="00FC39DA">
        <w:t>z daní z výroby a dovozu</w:t>
      </w:r>
      <w:r w:rsidR="006918F5">
        <w:t xml:space="preserve">, </w:t>
      </w:r>
      <w:r w:rsidR="000C2F30" w:rsidRPr="00E736BE">
        <w:t>z</w:t>
      </w:r>
      <w:r w:rsidR="00860C3B">
        <w:t>e sociálních</w:t>
      </w:r>
      <w:r w:rsidR="00756B70">
        <w:t xml:space="preserve"> příspěvků</w:t>
      </w:r>
      <w:r w:rsidR="006918F5">
        <w:t xml:space="preserve"> a daní z příjmu</w:t>
      </w:r>
      <w:r w:rsidR="007D58AD">
        <w:t>.</w:t>
      </w:r>
      <w:r w:rsidR="00C33E70">
        <w:t xml:space="preserve"> </w:t>
      </w:r>
      <w:r w:rsidR="00E706EA" w:rsidRPr="00E736BE">
        <w:t xml:space="preserve">Celkové výdaje vládních institucí </w:t>
      </w:r>
      <w:r w:rsidR="00E706EA" w:rsidRPr="00183B9F">
        <w:t xml:space="preserve">meziročně </w:t>
      </w:r>
      <w:r w:rsidR="0093024A">
        <w:t xml:space="preserve">vzrostly </w:t>
      </w:r>
      <w:r w:rsidR="00E706EA" w:rsidRPr="00FB249A">
        <w:t xml:space="preserve">o </w:t>
      </w:r>
      <w:r w:rsidR="00973340">
        <w:t>5,2</w:t>
      </w:r>
      <w:r w:rsidR="00411E28">
        <w:t> </w:t>
      </w:r>
      <w:r w:rsidR="00E706EA" w:rsidRPr="00FB249A">
        <w:t>%</w:t>
      </w:r>
      <w:r w:rsidR="00A25220">
        <w:t xml:space="preserve"> a dosáhly 4</w:t>
      </w:r>
      <w:r w:rsidR="00973340">
        <w:t>4</w:t>
      </w:r>
      <w:r w:rsidR="00A25220">
        <w:t>,</w:t>
      </w:r>
      <w:r w:rsidR="00411E28">
        <w:t>1</w:t>
      </w:r>
      <w:r w:rsidR="00A25220">
        <w:t xml:space="preserve"> % HDP</w:t>
      </w:r>
      <w:r w:rsidR="00E706EA" w:rsidRPr="00FB249A">
        <w:t>.</w:t>
      </w:r>
      <w:r w:rsidR="00E706EA" w:rsidRPr="00E736BE">
        <w:t xml:space="preserve"> </w:t>
      </w:r>
      <w:r w:rsidR="008A0350">
        <w:t xml:space="preserve">Nejvíce </w:t>
      </w:r>
      <w:r w:rsidR="006918F5">
        <w:t xml:space="preserve">vzrostly </w:t>
      </w:r>
      <w:r w:rsidR="006F401E">
        <w:t>sociální dávky</w:t>
      </w:r>
      <w:r w:rsidR="00973340">
        <w:t xml:space="preserve"> a ostatní běžné transfery</w:t>
      </w:r>
      <w:r w:rsidR="006918F5">
        <w:t>. Pokles byl zaznamenán předev</w:t>
      </w:r>
      <w:r w:rsidR="006F401E">
        <w:t>ším u dotací</w:t>
      </w:r>
      <w:r w:rsidR="00BF6C41">
        <w:t>.</w:t>
      </w:r>
      <w:r w:rsidR="00E5536A">
        <w:t xml:space="preserve"> </w:t>
      </w:r>
    </w:p>
    <w:p w14:paraId="4D6C7360" w14:textId="5E0EB366" w:rsidR="00B81175" w:rsidRDefault="00B81175" w:rsidP="00A94B28"/>
    <w:p w14:paraId="4D31A60A" w14:textId="26F948D8" w:rsidR="00AF42B6" w:rsidRDefault="00EA4D69" w:rsidP="00425ADB">
      <w:r w:rsidRPr="004627B6">
        <w:t xml:space="preserve">Nominální dluh vládních institucí meziročně </w:t>
      </w:r>
      <w:r w:rsidR="002C3D52">
        <w:t>stoupl</w:t>
      </w:r>
      <w:r w:rsidRPr="004627B6">
        <w:t xml:space="preserve"> </w:t>
      </w:r>
      <w:r w:rsidRPr="00020BFF">
        <w:t xml:space="preserve">o </w:t>
      </w:r>
      <w:r w:rsidR="002C3D52">
        <w:t>310,2</w:t>
      </w:r>
      <w:r w:rsidRPr="00020BFF">
        <w:t xml:space="preserve"> mld. </w:t>
      </w:r>
      <w:r w:rsidR="007E15BD">
        <w:t xml:space="preserve">Kč </w:t>
      </w:r>
      <w:r w:rsidRPr="00020BFF">
        <w:t>na 2</w:t>
      </w:r>
      <w:r w:rsidR="002C3D52">
        <w:t xml:space="preserve"> 827,7 </w:t>
      </w:r>
      <w:r w:rsidRPr="00020BFF">
        <w:t>mld</w:t>
      </w:r>
      <w:r w:rsidRPr="004627B6">
        <w:t>.</w:t>
      </w:r>
      <w:r>
        <w:t xml:space="preserve"> </w:t>
      </w:r>
      <w:r w:rsidR="007E15BD">
        <w:t xml:space="preserve">Kč. </w:t>
      </w:r>
      <w:r w:rsidR="00425ADB" w:rsidRPr="00907835">
        <w:t>Míra zadlužení</w:t>
      </w:r>
      <w:r w:rsidR="00425ADB" w:rsidRPr="00EF5A70">
        <w:t xml:space="preserve"> sektoru vládn</w:t>
      </w:r>
      <w:r w:rsidR="001557F3">
        <w:t xml:space="preserve">ích institucí </w:t>
      </w:r>
      <w:r w:rsidR="001557F3" w:rsidRPr="00020BFF">
        <w:t xml:space="preserve">meziročně </w:t>
      </w:r>
      <w:proofErr w:type="gramStart"/>
      <w:r w:rsidR="007831D6">
        <w:t>stoupla</w:t>
      </w:r>
      <w:r w:rsidR="00425ADB" w:rsidRPr="00020BFF">
        <w:t xml:space="preserve"> </w:t>
      </w:r>
      <w:r w:rsidR="00006D9A" w:rsidRPr="00020BFF">
        <w:t>z</w:t>
      </w:r>
      <w:r w:rsidR="007831D6">
        <w:t> </w:t>
      </w:r>
      <w:r w:rsidR="00020BFF">
        <w:t>4</w:t>
      </w:r>
      <w:r w:rsidR="007831D6">
        <w:t>2,</w:t>
      </w:r>
      <w:r w:rsidR="00601154">
        <w:t>6</w:t>
      </w:r>
      <w:bookmarkStart w:id="0" w:name="_GoBack"/>
      <w:bookmarkEnd w:id="0"/>
      <w:proofErr w:type="gramEnd"/>
      <w:r w:rsidR="00425ADB" w:rsidRPr="00020BFF">
        <w:t xml:space="preserve"> </w:t>
      </w:r>
      <w:r w:rsidR="00823594" w:rsidRPr="00020BFF">
        <w:t xml:space="preserve">% </w:t>
      </w:r>
      <w:r w:rsidR="00425ADB" w:rsidRPr="00020BFF">
        <w:t xml:space="preserve">na </w:t>
      </w:r>
      <w:r w:rsidR="008B5BB1" w:rsidRPr="00020BFF">
        <w:t>4</w:t>
      </w:r>
      <w:r w:rsidR="007831D6">
        <w:t>4</w:t>
      </w:r>
      <w:r w:rsidR="00020BFF">
        <w:t>,</w:t>
      </w:r>
      <w:r w:rsidR="007831D6">
        <w:t>0</w:t>
      </w:r>
      <w:r w:rsidR="00696FCF" w:rsidRPr="00020BFF">
        <w:t xml:space="preserve"> % HDP</w:t>
      </w:r>
      <w:r w:rsidR="00CD21CC" w:rsidRPr="00EF5A70">
        <w:t>,</w:t>
      </w:r>
      <w:r w:rsidR="00696FCF" w:rsidRPr="00EF5A70">
        <w:t xml:space="preserve"> </w:t>
      </w:r>
      <w:r w:rsidR="00CB4EDA">
        <w:t xml:space="preserve">změna dluhu </w:t>
      </w:r>
      <w:r w:rsidR="00CB4EDA" w:rsidRPr="00020BFF">
        <w:t>činil</w:t>
      </w:r>
      <w:r w:rsidR="00CB4EDA">
        <w:t>a +</w:t>
      </w:r>
      <w:r w:rsidR="00CB4EDA" w:rsidRPr="00020BFF">
        <w:t xml:space="preserve"> </w:t>
      </w:r>
      <w:r w:rsidR="007831D6">
        <w:t>1,4</w:t>
      </w:r>
      <w:r w:rsidR="00CB4EDA" w:rsidRPr="00020BFF">
        <w:t xml:space="preserve"> p. b</w:t>
      </w:r>
      <w:r w:rsidR="00CB4EDA">
        <w:t>.,</w:t>
      </w:r>
      <w:r w:rsidR="00CB4EDA" w:rsidRPr="00EF5A70">
        <w:t xml:space="preserve"> </w:t>
      </w:r>
      <w:r w:rsidR="00696FCF" w:rsidRPr="00EF5A70">
        <w:t>přičemž</w:t>
      </w:r>
      <w:r w:rsidR="00E00AFE" w:rsidRPr="00EF5A70">
        <w:t xml:space="preserve"> </w:t>
      </w:r>
      <w:r w:rsidR="001E09F0">
        <w:t>rostoucí</w:t>
      </w:r>
      <w:r w:rsidR="00425ADB" w:rsidRPr="004627B6">
        <w:t xml:space="preserve"> </w:t>
      </w:r>
      <w:r w:rsidR="00322825" w:rsidRPr="004627B6">
        <w:t xml:space="preserve">nominální </w:t>
      </w:r>
      <w:r w:rsidR="00425ADB" w:rsidRPr="004627B6">
        <w:t xml:space="preserve">HDP </w:t>
      </w:r>
      <w:r w:rsidR="00CD21CC" w:rsidRPr="004627B6">
        <w:t xml:space="preserve">přispěl k </w:t>
      </w:r>
      <w:r w:rsidR="001E09F0">
        <w:t>poklesu</w:t>
      </w:r>
      <w:r w:rsidR="00425ADB" w:rsidRPr="004627B6">
        <w:t xml:space="preserve"> zadlužení </w:t>
      </w:r>
      <w:r w:rsidR="00425ADB" w:rsidRPr="00020BFF">
        <w:t xml:space="preserve">o </w:t>
      </w:r>
      <w:r w:rsidR="00907835" w:rsidRPr="00020BFF">
        <w:t>–</w:t>
      </w:r>
      <w:r w:rsidR="005A2F95" w:rsidRPr="00020BFF">
        <w:t xml:space="preserve"> </w:t>
      </w:r>
      <w:r w:rsidR="00020BFF">
        <w:t>3,</w:t>
      </w:r>
      <w:r w:rsidR="007831D6">
        <w:t>4</w:t>
      </w:r>
      <w:r w:rsidR="00425ADB" w:rsidRPr="00020BFF">
        <w:t xml:space="preserve"> </w:t>
      </w:r>
      <w:r w:rsidR="00CB4EDA">
        <w:t>p. b.</w:t>
      </w:r>
      <w:r w:rsidR="00FA1B2C" w:rsidRPr="004627B6">
        <w:t xml:space="preserve"> </w:t>
      </w:r>
      <w:proofErr w:type="spellStart"/>
      <w:r w:rsidR="00C5527B">
        <w:t>M</w:t>
      </w:r>
      <w:r w:rsidR="00C5527B" w:rsidRPr="004627B6">
        <w:t>ezičtvrtletně</w:t>
      </w:r>
      <w:proofErr w:type="spellEnd"/>
      <w:r w:rsidR="00C5527B">
        <w:t xml:space="preserve"> d</w:t>
      </w:r>
      <w:r>
        <w:t xml:space="preserve">luh stoupl </w:t>
      </w:r>
      <w:r w:rsidRPr="00020BFF">
        <w:t xml:space="preserve">o </w:t>
      </w:r>
      <w:r w:rsidR="007831D6">
        <w:t>143,6</w:t>
      </w:r>
      <w:r w:rsidRPr="00020BFF">
        <w:t xml:space="preserve"> mld. Kč</w:t>
      </w:r>
      <w:r w:rsidR="00C5527B">
        <w:t xml:space="preserve">, což představuje </w:t>
      </w:r>
      <w:r w:rsidR="00390F50">
        <w:t xml:space="preserve">zvýšení </w:t>
      </w:r>
      <w:r w:rsidR="00AE3EE0" w:rsidRPr="004627B6">
        <w:t xml:space="preserve">míry zadlužení </w:t>
      </w:r>
      <w:r w:rsidR="002E1D66" w:rsidRPr="00020BFF">
        <w:t xml:space="preserve">o </w:t>
      </w:r>
      <w:r w:rsidR="007831D6">
        <w:t>1,2</w:t>
      </w:r>
      <w:r w:rsidR="00675EC0" w:rsidRPr="00020BFF">
        <w:t xml:space="preserve"> </w:t>
      </w:r>
      <w:r w:rsidR="00641B4A" w:rsidRPr="00020BFF">
        <w:t>p. b</w:t>
      </w:r>
      <w:r w:rsidR="00641B4A" w:rsidRPr="004627B6">
        <w:t>.</w:t>
      </w:r>
      <w:r w:rsidR="00390F50">
        <w:t xml:space="preserve"> </w:t>
      </w:r>
      <w:r w:rsidR="00C5527B">
        <w:t>R</w:t>
      </w:r>
      <w:r w:rsidR="00992F43">
        <w:t>ůst</w:t>
      </w:r>
      <w:r w:rsidR="00390F50">
        <w:t xml:space="preserve"> nominálního </w:t>
      </w:r>
      <w:r w:rsidR="00641B4A" w:rsidRPr="004627B6">
        <w:t xml:space="preserve">HDP </w:t>
      </w:r>
      <w:r w:rsidR="001E09F0">
        <w:t>přispěl k poklesu o</w:t>
      </w:r>
      <w:r w:rsidR="00641B4A" w:rsidRPr="004627B6">
        <w:t xml:space="preserve"> </w:t>
      </w:r>
      <w:r w:rsidR="001E09F0" w:rsidRPr="003316B5">
        <w:t xml:space="preserve">– </w:t>
      </w:r>
      <w:r w:rsidR="003316B5">
        <w:t>1,1</w:t>
      </w:r>
      <w:r w:rsidR="00641B4A" w:rsidRPr="003316B5">
        <w:t xml:space="preserve"> p. b</w:t>
      </w:r>
      <w:r w:rsidR="00B31B71" w:rsidRPr="003316B5">
        <w:t>.</w:t>
      </w:r>
    </w:p>
    <w:p w14:paraId="471CC7E8" w14:textId="669E9EA4" w:rsidR="009336F8" w:rsidRPr="00417673" w:rsidRDefault="009336F8" w:rsidP="00425ADB">
      <w:pPr>
        <w:rPr>
          <w:highlight w:val="yellow"/>
        </w:rPr>
      </w:pPr>
    </w:p>
    <w:p w14:paraId="6D85FB32" w14:textId="635E0417" w:rsidR="007831D6" w:rsidRDefault="007831D6" w:rsidP="00D95B91">
      <w:r w:rsidRPr="006E428C">
        <w:t>V</w:t>
      </w:r>
      <w:r>
        <w:t> druhém čtvrtletí 2022 byl nárůst dluhu (</w:t>
      </w:r>
      <w:r w:rsidR="00AD048F">
        <w:t>143,6</w:t>
      </w:r>
      <w:r w:rsidRPr="006E428C">
        <w:t xml:space="preserve"> mld. Kč) výrazně vyšší než </w:t>
      </w:r>
      <w:r w:rsidR="00E862E2">
        <w:t>výsledek</w:t>
      </w:r>
      <w:r w:rsidRPr="006E428C">
        <w:t xml:space="preserve"> hospodaření (</w:t>
      </w:r>
      <w:r w:rsidR="00E862E2">
        <w:t>0,5</w:t>
      </w:r>
      <w:r w:rsidRPr="006E428C">
        <w:t xml:space="preserve"> mld. Kč). Vládní instituce si vypůjčily o </w:t>
      </w:r>
      <w:r w:rsidR="00AD048F">
        <w:t>143,1</w:t>
      </w:r>
      <w:r w:rsidRPr="006E428C">
        <w:t xml:space="preserve"> mld. Kč více, než byla jejich potřeba financování, což se projevilo nárůstem hodnoty držených aktiv, zejména vkladů.</w:t>
      </w:r>
    </w:p>
    <w:p w14:paraId="3E79D8EC" w14:textId="77777777" w:rsidR="007831D6" w:rsidRDefault="007831D6" w:rsidP="00D95B91"/>
    <w:p w14:paraId="481E1476" w14:textId="0B973AA2" w:rsidR="00390F50" w:rsidRDefault="009336F8" w:rsidP="004B53E2">
      <w:r w:rsidRPr="006330B1">
        <w:t>Z hlediska jednotlivých komponent dluhu byl meziroční nárůst</w:t>
      </w:r>
      <w:r w:rsidR="00607E62" w:rsidRPr="006330B1">
        <w:t xml:space="preserve"> zaznamenán </w:t>
      </w:r>
      <w:r w:rsidR="006330B1" w:rsidRPr="006330B1">
        <w:t xml:space="preserve">především </w:t>
      </w:r>
      <w:r w:rsidR="00607E62" w:rsidRPr="006330B1">
        <w:t xml:space="preserve">u </w:t>
      </w:r>
      <w:r w:rsidR="0033552A" w:rsidRPr="00B77751">
        <w:t>emitovaných cenných papírů (+</w:t>
      </w:r>
      <w:r w:rsidR="0062797D" w:rsidRPr="00B77751">
        <w:t xml:space="preserve"> </w:t>
      </w:r>
      <w:r w:rsidR="00AD048F">
        <w:t>205</w:t>
      </w:r>
      <w:r w:rsidR="00B77751">
        <w:t>,</w:t>
      </w:r>
      <w:r w:rsidR="00AD048F">
        <w:t>3</w:t>
      </w:r>
      <w:r w:rsidR="0033552A" w:rsidRPr="00B77751">
        <w:t xml:space="preserve"> mld. Kč</w:t>
      </w:r>
      <w:r w:rsidR="006330B1" w:rsidRPr="00B77751">
        <w:t>)</w:t>
      </w:r>
      <w:r w:rsidR="00B77751">
        <w:t>, které</w:t>
      </w:r>
      <w:r w:rsidR="00746FAC" w:rsidRPr="006330B1">
        <w:t xml:space="preserve"> </w:t>
      </w:r>
      <w:r w:rsidR="00BE072E" w:rsidRPr="006330B1">
        <w:t xml:space="preserve">i nadále </w:t>
      </w:r>
      <w:r w:rsidR="00607E62" w:rsidRPr="006330B1">
        <w:t>zůstávají hlavní komponentou dluhu.</w:t>
      </w:r>
      <w:r w:rsidR="008C6D93" w:rsidRPr="006330B1">
        <w:t xml:space="preserve"> </w:t>
      </w:r>
    </w:p>
    <w:p w14:paraId="19EDA098" w14:textId="77777777" w:rsidR="00E6431E" w:rsidRPr="00270F84" w:rsidRDefault="00E6431E" w:rsidP="00A94B28"/>
    <w:p w14:paraId="4C369526" w14:textId="29C695B7"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166228">
        <w:t>2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</w:t>
      </w:r>
      <w:r w:rsidR="00382035">
        <w:t>20</w:t>
      </w:r>
      <w:r w:rsidR="00B85D5E" w:rsidRPr="00270F84">
        <w:t xml:space="preserve"> </w:t>
      </w:r>
      <w:r w:rsidR="000A2AF1" w:rsidRPr="00270F84">
        <w:t xml:space="preserve">– </w:t>
      </w:r>
      <w:r w:rsidR="00166228">
        <w:t>2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="008C6D93">
        <w:t>202</w:t>
      </w:r>
      <w:r w:rsidR="00382035">
        <w:t>2</w:t>
      </w:r>
    </w:p>
    <w:p w14:paraId="6504B9E7" w14:textId="592EF05D" w:rsidR="00DB5168" w:rsidRDefault="00166228" w:rsidP="007D7C61">
      <w:r>
        <w:rPr>
          <w:noProof/>
          <w:lang w:eastAsia="cs-CZ"/>
        </w:rPr>
        <w:drawing>
          <wp:inline distT="0" distB="0" distL="0" distR="0" wp14:anchorId="78C7F906" wp14:editId="43447B5D">
            <wp:extent cx="5400040" cy="3171825"/>
            <wp:effectExtent l="0" t="0" r="10160" b="952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5CD0BA" w14:textId="77777777" w:rsidR="005A7C66" w:rsidRDefault="005A7C66" w:rsidP="007D7C61"/>
    <w:p w14:paraId="6F666392" w14:textId="7D675D16" w:rsidR="00121358" w:rsidRDefault="004953B5" w:rsidP="005A7C66">
      <w:r>
        <w:rPr>
          <w:noProof/>
          <w:lang w:eastAsia="cs-CZ"/>
        </w:rPr>
        <w:drawing>
          <wp:inline distT="0" distB="0" distL="0" distR="0" wp14:anchorId="016B223C" wp14:editId="0B5BD05F">
            <wp:extent cx="5400040" cy="2044700"/>
            <wp:effectExtent l="0" t="0" r="10160" b="1270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B5126E" w14:textId="77777777" w:rsidR="00121358" w:rsidRDefault="00121358" w:rsidP="005A7C66"/>
    <w:p w14:paraId="60C02212" w14:textId="36D828E3" w:rsidR="005A7C66" w:rsidRDefault="007029F8" w:rsidP="005A7C66">
      <w:r w:rsidRPr="008A5B79">
        <w:t xml:space="preserve">Saldo hospodaření vládních institucí po očištění o </w:t>
      </w:r>
      <w:r w:rsidRPr="00CD4F83">
        <w:t>sezónní a kalendářní vlivy</w:t>
      </w:r>
      <w:r w:rsidRPr="008A5B79">
        <w:t xml:space="preserve"> skončilo v deficitu </w:t>
      </w:r>
      <w:r w:rsidR="00166228">
        <w:t>39</w:t>
      </w:r>
      <w:r w:rsidR="007B5482" w:rsidRPr="00F45BA6">
        <w:t>,</w:t>
      </w:r>
      <w:r w:rsidR="00166228">
        <w:t>3</w:t>
      </w:r>
      <w:r w:rsidRPr="00F45BA6">
        <w:t xml:space="preserve"> mld. Kč, který odpovídal </w:t>
      </w:r>
      <w:r w:rsidR="00166228">
        <w:t>2,3</w:t>
      </w:r>
      <w:r w:rsidRPr="00F45BA6">
        <w:t xml:space="preserve"> % HDP</w:t>
      </w:r>
      <w:r w:rsidRPr="0004366C">
        <w:t xml:space="preserve">. </w:t>
      </w:r>
      <w:proofErr w:type="spellStart"/>
      <w:r w:rsidRPr="0004366C">
        <w:t>Mezičtvrtletně</w:t>
      </w:r>
      <w:proofErr w:type="spellEnd"/>
      <w:r w:rsidRPr="0004366C">
        <w:t xml:space="preserve"> </w:t>
      </w:r>
      <w:r>
        <w:t>se saldo</w:t>
      </w:r>
      <w:r w:rsidRPr="0004366C">
        <w:t xml:space="preserve"> hospodaření </w:t>
      </w:r>
      <w:r>
        <w:t xml:space="preserve">zlepšilo </w:t>
      </w:r>
      <w:r w:rsidRPr="008A5B79">
        <w:t>o </w:t>
      </w:r>
      <w:r w:rsidR="00166228">
        <w:t>13,3</w:t>
      </w:r>
      <w:r w:rsidRPr="00F45BA6">
        <w:t> mld. Kč</w:t>
      </w:r>
      <w:r w:rsidRPr="0004366C">
        <w:t>.</w:t>
      </w:r>
      <w:r>
        <w:t xml:space="preserve"> </w:t>
      </w:r>
      <w:r w:rsidR="005A7C66" w:rsidRPr="0004366C">
        <w:t>Vývoj salda hospodaření vládních institucí očištěného o sezónní a kalendářní vlivy ilustruje následující graf.</w:t>
      </w:r>
    </w:p>
    <w:p w14:paraId="45E7F6B7" w14:textId="77777777" w:rsidR="005A7C66" w:rsidRDefault="005A7C66" w:rsidP="005A7C66"/>
    <w:p w14:paraId="6EF0982E" w14:textId="77A660A7" w:rsidR="005A7C66" w:rsidRPr="00706DBC" w:rsidRDefault="005A7C66" w:rsidP="005A7C66">
      <w:pPr>
        <w:pStyle w:val="TabulkaGraf"/>
        <w:keepNext/>
      </w:pPr>
      <w:r>
        <w:lastRenderedPageBreak/>
        <w:t>Sezónně očištěné saldo hospodaření</w:t>
      </w:r>
      <w:r w:rsidRPr="00706DBC">
        <w:t xml:space="preserve"> vládních institucí, </w:t>
      </w:r>
      <w:r w:rsidR="00166228">
        <w:t>2</w:t>
      </w:r>
      <w:r w:rsidR="00DE6A49">
        <w:t>. čtvrtletí 20</w:t>
      </w:r>
      <w:r w:rsidR="00382035">
        <w:t>20</w:t>
      </w:r>
      <w:r w:rsidRPr="00706DBC">
        <w:t xml:space="preserve"> – </w:t>
      </w:r>
      <w:r w:rsidR="00166228">
        <w:t>2</w:t>
      </w:r>
      <w:r w:rsidR="00DE6A49">
        <w:t>. čtvrtletí 202</w:t>
      </w:r>
      <w:r w:rsidR="00382035">
        <w:t>2</w:t>
      </w:r>
    </w:p>
    <w:p w14:paraId="4FCD2497" w14:textId="3B6EEF71" w:rsidR="00647423" w:rsidRDefault="00166228" w:rsidP="005A7C66">
      <w:r>
        <w:rPr>
          <w:noProof/>
          <w:lang w:eastAsia="cs-CZ"/>
        </w:rPr>
        <w:drawing>
          <wp:inline distT="0" distB="0" distL="0" distR="0" wp14:anchorId="29E4A615" wp14:editId="5709BA69">
            <wp:extent cx="5400040" cy="1990725"/>
            <wp:effectExtent l="0" t="0" r="10160" b="9525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20034E" w14:textId="03EA1DA3" w:rsidR="00D265C7" w:rsidRDefault="00D265C7" w:rsidP="005A7C66"/>
    <w:p w14:paraId="365F29DE" w14:textId="77777777" w:rsidR="005A7C66" w:rsidRPr="004920AD" w:rsidRDefault="005A7C66" w:rsidP="005A7C66">
      <w:pPr>
        <w:pStyle w:val="Poznmky0"/>
      </w:pPr>
      <w:r>
        <w:t>Poznámky:</w:t>
      </w:r>
    </w:p>
    <w:p w14:paraId="7BD5F612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>statistiky nadměrného dluhu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5A4E1B3B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17788AB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61C2C09E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</w:p>
    <w:p w14:paraId="07644598" w14:textId="77777777" w:rsidR="005A7C66" w:rsidRPr="002C1411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2CCE8F25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625F5F01" w14:textId="0ED3AEC9" w:rsidR="009C4851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="00AA55EC">
        <w:rPr>
          <w:i/>
          <w:sz w:val="18"/>
          <w:szCs w:val="18"/>
        </w:rPr>
        <w:t xml:space="preserve"> Podrobné údaje v časových řadách o</w:t>
      </w:r>
      <w:r w:rsidRPr="002C1411">
        <w:rPr>
          <w:i/>
          <w:sz w:val="18"/>
          <w:szCs w:val="18"/>
        </w:rPr>
        <w:t xml:space="preserve">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účty“.(</w:t>
      </w:r>
      <w:hyperlink r:id="rId11" w:history="1">
        <w:r w:rsidR="00AA55EC">
          <w:rPr>
            <w:rStyle w:val="Hypertextovodkaz"/>
            <w:i/>
            <w:sz w:val="18"/>
            <w:szCs w:val="18"/>
          </w:rPr>
          <w:t>Sektor vládních institucí</w:t>
        </w:r>
      </w:hyperlink>
      <w:r w:rsidRPr="002C1411">
        <w:rPr>
          <w:i/>
          <w:sz w:val="18"/>
          <w:szCs w:val="18"/>
        </w:rPr>
        <w:t>)</w:t>
      </w:r>
      <w:r w:rsidR="009C4851">
        <w:rPr>
          <w:i/>
          <w:sz w:val="18"/>
          <w:szCs w:val="18"/>
        </w:rPr>
        <w:t xml:space="preserve">. </w:t>
      </w:r>
      <w:r w:rsidR="002E255E">
        <w:rPr>
          <w:i/>
          <w:sz w:val="18"/>
          <w:szCs w:val="18"/>
        </w:rPr>
        <w:t>Pokud není uvedeno jinak, data nejsou očištěna o sezónní a kalendářní vlivy.</w:t>
      </w:r>
      <w:r w:rsidR="005E471D">
        <w:rPr>
          <w:i/>
          <w:sz w:val="18"/>
          <w:szCs w:val="18"/>
        </w:rPr>
        <w:t xml:space="preserve"> </w:t>
      </w:r>
      <w:r w:rsidR="009C4851" w:rsidRPr="009C4851">
        <w:rPr>
          <w:i/>
          <w:sz w:val="18"/>
          <w:szCs w:val="18"/>
        </w:rPr>
        <w:t>Časová řada</w:t>
      </w:r>
      <w:r w:rsidR="009C4851">
        <w:rPr>
          <w:i/>
          <w:sz w:val="18"/>
          <w:szCs w:val="18"/>
        </w:rPr>
        <w:t xml:space="preserve"> sezónně očištěného salda vládních institucí (položka </w:t>
      </w:r>
      <w:r w:rsidR="009C4851" w:rsidRPr="009C4851">
        <w:rPr>
          <w:i/>
          <w:sz w:val="18"/>
          <w:szCs w:val="18"/>
        </w:rPr>
        <w:t>Čisté půjčky/ výpůjčky</w:t>
      </w:r>
      <w:r w:rsidR="009C4851">
        <w:rPr>
          <w:i/>
          <w:sz w:val="18"/>
          <w:szCs w:val="18"/>
        </w:rPr>
        <w:t xml:space="preserve">) </w:t>
      </w:r>
      <w:hyperlink r:id="rId12" w:history="1">
        <w:r w:rsidR="009C4851">
          <w:rPr>
            <w:rStyle w:val="Hypertextovodkaz"/>
            <w:i/>
            <w:sz w:val="18"/>
            <w:szCs w:val="18"/>
          </w:rPr>
          <w:t xml:space="preserve">Časová řada sezónně očištěných účtů za </w:t>
        </w:r>
        <w:proofErr w:type="gramStart"/>
        <w:r w:rsidR="009C4851">
          <w:rPr>
            <w:rStyle w:val="Hypertextovodkaz"/>
            <w:i/>
            <w:sz w:val="18"/>
            <w:szCs w:val="18"/>
          </w:rPr>
          <w:t>S.13</w:t>
        </w:r>
        <w:proofErr w:type="gramEnd"/>
        <w:r w:rsidR="009C4851">
          <w:rPr>
            <w:rStyle w:val="Hypertextovodkaz"/>
            <w:i/>
            <w:sz w:val="18"/>
            <w:szCs w:val="18"/>
          </w:rPr>
          <w:t xml:space="preserve"> </w:t>
        </w:r>
      </w:hyperlink>
      <w:r w:rsidR="009C4851">
        <w:rPr>
          <w:i/>
          <w:sz w:val="18"/>
          <w:szCs w:val="18"/>
        </w:rPr>
        <w:t>.</w:t>
      </w:r>
    </w:p>
    <w:p w14:paraId="26C56F68" w14:textId="77777777" w:rsidR="005A7C66" w:rsidRDefault="005A7C66" w:rsidP="005A7C66">
      <w:pPr>
        <w:rPr>
          <w:i/>
          <w:sz w:val="18"/>
          <w:szCs w:val="18"/>
        </w:rPr>
      </w:pPr>
    </w:p>
    <w:p w14:paraId="2E86067E" w14:textId="77777777"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5197"/>
      </w:tblGrid>
      <w:tr w:rsidR="007674A6" w14:paraId="61621A11" w14:textId="77777777" w:rsidTr="00242A34">
        <w:tc>
          <w:tcPr>
            <w:tcW w:w="3369" w:type="dxa"/>
          </w:tcPr>
          <w:p w14:paraId="66B3D3BB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1D582051" w14:textId="77777777" w:rsidR="001209A6" w:rsidRDefault="007674A6" w:rsidP="006464CD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</w:t>
            </w:r>
            <w:r w:rsidR="00426D89">
              <w:rPr>
                <w:i/>
                <w:iCs/>
                <w:sz w:val="18"/>
                <w:szCs w:val="18"/>
              </w:rPr>
              <w:t xml:space="preserve"> </w:t>
            </w:r>
            <w:r w:rsidR="008432DB">
              <w:rPr>
                <w:i/>
                <w:iCs/>
                <w:sz w:val="18"/>
                <w:szCs w:val="18"/>
              </w:rPr>
              <w:t>Helena Houžvičková</w:t>
            </w:r>
            <w:r w:rsidRPr="002C1411">
              <w:rPr>
                <w:i/>
                <w:iCs/>
                <w:sz w:val="18"/>
                <w:szCs w:val="18"/>
              </w:rPr>
              <w:t>,</w:t>
            </w:r>
            <w:r w:rsidR="00982CA8">
              <w:rPr>
                <w:i/>
                <w:iCs/>
                <w:sz w:val="18"/>
                <w:szCs w:val="18"/>
              </w:rPr>
              <w:t xml:space="preserve"> ředitel</w:t>
            </w:r>
            <w:r w:rsidR="001209A6">
              <w:rPr>
                <w:i/>
                <w:iCs/>
                <w:sz w:val="18"/>
                <w:szCs w:val="18"/>
              </w:rPr>
              <w:t>ka</w:t>
            </w:r>
            <w:r w:rsidR="00982CA8">
              <w:rPr>
                <w:i/>
                <w:iCs/>
                <w:sz w:val="18"/>
                <w:szCs w:val="18"/>
              </w:rPr>
              <w:t xml:space="preserve"> </w:t>
            </w:r>
            <w:r w:rsidR="00F20640">
              <w:rPr>
                <w:i/>
                <w:iCs/>
                <w:sz w:val="18"/>
                <w:szCs w:val="18"/>
              </w:rPr>
              <w:t>odboru vládních a finančních účtů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="00F20640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BCEA379" w14:textId="40FF4DCA" w:rsidR="007674A6" w:rsidRDefault="00F20640" w:rsidP="006464CD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tel.: </w:t>
            </w:r>
            <w:r w:rsidR="006464CD">
              <w:rPr>
                <w:i/>
                <w:iCs/>
                <w:sz w:val="18"/>
                <w:szCs w:val="18"/>
              </w:rPr>
              <w:t>704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="006464CD">
              <w:rPr>
                <w:i/>
                <w:iCs/>
                <w:sz w:val="18"/>
                <w:szCs w:val="18"/>
              </w:rPr>
              <w:t>688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="006464CD">
              <w:rPr>
                <w:i/>
                <w:iCs/>
                <w:sz w:val="18"/>
                <w:szCs w:val="18"/>
              </w:rPr>
              <w:t>734</w:t>
            </w:r>
            <w:r w:rsidR="007674A6"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3" w:history="1">
              <w:r w:rsidR="008432DB" w:rsidRPr="00A412AF">
                <w:rPr>
                  <w:rStyle w:val="Hypertextovodkaz"/>
                  <w:sz w:val="18"/>
                </w:rPr>
                <w:t>helena.houzvickova@czso.cz</w:t>
              </w:r>
            </w:hyperlink>
            <w:r w:rsidR="007674A6">
              <w:rPr>
                <w:sz w:val="18"/>
              </w:rPr>
              <w:t xml:space="preserve"> </w:t>
            </w:r>
          </w:p>
        </w:tc>
      </w:tr>
      <w:tr w:rsidR="007674A6" w14:paraId="228C36AC" w14:textId="77777777" w:rsidTr="00242A34">
        <w:tc>
          <w:tcPr>
            <w:tcW w:w="3369" w:type="dxa"/>
          </w:tcPr>
          <w:p w14:paraId="0B8EF876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37393383" w14:textId="77777777" w:rsidR="001209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</w:p>
          <w:p w14:paraId="06DE8B21" w14:textId="5F255BA2"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tel.: 274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4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14:paraId="42EC0B32" w14:textId="77777777" w:rsidTr="00242A34">
        <w:tc>
          <w:tcPr>
            <w:tcW w:w="3369" w:type="dxa"/>
          </w:tcPr>
          <w:p w14:paraId="781A3B79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21688CBE" w14:textId="1F6EDCC7" w:rsidR="007674A6" w:rsidRPr="007F7CB9" w:rsidRDefault="00C55D6B" w:rsidP="00C55D6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  <w:r w:rsidR="007674A6" w:rsidRPr="00F829FF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1</w:t>
            </w:r>
            <w:r w:rsidR="00760DE0" w:rsidRPr="00F829FF">
              <w:rPr>
                <w:i/>
                <w:iCs/>
                <w:sz w:val="18"/>
                <w:szCs w:val="18"/>
              </w:rPr>
              <w:t>. 20</w:t>
            </w:r>
            <w:r w:rsidR="005A7C66" w:rsidRPr="00F829FF">
              <w:rPr>
                <w:i/>
                <w:iCs/>
                <w:sz w:val="18"/>
                <w:szCs w:val="18"/>
              </w:rPr>
              <w:t>2</w:t>
            </w:r>
            <w:r>
              <w:rPr>
                <w:i/>
                <w:iCs/>
                <w:sz w:val="18"/>
                <w:szCs w:val="18"/>
              </w:rPr>
              <w:t>3</w:t>
            </w:r>
          </w:p>
        </w:tc>
      </w:tr>
    </w:tbl>
    <w:p w14:paraId="7CD49D6F" w14:textId="77777777" w:rsidR="007674A6" w:rsidRDefault="007674A6" w:rsidP="007674A6">
      <w:pPr>
        <w:rPr>
          <w:i/>
          <w:iCs/>
          <w:sz w:val="18"/>
          <w:szCs w:val="18"/>
        </w:rPr>
      </w:pPr>
    </w:p>
    <w:p w14:paraId="03A8AD7B" w14:textId="77777777" w:rsidR="00EA2DE9" w:rsidRPr="00EA2DE9" w:rsidRDefault="00EA2DE9" w:rsidP="00EA2DE9"/>
    <w:sectPr w:rsidR="00EA2DE9" w:rsidRPr="00EA2DE9" w:rsidSect="00A60967">
      <w:headerReference w:type="default" r:id="rId15"/>
      <w:footerReference w:type="default" r:id="rId16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85FD" w14:textId="77777777" w:rsidR="00C130BD" w:rsidRDefault="00C130BD" w:rsidP="00BA6370">
      <w:r>
        <w:separator/>
      </w:r>
    </w:p>
  </w:endnote>
  <w:endnote w:type="continuationSeparator" w:id="0">
    <w:p w14:paraId="014504FB" w14:textId="77777777" w:rsidR="00C130BD" w:rsidRDefault="00C130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F7F" w14:textId="77777777" w:rsidR="00D77FB9" w:rsidRDefault="00D77FB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445A1" wp14:editId="629FF78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5EB6" w14:textId="77777777" w:rsidR="00D77FB9" w:rsidRPr="001404AB" w:rsidRDefault="00D77FB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82E40DD" w14:textId="0A8072E7" w:rsidR="00D77FB9" w:rsidRPr="00A81EB3" w:rsidRDefault="00D77FB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601154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3</w: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5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BB05EB6" w14:textId="77777777" w:rsidR="00D77FB9" w:rsidRPr="001404AB" w:rsidRDefault="00D77FB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82E40DD" w14:textId="0A8072E7" w:rsidR="00D77FB9" w:rsidRPr="00A81EB3" w:rsidRDefault="00D77FB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601154">
                      <w:rPr>
                        <w:rFonts w:cs="Arial"/>
                        <w:noProof/>
                        <w:sz w:val="18"/>
                        <w:szCs w:val="15"/>
                      </w:rPr>
                      <w:t>3</w: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E88955" wp14:editId="4CE942B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D6AA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6F15" w14:textId="77777777" w:rsidR="00C130BD" w:rsidRDefault="00C130BD" w:rsidP="00BA6370">
      <w:r>
        <w:separator/>
      </w:r>
    </w:p>
  </w:footnote>
  <w:footnote w:type="continuationSeparator" w:id="0">
    <w:p w14:paraId="02521FF3" w14:textId="77777777" w:rsidR="00C130BD" w:rsidRDefault="00C130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063C" w14:textId="77777777" w:rsidR="00D77FB9" w:rsidRDefault="00D77F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0703E1" wp14:editId="472CA9A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5C1F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6"/>
    <w:rsid w:val="0000660A"/>
    <w:rsid w:val="00006D9A"/>
    <w:rsid w:val="000078FA"/>
    <w:rsid w:val="000114D9"/>
    <w:rsid w:val="000206EA"/>
    <w:rsid w:val="00020BFF"/>
    <w:rsid w:val="00022194"/>
    <w:rsid w:val="00024DDA"/>
    <w:rsid w:val="00027226"/>
    <w:rsid w:val="00027ED4"/>
    <w:rsid w:val="00027F53"/>
    <w:rsid w:val="00031874"/>
    <w:rsid w:val="00031E89"/>
    <w:rsid w:val="0004366C"/>
    <w:rsid w:val="00043BF4"/>
    <w:rsid w:val="0004710A"/>
    <w:rsid w:val="0005106B"/>
    <w:rsid w:val="00053474"/>
    <w:rsid w:val="00060E33"/>
    <w:rsid w:val="00064701"/>
    <w:rsid w:val="000843A5"/>
    <w:rsid w:val="00090EA1"/>
    <w:rsid w:val="000910DA"/>
    <w:rsid w:val="000933DC"/>
    <w:rsid w:val="00096D6C"/>
    <w:rsid w:val="000A18CB"/>
    <w:rsid w:val="000A2AF1"/>
    <w:rsid w:val="000A5146"/>
    <w:rsid w:val="000A6AEE"/>
    <w:rsid w:val="000B2CAC"/>
    <w:rsid w:val="000B6F63"/>
    <w:rsid w:val="000C0A2C"/>
    <w:rsid w:val="000C0C1C"/>
    <w:rsid w:val="000C2F30"/>
    <w:rsid w:val="000D093F"/>
    <w:rsid w:val="000D3CE2"/>
    <w:rsid w:val="000D4AC4"/>
    <w:rsid w:val="000D6E7B"/>
    <w:rsid w:val="000E1AFD"/>
    <w:rsid w:val="000E2FF8"/>
    <w:rsid w:val="000E43CC"/>
    <w:rsid w:val="000E6B36"/>
    <w:rsid w:val="000F3C40"/>
    <w:rsid w:val="000F5D76"/>
    <w:rsid w:val="0010238B"/>
    <w:rsid w:val="00105B76"/>
    <w:rsid w:val="00112FC7"/>
    <w:rsid w:val="00113C55"/>
    <w:rsid w:val="00115EAD"/>
    <w:rsid w:val="001209A6"/>
    <w:rsid w:val="00120CA1"/>
    <w:rsid w:val="00121358"/>
    <w:rsid w:val="00130DF5"/>
    <w:rsid w:val="001322AB"/>
    <w:rsid w:val="001369E2"/>
    <w:rsid w:val="00136D80"/>
    <w:rsid w:val="001373DB"/>
    <w:rsid w:val="001404AB"/>
    <w:rsid w:val="00143CB1"/>
    <w:rsid w:val="00150F5D"/>
    <w:rsid w:val="00151F49"/>
    <w:rsid w:val="001541E4"/>
    <w:rsid w:val="0015543C"/>
    <w:rsid w:val="001557F3"/>
    <w:rsid w:val="001559C0"/>
    <w:rsid w:val="00155E76"/>
    <w:rsid w:val="00156857"/>
    <w:rsid w:val="001570D9"/>
    <w:rsid w:val="00157705"/>
    <w:rsid w:val="001614B5"/>
    <w:rsid w:val="00164ABA"/>
    <w:rsid w:val="00166228"/>
    <w:rsid w:val="00167288"/>
    <w:rsid w:val="00170F69"/>
    <w:rsid w:val="00171765"/>
    <w:rsid w:val="00171CC7"/>
    <w:rsid w:val="0017231D"/>
    <w:rsid w:val="00174C88"/>
    <w:rsid w:val="001807A0"/>
    <w:rsid w:val="001810DC"/>
    <w:rsid w:val="00183B9F"/>
    <w:rsid w:val="001933FC"/>
    <w:rsid w:val="00194EA9"/>
    <w:rsid w:val="001955F2"/>
    <w:rsid w:val="001A12E4"/>
    <w:rsid w:val="001A49E6"/>
    <w:rsid w:val="001B13D2"/>
    <w:rsid w:val="001B1F6A"/>
    <w:rsid w:val="001B607F"/>
    <w:rsid w:val="001B6312"/>
    <w:rsid w:val="001B7272"/>
    <w:rsid w:val="001C30B0"/>
    <w:rsid w:val="001D0297"/>
    <w:rsid w:val="001D0699"/>
    <w:rsid w:val="001D1A8D"/>
    <w:rsid w:val="001D291B"/>
    <w:rsid w:val="001D369A"/>
    <w:rsid w:val="001D7AFB"/>
    <w:rsid w:val="001E09BE"/>
    <w:rsid w:val="001E09F0"/>
    <w:rsid w:val="001E6514"/>
    <w:rsid w:val="001F08B3"/>
    <w:rsid w:val="001F2FE0"/>
    <w:rsid w:val="001F4E2C"/>
    <w:rsid w:val="001F581C"/>
    <w:rsid w:val="001F7DD5"/>
    <w:rsid w:val="00200854"/>
    <w:rsid w:val="00201FAF"/>
    <w:rsid w:val="002070FB"/>
    <w:rsid w:val="00210C77"/>
    <w:rsid w:val="00213729"/>
    <w:rsid w:val="0021676A"/>
    <w:rsid w:val="00222149"/>
    <w:rsid w:val="00233976"/>
    <w:rsid w:val="002400B9"/>
    <w:rsid w:val="002406FA"/>
    <w:rsid w:val="002419EE"/>
    <w:rsid w:val="00242A34"/>
    <w:rsid w:val="00255BC3"/>
    <w:rsid w:val="0026107B"/>
    <w:rsid w:val="002639AF"/>
    <w:rsid w:val="00264DAF"/>
    <w:rsid w:val="00270F84"/>
    <w:rsid w:val="00271561"/>
    <w:rsid w:val="002733DB"/>
    <w:rsid w:val="00275A82"/>
    <w:rsid w:val="00275EEB"/>
    <w:rsid w:val="00276813"/>
    <w:rsid w:val="002773CD"/>
    <w:rsid w:val="002819BE"/>
    <w:rsid w:val="00281B97"/>
    <w:rsid w:val="00291851"/>
    <w:rsid w:val="00292BC3"/>
    <w:rsid w:val="00295A12"/>
    <w:rsid w:val="002A5502"/>
    <w:rsid w:val="002A56D6"/>
    <w:rsid w:val="002A6B48"/>
    <w:rsid w:val="002A77F8"/>
    <w:rsid w:val="002B2E47"/>
    <w:rsid w:val="002B3EA6"/>
    <w:rsid w:val="002B4B65"/>
    <w:rsid w:val="002C20A3"/>
    <w:rsid w:val="002C3D52"/>
    <w:rsid w:val="002C48E6"/>
    <w:rsid w:val="002C529C"/>
    <w:rsid w:val="002D06AA"/>
    <w:rsid w:val="002E1D66"/>
    <w:rsid w:val="002E255E"/>
    <w:rsid w:val="002E510B"/>
    <w:rsid w:val="002E7C61"/>
    <w:rsid w:val="002F219C"/>
    <w:rsid w:val="002F357E"/>
    <w:rsid w:val="00304176"/>
    <w:rsid w:val="003041F0"/>
    <w:rsid w:val="00312263"/>
    <w:rsid w:val="00312A78"/>
    <w:rsid w:val="00313271"/>
    <w:rsid w:val="00313F16"/>
    <w:rsid w:val="00322825"/>
    <w:rsid w:val="00323131"/>
    <w:rsid w:val="00327EDB"/>
    <w:rsid w:val="003301A3"/>
    <w:rsid w:val="003301DA"/>
    <w:rsid w:val="00331447"/>
    <w:rsid w:val="003316B5"/>
    <w:rsid w:val="0033552A"/>
    <w:rsid w:val="00345AA2"/>
    <w:rsid w:val="00351CA8"/>
    <w:rsid w:val="00353636"/>
    <w:rsid w:val="0035564A"/>
    <w:rsid w:val="00357199"/>
    <w:rsid w:val="003577F6"/>
    <w:rsid w:val="0036141C"/>
    <w:rsid w:val="003633B8"/>
    <w:rsid w:val="0036612E"/>
    <w:rsid w:val="0036777B"/>
    <w:rsid w:val="003718C5"/>
    <w:rsid w:val="0037782A"/>
    <w:rsid w:val="00382035"/>
    <w:rsid w:val="0038282A"/>
    <w:rsid w:val="00382E56"/>
    <w:rsid w:val="00390BDA"/>
    <w:rsid w:val="00390F50"/>
    <w:rsid w:val="0039376F"/>
    <w:rsid w:val="00394CD0"/>
    <w:rsid w:val="00395349"/>
    <w:rsid w:val="00395E60"/>
    <w:rsid w:val="003964A5"/>
    <w:rsid w:val="00397580"/>
    <w:rsid w:val="003A45C8"/>
    <w:rsid w:val="003B416A"/>
    <w:rsid w:val="003B4607"/>
    <w:rsid w:val="003C0206"/>
    <w:rsid w:val="003C039E"/>
    <w:rsid w:val="003C2DCF"/>
    <w:rsid w:val="003C54AE"/>
    <w:rsid w:val="003C7620"/>
    <w:rsid w:val="003C7864"/>
    <w:rsid w:val="003C7FE7"/>
    <w:rsid w:val="003D0499"/>
    <w:rsid w:val="003D3576"/>
    <w:rsid w:val="003D468E"/>
    <w:rsid w:val="003F4BD3"/>
    <w:rsid w:val="003F526A"/>
    <w:rsid w:val="003F5AA6"/>
    <w:rsid w:val="003F5DB2"/>
    <w:rsid w:val="003F7671"/>
    <w:rsid w:val="004011F6"/>
    <w:rsid w:val="0040272A"/>
    <w:rsid w:val="00405244"/>
    <w:rsid w:val="00405365"/>
    <w:rsid w:val="004060DD"/>
    <w:rsid w:val="004060E2"/>
    <w:rsid w:val="00407901"/>
    <w:rsid w:val="00411E28"/>
    <w:rsid w:val="00413354"/>
    <w:rsid w:val="004154C7"/>
    <w:rsid w:val="00416195"/>
    <w:rsid w:val="00417673"/>
    <w:rsid w:val="00423779"/>
    <w:rsid w:val="00425ADB"/>
    <w:rsid w:val="00425F10"/>
    <w:rsid w:val="00426D89"/>
    <w:rsid w:val="00432C93"/>
    <w:rsid w:val="00441019"/>
    <w:rsid w:val="004436EE"/>
    <w:rsid w:val="00446104"/>
    <w:rsid w:val="00447B75"/>
    <w:rsid w:val="0045547F"/>
    <w:rsid w:val="004627B6"/>
    <w:rsid w:val="00465AAB"/>
    <w:rsid w:val="00470311"/>
    <w:rsid w:val="00471DEF"/>
    <w:rsid w:val="00472BA3"/>
    <w:rsid w:val="00474243"/>
    <w:rsid w:val="00474A48"/>
    <w:rsid w:val="004906DF"/>
    <w:rsid w:val="004920AD"/>
    <w:rsid w:val="004953B5"/>
    <w:rsid w:val="004961FB"/>
    <w:rsid w:val="004A0F29"/>
    <w:rsid w:val="004A1435"/>
    <w:rsid w:val="004A2FD5"/>
    <w:rsid w:val="004A5D0D"/>
    <w:rsid w:val="004B0E9B"/>
    <w:rsid w:val="004B53E2"/>
    <w:rsid w:val="004B7866"/>
    <w:rsid w:val="004C1C8D"/>
    <w:rsid w:val="004D05B3"/>
    <w:rsid w:val="004D07BE"/>
    <w:rsid w:val="004D3C79"/>
    <w:rsid w:val="004D3F4C"/>
    <w:rsid w:val="004D3FBC"/>
    <w:rsid w:val="004D7156"/>
    <w:rsid w:val="004D7CFA"/>
    <w:rsid w:val="004E0433"/>
    <w:rsid w:val="004E479E"/>
    <w:rsid w:val="004E785E"/>
    <w:rsid w:val="004F4372"/>
    <w:rsid w:val="004F686C"/>
    <w:rsid w:val="004F6EF7"/>
    <w:rsid w:val="004F78E6"/>
    <w:rsid w:val="0050191A"/>
    <w:rsid w:val="0050420E"/>
    <w:rsid w:val="00506867"/>
    <w:rsid w:val="00511B4C"/>
    <w:rsid w:val="00512D99"/>
    <w:rsid w:val="00513C44"/>
    <w:rsid w:val="00514205"/>
    <w:rsid w:val="00520056"/>
    <w:rsid w:val="00523F6F"/>
    <w:rsid w:val="00525BB0"/>
    <w:rsid w:val="00526E0E"/>
    <w:rsid w:val="00531DBB"/>
    <w:rsid w:val="005351F4"/>
    <w:rsid w:val="00540F2E"/>
    <w:rsid w:val="00542EBD"/>
    <w:rsid w:val="00545931"/>
    <w:rsid w:val="00546A7F"/>
    <w:rsid w:val="00551E5D"/>
    <w:rsid w:val="005543FD"/>
    <w:rsid w:val="00560372"/>
    <w:rsid w:val="005652F3"/>
    <w:rsid w:val="00566757"/>
    <w:rsid w:val="00573994"/>
    <w:rsid w:val="0057429D"/>
    <w:rsid w:val="00575CBC"/>
    <w:rsid w:val="00586986"/>
    <w:rsid w:val="00586F7A"/>
    <w:rsid w:val="00587411"/>
    <w:rsid w:val="00596033"/>
    <w:rsid w:val="005A2F95"/>
    <w:rsid w:val="005A4B9C"/>
    <w:rsid w:val="005A5773"/>
    <w:rsid w:val="005A797C"/>
    <w:rsid w:val="005A7C66"/>
    <w:rsid w:val="005B0489"/>
    <w:rsid w:val="005B2684"/>
    <w:rsid w:val="005B3516"/>
    <w:rsid w:val="005C15CD"/>
    <w:rsid w:val="005D0C9E"/>
    <w:rsid w:val="005D1FA7"/>
    <w:rsid w:val="005E1A31"/>
    <w:rsid w:val="005E4540"/>
    <w:rsid w:val="005E471D"/>
    <w:rsid w:val="005F0EFC"/>
    <w:rsid w:val="005F15A4"/>
    <w:rsid w:val="005F79FB"/>
    <w:rsid w:val="00601154"/>
    <w:rsid w:val="00601F81"/>
    <w:rsid w:val="00604406"/>
    <w:rsid w:val="00604C56"/>
    <w:rsid w:val="00605F4A"/>
    <w:rsid w:val="00607822"/>
    <w:rsid w:val="00607E62"/>
    <w:rsid w:val="006101BB"/>
    <w:rsid w:val="006103AA"/>
    <w:rsid w:val="00613BBF"/>
    <w:rsid w:val="0061784E"/>
    <w:rsid w:val="006179B0"/>
    <w:rsid w:val="00622B80"/>
    <w:rsid w:val="0062459A"/>
    <w:rsid w:val="0062466F"/>
    <w:rsid w:val="00627388"/>
    <w:rsid w:val="0062797D"/>
    <w:rsid w:val="006330B1"/>
    <w:rsid w:val="0063411C"/>
    <w:rsid w:val="00635BB1"/>
    <w:rsid w:val="006400BD"/>
    <w:rsid w:val="0064139A"/>
    <w:rsid w:val="00641B4A"/>
    <w:rsid w:val="00642760"/>
    <w:rsid w:val="006453A7"/>
    <w:rsid w:val="006464CD"/>
    <w:rsid w:val="00647423"/>
    <w:rsid w:val="0064756E"/>
    <w:rsid w:val="00650199"/>
    <w:rsid w:val="00650DE1"/>
    <w:rsid w:val="00651684"/>
    <w:rsid w:val="0065194E"/>
    <w:rsid w:val="00660D90"/>
    <w:rsid w:val="0066447A"/>
    <w:rsid w:val="00667BEA"/>
    <w:rsid w:val="00667CB5"/>
    <w:rsid w:val="00672348"/>
    <w:rsid w:val="00675EC0"/>
    <w:rsid w:val="00681501"/>
    <w:rsid w:val="00681750"/>
    <w:rsid w:val="006918F5"/>
    <w:rsid w:val="006931CF"/>
    <w:rsid w:val="00696FCF"/>
    <w:rsid w:val="006A1F09"/>
    <w:rsid w:val="006A28A6"/>
    <w:rsid w:val="006A7EAB"/>
    <w:rsid w:val="006B2B5A"/>
    <w:rsid w:val="006C4DDE"/>
    <w:rsid w:val="006D2075"/>
    <w:rsid w:val="006D3A02"/>
    <w:rsid w:val="006D6BFF"/>
    <w:rsid w:val="006E024F"/>
    <w:rsid w:val="006E39A7"/>
    <w:rsid w:val="006E428C"/>
    <w:rsid w:val="006E4E81"/>
    <w:rsid w:val="006E5508"/>
    <w:rsid w:val="006F016B"/>
    <w:rsid w:val="006F2D3A"/>
    <w:rsid w:val="006F38BC"/>
    <w:rsid w:val="006F401E"/>
    <w:rsid w:val="00701B16"/>
    <w:rsid w:val="007029F8"/>
    <w:rsid w:val="00705916"/>
    <w:rsid w:val="0070617B"/>
    <w:rsid w:val="00707F7D"/>
    <w:rsid w:val="00712924"/>
    <w:rsid w:val="00717EC5"/>
    <w:rsid w:val="00720C71"/>
    <w:rsid w:val="00724DB5"/>
    <w:rsid w:val="00724DF1"/>
    <w:rsid w:val="00746FAC"/>
    <w:rsid w:val="00747707"/>
    <w:rsid w:val="00747ECC"/>
    <w:rsid w:val="0075058C"/>
    <w:rsid w:val="00751B3D"/>
    <w:rsid w:val="00754C20"/>
    <w:rsid w:val="007567D0"/>
    <w:rsid w:val="00756B70"/>
    <w:rsid w:val="00760124"/>
    <w:rsid w:val="00760DE0"/>
    <w:rsid w:val="00765873"/>
    <w:rsid w:val="007674A6"/>
    <w:rsid w:val="00770F10"/>
    <w:rsid w:val="00770F34"/>
    <w:rsid w:val="0077450F"/>
    <w:rsid w:val="007831D6"/>
    <w:rsid w:val="007935FE"/>
    <w:rsid w:val="00795F3F"/>
    <w:rsid w:val="007A0CE9"/>
    <w:rsid w:val="007A2048"/>
    <w:rsid w:val="007A2F1F"/>
    <w:rsid w:val="007A57F2"/>
    <w:rsid w:val="007B0AAF"/>
    <w:rsid w:val="007B1333"/>
    <w:rsid w:val="007B3BC2"/>
    <w:rsid w:val="007B4AC7"/>
    <w:rsid w:val="007B5482"/>
    <w:rsid w:val="007B7475"/>
    <w:rsid w:val="007C3F83"/>
    <w:rsid w:val="007C435E"/>
    <w:rsid w:val="007C565C"/>
    <w:rsid w:val="007C6639"/>
    <w:rsid w:val="007D44DD"/>
    <w:rsid w:val="007D58AD"/>
    <w:rsid w:val="007D624A"/>
    <w:rsid w:val="007D6F52"/>
    <w:rsid w:val="007D7C61"/>
    <w:rsid w:val="007E04BF"/>
    <w:rsid w:val="007E146B"/>
    <w:rsid w:val="007E15BD"/>
    <w:rsid w:val="007E3701"/>
    <w:rsid w:val="007E4054"/>
    <w:rsid w:val="007E5A52"/>
    <w:rsid w:val="007F0C04"/>
    <w:rsid w:val="007F4AEB"/>
    <w:rsid w:val="007F712A"/>
    <w:rsid w:val="007F75B2"/>
    <w:rsid w:val="007F77A8"/>
    <w:rsid w:val="007F7FF7"/>
    <w:rsid w:val="00803993"/>
    <w:rsid w:val="008043C4"/>
    <w:rsid w:val="0080469D"/>
    <w:rsid w:val="00805BA6"/>
    <w:rsid w:val="00805EC2"/>
    <w:rsid w:val="0080678E"/>
    <w:rsid w:val="00811BF3"/>
    <w:rsid w:val="00815D15"/>
    <w:rsid w:val="0082286D"/>
    <w:rsid w:val="00823594"/>
    <w:rsid w:val="008300E7"/>
    <w:rsid w:val="00830643"/>
    <w:rsid w:val="00831B1B"/>
    <w:rsid w:val="008328F4"/>
    <w:rsid w:val="008432DB"/>
    <w:rsid w:val="008459CB"/>
    <w:rsid w:val="00850C26"/>
    <w:rsid w:val="00852F35"/>
    <w:rsid w:val="0085371B"/>
    <w:rsid w:val="00855FB3"/>
    <w:rsid w:val="0085684F"/>
    <w:rsid w:val="00860C3B"/>
    <w:rsid w:val="00861D0E"/>
    <w:rsid w:val="00865670"/>
    <w:rsid w:val="008662BB"/>
    <w:rsid w:val="00867569"/>
    <w:rsid w:val="00870A48"/>
    <w:rsid w:val="00875B18"/>
    <w:rsid w:val="0088315F"/>
    <w:rsid w:val="00883641"/>
    <w:rsid w:val="00884CF1"/>
    <w:rsid w:val="00885B92"/>
    <w:rsid w:val="008918E6"/>
    <w:rsid w:val="008A0350"/>
    <w:rsid w:val="008A15CC"/>
    <w:rsid w:val="008A5B79"/>
    <w:rsid w:val="008A5D3E"/>
    <w:rsid w:val="008A750A"/>
    <w:rsid w:val="008B06BD"/>
    <w:rsid w:val="008B2A71"/>
    <w:rsid w:val="008B3970"/>
    <w:rsid w:val="008B4DC3"/>
    <w:rsid w:val="008B56F4"/>
    <w:rsid w:val="008B5BB1"/>
    <w:rsid w:val="008C384C"/>
    <w:rsid w:val="008C6D93"/>
    <w:rsid w:val="008D0F11"/>
    <w:rsid w:val="008D1041"/>
    <w:rsid w:val="008D5BB8"/>
    <w:rsid w:val="008D6662"/>
    <w:rsid w:val="008D7FDA"/>
    <w:rsid w:val="008E611F"/>
    <w:rsid w:val="008E728B"/>
    <w:rsid w:val="008F202A"/>
    <w:rsid w:val="008F31E9"/>
    <w:rsid w:val="008F38CA"/>
    <w:rsid w:val="008F3E51"/>
    <w:rsid w:val="008F7147"/>
    <w:rsid w:val="008F73B4"/>
    <w:rsid w:val="0090040B"/>
    <w:rsid w:val="009005B6"/>
    <w:rsid w:val="00906F17"/>
    <w:rsid w:val="00907835"/>
    <w:rsid w:val="00910009"/>
    <w:rsid w:val="00915A3B"/>
    <w:rsid w:val="00917C75"/>
    <w:rsid w:val="00923308"/>
    <w:rsid w:val="00927342"/>
    <w:rsid w:val="00927EFE"/>
    <w:rsid w:val="0093024A"/>
    <w:rsid w:val="009336F8"/>
    <w:rsid w:val="009348DD"/>
    <w:rsid w:val="00935766"/>
    <w:rsid w:val="00936855"/>
    <w:rsid w:val="00961DC3"/>
    <w:rsid w:val="00973340"/>
    <w:rsid w:val="00974B5D"/>
    <w:rsid w:val="00980300"/>
    <w:rsid w:val="009828B5"/>
    <w:rsid w:val="00982CA8"/>
    <w:rsid w:val="00985D92"/>
    <w:rsid w:val="00986DD7"/>
    <w:rsid w:val="00987ACA"/>
    <w:rsid w:val="00987EC2"/>
    <w:rsid w:val="009906E9"/>
    <w:rsid w:val="00990C86"/>
    <w:rsid w:val="00992F43"/>
    <w:rsid w:val="00993B13"/>
    <w:rsid w:val="00995ACC"/>
    <w:rsid w:val="00996553"/>
    <w:rsid w:val="009A10AD"/>
    <w:rsid w:val="009A53E5"/>
    <w:rsid w:val="009B026E"/>
    <w:rsid w:val="009B55B1"/>
    <w:rsid w:val="009B5605"/>
    <w:rsid w:val="009C00B5"/>
    <w:rsid w:val="009C0C0B"/>
    <w:rsid w:val="009C406F"/>
    <w:rsid w:val="009C4851"/>
    <w:rsid w:val="009D6FE4"/>
    <w:rsid w:val="009E3E5F"/>
    <w:rsid w:val="009E79CE"/>
    <w:rsid w:val="00A075A1"/>
    <w:rsid w:val="00A0762A"/>
    <w:rsid w:val="00A10D2A"/>
    <w:rsid w:val="00A11EBE"/>
    <w:rsid w:val="00A12EB7"/>
    <w:rsid w:val="00A132F9"/>
    <w:rsid w:val="00A15D66"/>
    <w:rsid w:val="00A23729"/>
    <w:rsid w:val="00A25220"/>
    <w:rsid w:val="00A31589"/>
    <w:rsid w:val="00A32AB9"/>
    <w:rsid w:val="00A36CFE"/>
    <w:rsid w:val="00A4343D"/>
    <w:rsid w:val="00A4654F"/>
    <w:rsid w:val="00A502F1"/>
    <w:rsid w:val="00A544EE"/>
    <w:rsid w:val="00A60967"/>
    <w:rsid w:val="00A60B8B"/>
    <w:rsid w:val="00A66EAC"/>
    <w:rsid w:val="00A70A83"/>
    <w:rsid w:val="00A71AC2"/>
    <w:rsid w:val="00A73743"/>
    <w:rsid w:val="00A76D07"/>
    <w:rsid w:val="00A81EB3"/>
    <w:rsid w:val="00A86B4D"/>
    <w:rsid w:val="00A86C04"/>
    <w:rsid w:val="00A927E3"/>
    <w:rsid w:val="00A933D9"/>
    <w:rsid w:val="00A93DE1"/>
    <w:rsid w:val="00A94B28"/>
    <w:rsid w:val="00A962AF"/>
    <w:rsid w:val="00AA28C8"/>
    <w:rsid w:val="00AA4564"/>
    <w:rsid w:val="00AA502D"/>
    <w:rsid w:val="00AA5204"/>
    <w:rsid w:val="00AA55EC"/>
    <w:rsid w:val="00AA6667"/>
    <w:rsid w:val="00AA66CB"/>
    <w:rsid w:val="00AB0B98"/>
    <w:rsid w:val="00AB2FE3"/>
    <w:rsid w:val="00AB33D0"/>
    <w:rsid w:val="00AB3410"/>
    <w:rsid w:val="00AC2B13"/>
    <w:rsid w:val="00AC2E71"/>
    <w:rsid w:val="00AC58B3"/>
    <w:rsid w:val="00AC7B4C"/>
    <w:rsid w:val="00AC7D51"/>
    <w:rsid w:val="00AD048F"/>
    <w:rsid w:val="00AD1D04"/>
    <w:rsid w:val="00AD23DF"/>
    <w:rsid w:val="00AD3DFB"/>
    <w:rsid w:val="00AD450F"/>
    <w:rsid w:val="00AD4CD4"/>
    <w:rsid w:val="00AD5011"/>
    <w:rsid w:val="00AD7C66"/>
    <w:rsid w:val="00AE22E0"/>
    <w:rsid w:val="00AE2F0C"/>
    <w:rsid w:val="00AE305A"/>
    <w:rsid w:val="00AE3EE0"/>
    <w:rsid w:val="00AE6907"/>
    <w:rsid w:val="00AE7FAA"/>
    <w:rsid w:val="00AF1501"/>
    <w:rsid w:val="00AF42B6"/>
    <w:rsid w:val="00AF52E4"/>
    <w:rsid w:val="00AF5FB5"/>
    <w:rsid w:val="00B00C1D"/>
    <w:rsid w:val="00B01D58"/>
    <w:rsid w:val="00B02305"/>
    <w:rsid w:val="00B06A45"/>
    <w:rsid w:val="00B1628A"/>
    <w:rsid w:val="00B16834"/>
    <w:rsid w:val="00B237A0"/>
    <w:rsid w:val="00B253C8"/>
    <w:rsid w:val="00B30687"/>
    <w:rsid w:val="00B31B71"/>
    <w:rsid w:val="00B3245E"/>
    <w:rsid w:val="00B330E1"/>
    <w:rsid w:val="00B35C47"/>
    <w:rsid w:val="00B3711F"/>
    <w:rsid w:val="00B40051"/>
    <w:rsid w:val="00B46BFE"/>
    <w:rsid w:val="00B476AC"/>
    <w:rsid w:val="00B5095F"/>
    <w:rsid w:val="00B55375"/>
    <w:rsid w:val="00B56382"/>
    <w:rsid w:val="00B57F6E"/>
    <w:rsid w:val="00B632CC"/>
    <w:rsid w:val="00B67757"/>
    <w:rsid w:val="00B70E16"/>
    <w:rsid w:val="00B7682C"/>
    <w:rsid w:val="00B7752A"/>
    <w:rsid w:val="00B77751"/>
    <w:rsid w:val="00B81175"/>
    <w:rsid w:val="00B85D5E"/>
    <w:rsid w:val="00B86033"/>
    <w:rsid w:val="00B906F2"/>
    <w:rsid w:val="00B928C6"/>
    <w:rsid w:val="00B973E6"/>
    <w:rsid w:val="00B97B4A"/>
    <w:rsid w:val="00BA0154"/>
    <w:rsid w:val="00BA12F1"/>
    <w:rsid w:val="00BA33CC"/>
    <w:rsid w:val="00BA439F"/>
    <w:rsid w:val="00BA6370"/>
    <w:rsid w:val="00BB2C9A"/>
    <w:rsid w:val="00BB7C9E"/>
    <w:rsid w:val="00BC0239"/>
    <w:rsid w:val="00BD39ED"/>
    <w:rsid w:val="00BD66E4"/>
    <w:rsid w:val="00BE072E"/>
    <w:rsid w:val="00BE0B11"/>
    <w:rsid w:val="00BF005D"/>
    <w:rsid w:val="00BF02C9"/>
    <w:rsid w:val="00BF41B9"/>
    <w:rsid w:val="00BF65E6"/>
    <w:rsid w:val="00BF6C41"/>
    <w:rsid w:val="00C05C53"/>
    <w:rsid w:val="00C064EE"/>
    <w:rsid w:val="00C0653F"/>
    <w:rsid w:val="00C11FAD"/>
    <w:rsid w:val="00C130BD"/>
    <w:rsid w:val="00C135E6"/>
    <w:rsid w:val="00C14348"/>
    <w:rsid w:val="00C1677B"/>
    <w:rsid w:val="00C20061"/>
    <w:rsid w:val="00C2585D"/>
    <w:rsid w:val="00C269D4"/>
    <w:rsid w:val="00C275B3"/>
    <w:rsid w:val="00C33E70"/>
    <w:rsid w:val="00C3546B"/>
    <w:rsid w:val="00C37ADB"/>
    <w:rsid w:val="00C4160D"/>
    <w:rsid w:val="00C45D98"/>
    <w:rsid w:val="00C5527B"/>
    <w:rsid w:val="00C55D6B"/>
    <w:rsid w:val="00C60D47"/>
    <w:rsid w:val="00C65A6E"/>
    <w:rsid w:val="00C65A74"/>
    <w:rsid w:val="00C677E8"/>
    <w:rsid w:val="00C74AF6"/>
    <w:rsid w:val="00C762BD"/>
    <w:rsid w:val="00C8406E"/>
    <w:rsid w:val="00C86548"/>
    <w:rsid w:val="00C87D1B"/>
    <w:rsid w:val="00C9073E"/>
    <w:rsid w:val="00CA2B5C"/>
    <w:rsid w:val="00CA679D"/>
    <w:rsid w:val="00CB2709"/>
    <w:rsid w:val="00CB2EC7"/>
    <w:rsid w:val="00CB38F2"/>
    <w:rsid w:val="00CB3C8F"/>
    <w:rsid w:val="00CB4991"/>
    <w:rsid w:val="00CB4EDA"/>
    <w:rsid w:val="00CB6F89"/>
    <w:rsid w:val="00CC08DF"/>
    <w:rsid w:val="00CC0AE9"/>
    <w:rsid w:val="00CC3372"/>
    <w:rsid w:val="00CC40D4"/>
    <w:rsid w:val="00CC6422"/>
    <w:rsid w:val="00CD1B68"/>
    <w:rsid w:val="00CD21CC"/>
    <w:rsid w:val="00CD4356"/>
    <w:rsid w:val="00CD4F83"/>
    <w:rsid w:val="00CD5351"/>
    <w:rsid w:val="00CE0B66"/>
    <w:rsid w:val="00CE18AC"/>
    <w:rsid w:val="00CE228C"/>
    <w:rsid w:val="00CE5BC2"/>
    <w:rsid w:val="00CE61B7"/>
    <w:rsid w:val="00CE669C"/>
    <w:rsid w:val="00CE6D97"/>
    <w:rsid w:val="00CE71D9"/>
    <w:rsid w:val="00CF0DC5"/>
    <w:rsid w:val="00CF138C"/>
    <w:rsid w:val="00CF5155"/>
    <w:rsid w:val="00CF545B"/>
    <w:rsid w:val="00CF713A"/>
    <w:rsid w:val="00D118F4"/>
    <w:rsid w:val="00D14350"/>
    <w:rsid w:val="00D17C22"/>
    <w:rsid w:val="00D208F1"/>
    <w:rsid w:val="00D209A7"/>
    <w:rsid w:val="00D21645"/>
    <w:rsid w:val="00D22EA9"/>
    <w:rsid w:val="00D2309A"/>
    <w:rsid w:val="00D265C7"/>
    <w:rsid w:val="00D27D69"/>
    <w:rsid w:val="00D302FA"/>
    <w:rsid w:val="00D30C9F"/>
    <w:rsid w:val="00D31739"/>
    <w:rsid w:val="00D31861"/>
    <w:rsid w:val="00D33658"/>
    <w:rsid w:val="00D34C7D"/>
    <w:rsid w:val="00D448C2"/>
    <w:rsid w:val="00D44BFF"/>
    <w:rsid w:val="00D45C5D"/>
    <w:rsid w:val="00D52D0D"/>
    <w:rsid w:val="00D62A50"/>
    <w:rsid w:val="00D666C3"/>
    <w:rsid w:val="00D74B3D"/>
    <w:rsid w:val="00D77FB9"/>
    <w:rsid w:val="00D818E8"/>
    <w:rsid w:val="00D86B7D"/>
    <w:rsid w:val="00D87CE7"/>
    <w:rsid w:val="00D914A9"/>
    <w:rsid w:val="00D9189F"/>
    <w:rsid w:val="00D95B91"/>
    <w:rsid w:val="00DA6CD7"/>
    <w:rsid w:val="00DB1E23"/>
    <w:rsid w:val="00DB27DA"/>
    <w:rsid w:val="00DB33D4"/>
    <w:rsid w:val="00DB3D52"/>
    <w:rsid w:val="00DB5168"/>
    <w:rsid w:val="00DB5A1D"/>
    <w:rsid w:val="00DB67B3"/>
    <w:rsid w:val="00DB7DDE"/>
    <w:rsid w:val="00DC1C8F"/>
    <w:rsid w:val="00DC368D"/>
    <w:rsid w:val="00DD2AC3"/>
    <w:rsid w:val="00DD43D0"/>
    <w:rsid w:val="00DD56E4"/>
    <w:rsid w:val="00DE4D61"/>
    <w:rsid w:val="00DE5999"/>
    <w:rsid w:val="00DE6A49"/>
    <w:rsid w:val="00DE6B23"/>
    <w:rsid w:val="00DF14D2"/>
    <w:rsid w:val="00DF1570"/>
    <w:rsid w:val="00DF1723"/>
    <w:rsid w:val="00DF1DBF"/>
    <w:rsid w:val="00DF20AA"/>
    <w:rsid w:val="00DF2A26"/>
    <w:rsid w:val="00DF47FE"/>
    <w:rsid w:val="00DF50CE"/>
    <w:rsid w:val="00E00AFE"/>
    <w:rsid w:val="00E0156A"/>
    <w:rsid w:val="00E028D9"/>
    <w:rsid w:val="00E12E8F"/>
    <w:rsid w:val="00E14573"/>
    <w:rsid w:val="00E16796"/>
    <w:rsid w:val="00E16F11"/>
    <w:rsid w:val="00E225DE"/>
    <w:rsid w:val="00E22A62"/>
    <w:rsid w:val="00E25A9C"/>
    <w:rsid w:val="00E26704"/>
    <w:rsid w:val="00E30385"/>
    <w:rsid w:val="00E30E72"/>
    <w:rsid w:val="00E31980"/>
    <w:rsid w:val="00E3211D"/>
    <w:rsid w:val="00E36376"/>
    <w:rsid w:val="00E4384E"/>
    <w:rsid w:val="00E45130"/>
    <w:rsid w:val="00E5536A"/>
    <w:rsid w:val="00E63083"/>
    <w:rsid w:val="00E6423C"/>
    <w:rsid w:val="00E6431E"/>
    <w:rsid w:val="00E706EA"/>
    <w:rsid w:val="00E7255A"/>
    <w:rsid w:val="00E72D7F"/>
    <w:rsid w:val="00E736BE"/>
    <w:rsid w:val="00E74394"/>
    <w:rsid w:val="00E74FAA"/>
    <w:rsid w:val="00E82994"/>
    <w:rsid w:val="00E862E2"/>
    <w:rsid w:val="00E864EB"/>
    <w:rsid w:val="00E92B87"/>
    <w:rsid w:val="00E92D16"/>
    <w:rsid w:val="00E93715"/>
    <w:rsid w:val="00E93830"/>
    <w:rsid w:val="00E93E0E"/>
    <w:rsid w:val="00E96CC6"/>
    <w:rsid w:val="00EA08B8"/>
    <w:rsid w:val="00EA2DE9"/>
    <w:rsid w:val="00EA4685"/>
    <w:rsid w:val="00EA4D69"/>
    <w:rsid w:val="00EA6EDB"/>
    <w:rsid w:val="00EB1ED3"/>
    <w:rsid w:val="00EB44BC"/>
    <w:rsid w:val="00EB6243"/>
    <w:rsid w:val="00EC68A4"/>
    <w:rsid w:val="00ED1573"/>
    <w:rsid w:val="00ED1C79"/>
    <w:rsid w:val="00ED5CEB"/>
    <w:rsid w:val="00EE06E6"/>
    <w:rsid w:val="00EE2655"/>
    <w:rsid w:val="00EE43EB"/>
    <w:rsid w:val="00EF2155"/>
    <w:rsid w:val="00EF24E8"/>
    <w:rsid w:val="00EF38A3"/>
    <w:rsid w:val="00EF3BAA"/>
    <w:rsid w:val="00EF5A70"/>
    <w:rsid w:val="00EF7CD7"/>
    <w:rsid w:val="00F015E2"/>
    <w:rsid w:val="00F02061"/>
    <w:rsid w:val="00F05CCF"/>
    <w:rsid w:val="00F07627"/>
    <w:rsid w:val="00F100EB"/>
    <w:rsid w:val="00F158FD"/>
    <w:rsid w:val="00F20640"/>
    <w:rsid w:val="00F214B3"/>
    <w:rsid w:val="00F21F23"/>
    <w:rsid w:val="00F221D2"/>
    <w:rsid w:val="00F26538"/>
    <w:rsid w:val="00F26CDA"/>
    <w:rsid w:val="00F34F99"/>
    <w:rsid w:val="00F376C1"/>
    <w:rsid w:val="00F45BA6"/>
    <w:rsid w:val="00F520C7"/>
    <w:rsid w:val="00F54EB0"/>
    <w:rsid w:val="00F55F6C"/>
    <w:rsid w:val="00F57EA8"/>
    <w:rsid w:val="00F605BD"/>
    <w:rsid w:val="00F64D73"/>
    <w:rsid w:val="00F66212"/>
    <w:rsid w:val="00F75711"/>
    <w:rsid w:val="00F75BD5"/>
    <w:rsid w:val="00F75F2A"/>
    <w:rsid w:val="00F76265"/>
    <w:rsid w:val="00F829FF"/>
    <w:rsid w:val="00F83F8C"/>
    <w:rsid w:val="00F927B5"/>
    <w:rsid w:val="00F94F2F"/>
    <w:rsid w:val="00FA1B2C"/>
    <w:rsid w:val="00FA3792"/>
    <w:rsid w:val="00FA5B92"/>
    <w:rsid w:val="00FB1DDD"/>
    <w:rsid w:val="00FB249A"/>
    <w:rsid w:val="00FB687C"/>
    <w:rsid w:val="00FC25C8"/>
    <w:rsid w:val="00FC39DA"/>
    <w:rsid w:val="00FC3C67"/>
    <w:rsid w:val="00FE404D"/>
    <w:rsid w:val="00FE5C90"/>
    <w:rsid w:val="00FF3DC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0071bc"/>
    </o:shapedefaults>
    <o:shapelayout v:ext="edit">
      <o:idmap v:ext="edit" data="1"/>
    </o:shapelayout>
  </w:shapeDefaults>
  <w:decimalSymbol w:val=","/>
  <w:listSeparator w:val=";"/>
  <w14:docId w14:val="03A60F8F"/>
  <w15:docId w15:val="{47FB5D60-2FCE-469C-A06F-2A99F07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B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B8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B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helena.houzvickova@czs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.czso.cz/pll/rocenka/rocenkavyber.kvart_qs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.czso.cz/pll/rocenka/rocenka.indexnu_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mailto:jaroslav.kahoun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2Q20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2Q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2Q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graf!$R$2:$Z$2</c:f>
              <c:strCache>
                <c:ptCount val="9"/>
                <c:pt idx="0">
                  <c:v>2.Q 2020</c:v>
                </c:pt>
                <c:pt idx="1">
                  <c:v>3.Q 2020</c:v>
                </c:pt>
                <c:pt idx="2">
                  <c:v>4.Q 2020</c:v>
                </c:pt>
                <c:pt idx="3">
                  <c:v>1.Q 2021</c:v>
                </c:pt>
                <c:pt idx="4">
                  <c:v>2.Q 2021</c:v>
                </c:pt>
                <c:pt idx="5">
                  <c:v>3.Q 2021</c:v>
                </c:pt>
                <c:pt idx="6">
                  <c:v>4.Q 2021</c:v>
                </c:pt>
                <c:pt idx="7">
                  <c:v>1.Q 2022</c:v>
                </c:pt>
                <c:pt idx="8">
                  <c:v>2.Q 2022</c:v>
                </c:pt>
              </c:strCache>
            </c:strRef>
          </c:cat>
          <c:val>
            <c:numRef>
              <c:f>graf!$R$3:$Z$3</c:f>
              <c:numCache>
                <c:formatCode>#,##0</c:formatCode>
                <c:ptCount val="9"/>
                <c:pt idx="0">
                  <c:v>2265.056</c:v>
                </c:pt>
                <c:pt idx="1">
                  <c:v>2173.1439999999998</c:v>
                </c:pt>
                <c:pt idx="2">
                  <c:v>2149.8220000000001</c:v>
                </c:pt>
                <c:pt idx="3">
                  <c:v>2513.0790000000002</c:v>
                </c:pt>
                <c:pt idx="4">
                  <c:v>2517.4789999999998</c:v>
                </c:pt>
                <c:pt idx="5">
                  <c:v>2433.8420000000001</c:v>
                </c:pt>
                <c:pt idx="6">
                  <c:v>2566.8319999999999</c:v>
                </c:pt>
                <c:pt idx="7">
                  <c:v>2684.136</c:v>
                </c:pt>
                <c:pt idx="8">
                  <c:v>2827.692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E3-4DFE-92CF-D6A87944CB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graf!$R$2:$Z$2</c:f>
              <c:strCache>
                <c:ptCount val="9"/>
                <c:pt idx="0">
                  <c:v>2.Q 2020</c:v>
                </c:pt>
                <c:pt idx="1">
                  <c:v>3.Q 2020</c:v>
                </c:pt>
                <c:pt idx="2">
                  <c:v>4.Q 2020</c:v>
                </c:pt>
                <c:pt idx="3">
                  <c:v>1.Q 2021</c:v>
                </c:pt>
                <c:pt idx="4">
                  <c:v>2.Q 2021</c:v>
                </c:pt>
                <c:pt idx="5">
                  <c:v>3.Q 2021</c:v>
                </c:pt>
                <c:pt idx="6">
                  <c:v>4.Q 2021</c:v>
                </c:pt>
                <c:pt idx="7">
                  <c:v>1.Q 2022</c:v>
                </c:pt>
                <c:pt idx="8">
                  <c:v>2.Q 2022</c:v>
                </c:pt>
              </c:strCache>
            </c:strRef>
          </c:xVal>
          <c:yVal>
            <c:numRef>
              <c:f>graf!$R$4:$Z$4</c:f>
              <c:numCache>
                <c:formatCode>0.0</c:formatCode>
                <c:ptCount val="9"/>
                <c:pt idx="0">
                  <c:v>39.549999999999997</c:v>
                </c:pt>
                <c:pt idx="1">
                  <c:v>38.07</c:v>
                </c:pt>
                <c:pt idx="2">
                  <c:v>37.659999999999997</c:v>
                </c:pt>
                <c:pt idx="3">
                  <c:v>43.91</c:v>
                </c:pt>
                <c:pt idx="4">
                  <c:v>42.6</c:v>
                </c:pt>
                <c:pt idx="5">
                  <c:v>40.409999999999997</c:v>
                </c:pt>
                <c:pt idx="6">
                  <c:v>42.02</c:v>
                </c:pt>
                <c:pt idx="7">
                  <c:v>42.85</c:v>
                </c:pt>
                <c:pt idx="8">
                  <c:v>44.01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8E3-4DFE-92CF-D6A87944CB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45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At val="0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aseline="0">
                <a:solidFill>
                  <a:sysClr val="windowText" lastClr="000000"/>
                </a:solidFill>
              </a:rPr>
              <a:t>Meziroční relativní změna zadlužení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327443169977992"/>
          <c:y val="0.17835633326795464"/>
          <c:w val="0.85717001152802641"/>
          <c:h val="0.60008852633563825"/>
        </c:manualLayout>
      </c:layout>
      <c:barChart>
        <c:barDir val="col"/>
        <c:grouping val="stacked"/>
        <c:varyColors val="0"/>
        <c:ser>
          <c:idx val="2"/>
          <c:order val="1"/>
          <c:tx>
            <c:strRef>
              <c:f>dluh!$B$19</c:f>
              <c:strCache>
                <c:ptCount val="1"/>
                <c:pt idx="0">
                  <c:v>vliv změny HDP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dluh!$CK$3:$CS$3</c:f>
              <c:strCache>
                <c:ptCount val="9"/>
                <c:pt idx="0">
                  <c:v>2020q2</c:v>
                </c:pt>
                <c:pt idx="1">
                  <c:v>2020q3</c:v>
                </c:pt>
                <c:pt idx="2">
                  <c:v>2020q4</c:v>
                </c:pt>
                <c:pt idx="3">
                  <c:v>2021q1</c:v>
                </c:pt>
                <c:pt idx="4">
                  <c:v>2021q2</c:v>
                </c:pt>
                <c:pt idx="5">
                  <c:v>2021q3</c:v>
                </c:pt>
                <c:pt idx="6">
                  <c:v>2021q4</c:v>
                </c:pt>
                <c:pt idx="7">
                  <c:v>2022q1</c:v>
                </c:pt>
                <c:pt idx="8">
                  <c:v>2022q2</c:v>
                </c:pt>
              </c:strCache>
            </c:strRef>
          </c:cat>
          <c:val>
            <c:numRef>
              <c:f>dluh!$CK$19:$CS$19</c:f>
              <c:numCache>
                <c:formatCode>0.0</c:formatCode>
                <c:ptCount val="9"/>
                <c:pt idx="0">
                  <c:v>-0.78432591388984108</c:v>
                </c:pt>
                <c:pt idx="1">
                  <c:v>-6.109447611991925E-2</c:v>
                </c:pt>
                <c:pt idx="2">
                  <c:v>0.48209964003278216</c:v>
                </c:pt>
                <c:pt idx="3">
                  <c:v>0.59107870725709688</c:v>
                </c:pt>
                <c:pt idx="4">
                  <c:v>-1.2240382736395148</c:v>
                </c:pt>
                <c:pt idx="5">
                  <c:v>-1.9867070820300512</c:v>
                </c:pt>
                <c:pt idx="6">
                  <c:v>-2.5056423027332073</c:v>
                </c:pt>
                <c:pt idx="7">
                  <c:v>-3.7880758976414128</c:v>
                </c:pt>
                <c:pt idx="8">
                  <c:v>-3.4184576342726487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2F-4C54-A3DA-F9B5C5E2041F}"/>
            </c:ext>
          </c:extLst>
        </c:ser>
        <c:ser>
          <c:idx val="3"/>
          <c:order val="2"/>
          <c:tx>
            <c:strRef>
              <c:f>dluh!$B$20</c:f>
              <c:strCache>
                <c:ptCount val="1"/>
                <c:pt idx="0">
                  <c:v>vliv změny dluhu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dluh!$CK$3:$CS$3</c:f>
              <c:strCache>
                <c:ptCount val="9"/>
                <c:pt idx="0">
                  <c:v>2020q2</c:v>
                </c:pt>
                <c:pt idx="1">
                  <c:v>2020q3</c:v>
                </c:pt>
                <c:pt idx="2">
                  <c:v>2020q4</c:v>
                </c:pt>
                <c:pt idx="3">
                  <c:v>2021q1</c:v>
                </c:pt>
                <c:pt idx="4">
                  <c:v>2021q2</c:v>
                </c:pt>
                <c:pt idx="5">
                  <c:v>2021q3</c:v>
                </c:pt>
                <c:pt idx="6">
                  <c:v>2021q4</c:v>
                </c:pt>
                <c:pt idx="7">
                  <c:v>2022q1</c:v>
                </c:pt>
                <c:pt idx="8">
                  <c:v>2022q2</c:v>
                </c:pt>
              </c:strCache>
            </c:strRef>
          </c:cat>
          <c:val>
            <c:numRef>
              <c:f>dluh!$CK$20:$CS$20</c:f>
              <c:numCache>
                <c:formatCode>0.0</c:formatCode>
                <c:ptCount val="9"/>
                <c:pt idx="0">
                  <c:v>7.7843259138898411</c:v>
                </c:pt>
                <c:pt idx="1">
                  <c:v>6.7610944761199194</c:v>
                </c:pt>
                <c:pt idx="2">
                  <c:v>7.217900359967218</c:v>
                </c:pt>
                <c:pt idx="3">
                  <c:v>10.908921292742903</c:v>
                </c:pt>
                <c:pt idx="4">
                  <c:v>4.2240382736395148</c:v>
                </c:pt>
                <c:pt idx="5">
                  <c:v>4.286707082030051</c:v>
                </c:pt>
                <c:pt idx="6">
                  <c:v>6.8056423027332071</c:v>
                </c:pt>
                <c:pt idx="7">
                  <c:v>2.6880758976414127</c:v>
                </c:pt>
                <c:pt idx="8">
                  <c:v>4.8184576342726491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2F-4C54-A3DA-F9B5C5E204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515520352"/>
        <c:axId val="1515512032"/>
      </c:barChart>
      <c:scatterChart>
        <c:scatterStyle val="lineMarker"/>
        <c:varyColors val="0"/>
        <c:ser>
          <c:idx val="1"/>
          <c:order val="0"/>
          <c:tx>
            <c:strRef>
              <c:f>dluh!$B$18</c:f>
              <c:strCache>
                <c:ptCount val="1"/>
                <c:pt idx="0">
                  <c:v>celková změna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</c:spPr>
          </c:marker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25400">
                  <a:solidFill>
                    <a:srgbClr val="FF0000"/>
                  </a:solidFill>
                </a:ln>
                <a:effectLst>
                  <a:outerShdw blurRad="88900" dist="76200" dir="8400000" sx="103000" sy="103000" algn="ctr" rotWithShape="0">
                    <a:srgbClr val="000000">
                      <a:alpha val="43137"/>
                    </a:srgbClr>
                  </a:outerShdw>
                </a:effectLst>
              </c:spPr>
            </c:marker>
            <c:bubble3D val="0"/>
            <c:spPr>
              <a:ln w="25400" cap="rnd">
                <a:noFill/>
                <a:round/>
              </a:ln>
              <a:effectLst>
                <a:outerShdw blurRad="88900" dist="76200" dir="8400000" sx="103000" sy="103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F2F-4C54-A3DA-F9B5C5E2041F}"/>
              </c:ext>
            </c:extLst>
          </c:dPt>
          <c:dLbls>
            <c:dLbl>
              <c:idx val="0"/>
              <c:layout>
                <c:manualLayout>
                  <c:x val="-3.1758468455789217E-2"/>
                  <c:y val="6.5754389396977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F2F-4C54-A3DA-F9B5C5E2041F}"/>
                </c:ext>
              </c:extLst>
            </c:dLbl>
            <c:dLbl>
              <c:idx val="1"/>
              <c:layout>
                <c:manualLayout>
                  <c:x val="-3.3471789097858536E-2"/>
                  <c:y val="5.7515527950310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F2F-4C54-A3DA-F9B5C5E2041F}"/>
                </c:ext>
              </c:extLst>
            </c:dLbl>
            <c:dLbl>
              <c:idx val="2"/>
              <c:layout>
                <c:manualLayout>
                  <c:x val="-3.3176791283027536E-2"/>
                  <c:y val="7.3857778647234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F2F-4C54-A3DA-F9B5C5E2041F}"/>
                </c:ext>
              </c:extLst>
            </c:dLbl>
            <c:dLbl>
              <c:idx val="3"/>
              <c:layout>
                <c:manualLayout>
                  <c:x val="-4.1723765009148081E-2"/>
                  <c:y val="6.1612461485792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F2F-4C54-A3DA-F9B5C5E2041F}"/>
                </c:ext>
              </c:extLst>
            </c:dLbl>
            <c:dLbl>
              <c:idx val="4"/>
              <c:layout>
                <c:manualLayout>
                  <c:x val="-3.3401419248746393E-2"/>
                  <c:y val="4.8723040054775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F2F-4C54-A3DA-F9B5C5E2041F}"/>
                </c:ext>
              </c:extLst>
            </c:dLbl>
            <c:dLbl>
              <c:idx val="5"/>
              <c:layout>
                <c:manualLayout>
                  <c:x val="-3.3188643047088628E-2"/>
                  <c:y val="5.6894409937888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F2F-4C54-A3DA-F9B5C5E2041F}"/>
                </c:ext>
              </c:extLst>
            </c:dLbl>
            <c:dLbl>
              <c:idx val="6"/>
              <c:layout>
                <c:manualLayout>
                  <c:x val="-3.2999940741179692E-2"/>
                  <c:y val="6.114540030322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F2F-4C54-A3DA-F9B5C5E2041F}"/>
                </c:ext>
              </c:extLst>
            </c:dLbl>
            <c:dLbl>
              <c:idx val="7"/>
              <c:layout>
                <c:manualLayout>
                  <c:x val="-3.7113799157043284E-2"/>
                  <c:y val="6.3105590062111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F2F-4C54-A3DA-F9B5C5E2041F}"/>
                </c:ext>
              </c:extLst>
            </c:dLbl>
            <c:dLbl>
              <c:idx val="8"/>
              <c:layout>
                <c:manualLayout>
                  <c:x val="-3.8400085925289616E-2"/>
                  <c:y val="6.114540030322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F2F-4C54-A3DA-F9B5C5E204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yVal>
            <c:numRef>
              <c:f>dluh!$CK$18:$CS$18</c:f>
              <c:numCache>
                <c:formatCode>0.0</c:formatCode>
                <c:ptCount val="9"/>
                <c:pt idx="0">
                  <c:v>7</c:v>
                </c:pt>
                <c:pt idx="1">
                  <c:v>6.7</c:v>
                </c:pt>
                <c:pt idx="2">
                  <c:v>7.7</c:v>
                </c:pt>
                <c:pt idx="3">
                  <c:v>11.5</c:v>
                </c:pt>
                <c:pt idx="4">
                  <c:v>3</c:v>
                </c:pt>
                <c:pt idx="5">
                  <c:v>2.2999999999999998</c:v>
                </c:pt>
                <c:pt idx="6">
                  <c:v>4.3</c:v>
                </c:pt>
                <c:pt idx="7">
                  <c:v>-1.1000000000000001</c:v>
                </c:pt>
                <c:pt idx="8">
                  <c:v>1.4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EF2F-4C54-A3DA-F9B5C5E204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5520352"/>
        <c:axId val="1515512032"/>
      </c:scatterChart>
      <c:catAx>
        <c:axId val="151552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12032"/>
        <c:crosses val="autoZero"/>
        <c:auto val="1"/>
        <c:lblAlgn val="ctr"/>
        <c:lblOffset val="100"/>
        <c:noMultiLvlLbl val="0"/>
      </c:catAx>
      <c:valAx>
        <c:axId val="151551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aseline="0">
                    <a:solidFill>
                      <a:sysClr val="windowText" lastClr="000000"/>
                    </a:solidFill>
                  </a:rPr>
                  <a:t>p. b.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2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3.9331753660506064E-2"/>
          <c:w val="0.90350569010863835"/>
          <c:h val="0.93476999585578113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25819808742155E-2"/>
                  <c:y val="3.3100503585377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ECA-4245-9A18-A6890ECD2FE0}"/>
                </c:ext>
              </c:extLst>
            </c:dLbl>
            <c:dLbl>
              <c:idx val="1"/>
              <c:layout>
                <c:manualLayout>
                  <c:x val="-3.8060273627602802E-2"/>
                  <c:y val="9.0167534501735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ECA-4245-9A18-A6890ECD2FE0}"/>
                </c:ext>
              </c:extLst>
            </c:dLbl>
            <c:dLbl>
              <c:idx val="2"/>
              <c:layout>
                <c:manualLayout>
                  <c:x val="-4.8452048503344419E-2"/>
                  <c:y val="7.0520066040132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ECA-4245-9A18-A6890ECD2FE0}"/>
                </c:ext>
              </c:extLst>
            </c:dLbl>
            <c:dLbl>
              <c:idx val="3"/>
              <c:layout>
                <c:manualLayout>
                  <c:x val="-5.1327027207205958E-2"/>
                  <c:y val="6.43614763465570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350449255931433E-2"/>
                      <c:h val="0.11238820027879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ECA-4245-9A18-A6890ECD2FE0}"/>
                </c:ext>
              </c:extLst>
            </c:dLbl>
            <c:dLbl>
              <c:idx val="4"/>
              <c:layout>
                <c:manualLayout>
                  <c:x val="-3.648493709975751E-2"/>
                  <c:y val="5.4342601548602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ECA-4245-9A18-A6890ECD2FE0}"/>
                </c:ext>
              </c:extLst>
            </c:dLbl>
            <c:dLbl>
              <c:idx val="5"/>
              <c:layout>
                <c:manualLayout>
                  <c:x val="-3.3840610106385026E-2"/>
                  <c:y val="6.2787658467492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ECA-4245-9A18-A6890ECD2FE0}"/>
                </c:ext>
              </c:extLst>
            </c:dLbl>
            <c:dLbl>
              <c:idx val="6"/>
              <c:layout>
                <c:manualLayout>
                  <c:x val="-3.5361589914148873E-2"/>
                  <c:y val="7.2884501877456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ECA-4245-9A18-A6890ECD2FE0}"/>
                </c:ext>
              </c:extLst>
            </c:dLbl>
            <c:dLbl>
              <c:idx val="7"/>
              <c:layout>
                <c:manualLayout>
                  <c:x val="-4.0847104836260473E-2"/>
                  <c:y val="6.92230217634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ECA-4245-9A18-A6890ECD2FE0}"/>
                </c:ext>
              </c:extLst>
            </c:dLbl>
            <c:dLbl>
              <c:idx val="8"/>
              <c:layout>
                <c:manualLayout>
                  <c:x val="-3.204142932274593E-2"/>
                  <c:y val="8.0072837785228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ECA-4245-9A18-A6890ECD2F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SEZ!$A$76:$A$84</c:f>
              <c:strCache>
                <c:ptCount val="9"/>
                <c:pt idx="0">
                  <c:v>2.Q 2020</c:v>
                </c:pt>
                <c:pt idx="1">
                  <c:v>3.Q 2020</c:v>
                </c:pt>
                <c:pt idx="2">
                  <c:v>4.Q 2020</c:v>
                </c:pt>
                <c:pt idx="3">
                  <c:v>1.Q 2021</c:v>
                </c:pt>
                <c:pt idx="4">
                  <c:v>2.Q 2021</c:v>
                </c:pt>
                <c:pt idx="5">
                  <c:v>3.Q 2021</c:v>
                </c:pt>
                <c:pt idx="6">
                  <c:v>4.Q 2021</c:v>
                </c:pt>
                <c:pt idx="7">
                  <c:v>1.Q 2022</c:v>
                </c:pt>
                <c:pt idx="8">
                  <c:v>2.Q 2022</c:v>
                </c:pt>
              </c:strCache>
            </c:strRef>
          </c:cat>
          <c:val>
            <c:numRef>
              <c:f>SEZ!$E$76:$E$84</c:f>
              <c:numCache>
                <c:formatCode>0.0</c:formatCode>
                <c:ptCount val="9"/>
                <c:pt idx="0">
                  <c:v>-8.3572330915591699</c:v>
                </c:pt>
                <c:pt idx="1">
                  <c:v>-5.4102452638981955</c:v>
                </c:pt>
                <c:pt idx="2">
                  <c:v>-6.9644790231816316</c:v>
                </c:pt>
                <c:pt idx="3">
                  <c:v>-7.3606850161524617</c:v>
                </c:pt>
                <c:pt idx="4">
                  <c:v>-4.3745223097804606</c:v>
                </c:pt>
                <c:pt idx="5">
                  <c:v>-4.6382050171569444</c:v>
                </c:pt>
                <c:pt idx="6">
                  <c:v>-4.1089059474991387</c:v>
                </c:pt>
                <c:pt idx="7">
                  <c:v>-3.211489845018991</c:v>
                </c:pt>
                <c:pt idx="8">
                  <c:v>-2.3422814552051561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ECA-4245-9A18-A6890ECD2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8997200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DE30-0C37-408F-AD6A-4EC6F35C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5427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Houžvičková Helena</cp:lastModifiedBy>
  <cp:revision>51</cp:revision>
  <cp:lastPrinted>2022-03-31T08:58:00Z</cp:lastPrinted>
  <dcterms:created xsi:type="dcterms:W3CDTF">2022-06-23T12:46:00Z</dcterms:created>
  <dcterms:modified xsi:type="dcterms:W3CDTF">2022-09-30T08:03:00Z</dcterms:modified>
</cp:coreProperties>
</file>