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0559FA95" w:rsidR="00A50440" w:rsidRDefault="006D2B2D" w:rsidP="00A50440">
      <w:pPr>
        <w:pStyle w:val="Datum"/>
      </w:pPr>
      <w:r>
        <w:t>6</w:t>
      </w:r>
      <w:r w:rsidR="00F92ECA">
        <w:t xml:space="preserve">. </w:t>
      </w:r>
      <w:r w:rsidR="00B94FB3">
        <w:t>1</w:t>
      </w:r>
      <w:r w:rsidR="00F92ECA">
        <w:t>.</w:t>
      </w:r>
      <w:r w:rsidR="00B90F0D">
        <w:t xml:space="preserve"> 202</w:t>
      </w:r>
      <w:r>
        <w:t>6</w:t>
      </w:r>
    </w:p>
    <w:p w14:paraId="3C6572F3" w14:textId="520F0C6D" w:rsidR="000115AD" w:rsidRPr="001121C8" w:rsidRDefault="000258F2" w:rsidP="000115AD">
      <w:pPr>
        <w:pStyle w:val="Nzev"/>
      </w:pPr>
      <w:r>
        <w:t>Bilanci ovlivnil nižší vývoz motorových vozidel</w:t>
      </w:r>
    </w:p>
    <w:p w14:paraId="033D34CE" w14:textId="6B0C2B50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6D2B2D">
        <w:t>listopad</w:t>
      </w:r>
      <w:r w:rsidR="000D2922">
        <w:t xml:space="preserve"> </w:t>
      </w:r>
      <w:r w:rsidRPr="00B90F0D">
        <w:t>202</w:t>
      </w:r>
      <w:r w:rsidR="00502A6C">
        <w:t>5</w:t>
      </w:r>
    </w:p>
    <w:p w14:paraId="7C3512CB" w14:textId="79DC96FE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6D2B2D">
        <w:rPr>
          <w:b/>
          <w:bCs/>
        </w:rPr>
        <w:t>listopadu</w:t>
      </w:r>
      <w:r w:rsidRPr="61BCBBB3">
        <w:rPr>
          <w:b/>
          <w:bCs/>
        </w:rPr>
        <w:t xml:space="preserve"> bilance zahraničního obchodu se zbožím v běžných cenách </w:t>
      </w:r>
      <w:r w:rsidR="00AA6D61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2123A1">
        <w:rPr>
          <w:b/>
          <w:bCs/>
        </w:rPr>
        <w:t>16,2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2123A1">
        <w:rPr>
          <w:b/>
          <w:bCs/>
        </w:rPr>
        <w:t>5,0</w:t>
      </w:r>
      <w:r w:rsidR="0080724B">
        <w:rPr>
          <w:b/>
          <w:bCs/>
        </w:rPr>
        <w:t> </w:t>
      </w:r>
      <w:r w:rsidR="00EE596E">
        <w:rPr>
          <w:b/>
          <w:bCs/>
        </w:rPr>
        <w:t>mld.</w:t>
      </w:r>
      <w:r w:rsidR="0080724B">
        <w:rPr>
          <w:b/>
          <w:bCs/>
        </w:rPr>
        <w:t> </w:t>
      </w:r>
      <w:r w:rsidR="00EE596E">
        <w:rPr>
          <w:b/>
          <w:bCs/>
        </w:rPr>
        <w:t xml:space="preserve">Kč </w:t>
      </w:r>
      <w:r w:rsidR="002123A1">
        <w:rPr>
          <w:b/>
          <w:bCs/>
        </w:rPr>
        <w:t>nižší</w:t>
      </w:r>
      <w:r w:rsidR="00EE596E">
        <w:rPr>
          <w:b/>
          <w:bCs/>
        </w:rPr>
        <w:t>.</w:t>
      </w:r>
    </w:p>
    <w:p w14:paraId="7B382083" w14:textId="293346E2" w:rsidR="00E0507D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2123A1" w:rsidRPr="002123A1">
        <w:rPr>
          <w:b/>
          <w:bCs/>
        </w:rPr>
        <w:t>ne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</w:t>
      </w:r>
      <w:r w:rsidR="002123A1">
        <w:t>nižší přebytek</w:t>
      </w:r>
      <w:r w:rsidR="00CF7066">
        <w:t xml:space="preserve"> </w:t>
      </w:r>
      <w:r w:rsidR="006D5356">
        <w:t>obchodu</w:t>
      </w:r>
      <w:r w:rsidR="00CF0B94">
        <w:t xml:space="preserve"> </w:t>
      </w:r>
      <w:r w:rsidR="00A60CC9">
        <w:t>s</w:t>
      </w:r>
      <w:r w:rsidR="002123A1">
        <w:t> motorovými vozidly</w:t>
      </w:r>
      <w:r w:rsidR="00AA687C">
        <w:t xml:space="preserve"> o</w:t>
      </w:r>
      <w:r w:rsidR="0080724B">
        <w:t> </w:t>
      </w:r>
      <w:r w:rsidR="002123A1">
        <w:t>6,2</w:t>
      </w:r>
      <w:r w:rsidR="0080724B">
        <w:t> </w:t>
      </w:r>
      <w:r w:rsidR="00AA687C">
        <w:t>mld.</w:t>
      </w:r>
      <w:r w:rsidR="0080724B">
        <w:t> </w:t>
      </w:r>
      <w:r w:rsidR="00AA687C">
        <w:t xml:space="preserve">Kč. </w:t>
      </w:r>
      <w:r w:rsidR="003258E3">
        <w:t>Dále se snížilo kladné saldo o</w:t>
      </w:r>
      <w:r w:rsidR="00AA687C">
        <w:t xml:space="preserve">bchodu </w:t>
      </w:r>
      <w:r w:rsidR="003258E3">
        <w:t>s elektrickým</w:t>
      </w:r>
      <w:r w:rsidR="00DB3304">
        <w:t> </w:t>
      </w:r>
      <w:r w:rsidR="00E0507D">
        <w:t xml:space="preserve">zařízeními </w:t>
      </w:r>
      <w:r w:rsidR="003258E3">
        <w:t>o</w:t>
      </w:r>
      <w:r w:rsidR="0064502D">
        <w:t> </w:t>
      </w:r>
      <w:r w:rsidR="003258E3">
        <w:t>3,9</w:t>
      </w:r>
      <w:r w:rsidR="0064502D">
        <w:t> </w:t>
      </w:r>
      <w:r w:rsidR="003258E3">
        <w:t>mld.</w:t>
      </w:r>
      <w:r w:rsidR="0064502D">
        <w:t> </w:t>
      </w:r>
      <w:r w:rsidR="003258E3">
        <w:t>Kč a</w:t>
      </w:r>
      <w:r w:rsidR="0064502D">
        <w:t> </w:t>
      </w:r>
      <w:r w:rsidR="003258E3">
        <w:t>ostatními dopravními prostředky o</w:t>
      </w:r>
      <w:r w:rsidR="0064502D">
        <w:t> </w:t>
      </w:r>
      <w:r w:rsidR="003258E3">
        <w:t>2,2</w:t>
      </w:r>
      <w:r w:rsidR="0064502D">
        <w:t> </w:t>
      </w:r>
      <w:r w:rsidR="003258E3">
        <w:t>mld.</w:t>
      </w:r>
      <w:r w:rsidR="0064502D">
        <w:t> </w:t>
      </w:r>
      <w:r w:rsidR="003258E3">
        <w:t>Kč.</w:t>
      </w:r>
    </w:p>
    <w:p w14:paraId="27C1174F" w14:textId="77777777" w:rsidR="00CF0B94" w:rsidRDefault="00CF0B94" w:rsidP="006D5356">
      <w:pPr>
        <w:keepNext/>
        <w:outlineLvl w:val="0"/>
      </w:pPr>
    </w:p>
    <w:p w14:paraId="1D53B11A" w14:textId="32915AB3" w:rsidR="00E0507D" w:rsidRDefault="002123A1" w:rsidP="00C77BE4">
      <w:pPr>
        <w:keepNext/>
        <w:outlineLvl w:val="0"/>
      </w:pPr>
      <w:r>
        <w:rPr>
          <w:b/>
          <w:bCs/>
        </w:rPr>
        <w:t>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>hlavně</w:t>
      </w:r>
      <w:r w:rsidR="006409BC">
        <w:t xml:space="preserve"> </w:t>
      </w:r>
      <w:r w:rsidR="0055019A">
        <w:t>obchod s</w:t>
      </w:r>
      <w:r w:rsidR="003258E3">
        <w:t> chemickými látkami a přípravky</w:t>
      </w:r>
      <w:r w:rsidR="00E0507D">
        <w:t>,</w:t>
      </w:r>
      <w:r w:rsidR="0016394D">
        <w:t xml:space="preserve"> </w:t>
      </w:r>
      <w:r w:rsidR="00B95B2C">
        <w:t xml:space="preserve">kde </w:t>
      </w:r>
      <w:r w:rsidR="003258E3">
        <w:t>se</w:t>
      </w:r>
      <w:r w:rsidR="0064502D">
        <w:t> </w:t>
      </w:r>
      <w:r w:rsidR="003258E3">
        <w:t>zmenšil schodek</w:t>
      </w:r>
      <w:r w:rsidR="00E0507D">
        <w:t xml:space="preserve"> o</w:t>
      </w:r>
      <w:r w:rsidR="0064502D">
        <w:t> </w:t>
      </w:r>
      <w:r w:rsidR="003258E3">
        <w:t>2,4</w:t>
      </w:r>
      <w:r w:rsidR="0064502D">
        <w:t> </w:t>
      </w:r>
      <w:r w:rsidR="00E0507D">
        <w:t>mld.</w:t>
      </w:r>
      <w:r w:rsidR="0064502D">
        <w:t> </w:t>
      </w:r>
      <w:r w:rsidR="00E0507D">
        <w:t xml:space="preserve">Kč. </w:t>
      </w:r>
      <w:r w:rsidR="003258E3">
        <w:t>Přebytek</w:t>
      </w:r>
      <w:r w:rsidR="00E0507D">
        <w:t xml:space="preserve"> obchodu s</w:t>
      </w:r>
      <w:r w:rsidR="003258E3">
        <w:t> kovodělnými výrobky</w:t>
      </w:r>
      <w:r w:rsidR="00E0507D">
        <w:t xml:space="preserve"> se</w:t>
      </w:r>
      <w:r w:rsidR="0064502D">
        <w:t> </w:t>
      </w:r>
      <w:r w:rsidR="003258E3">
        <w:t xml:space="preserve">zvýšil </w:t>
      </w:r>
      <w:r w:rsidR="00E0507D">
        <w:t>o</w:t>
      </w:r>
      <w:r w:rsidR="00DB3304">
        <w:t> </w:t>
      </w:r>
      <w:r w:rsidR="00E0507D">
        <w:t>1,</w:t>
      </w:r>
      <w:r w:rsidR="003258E3">
        <w:t>5</w:t>
      </w:r>
      <w:r w:rsidR="00DB3304">
        <w:t> </w:t>
      </w:r>
      <w:r w:rsidR="00E0507D">
        <w:t>mld.</w:t>
      </w:r>
      <w:r w:rsidR="00DB3304">
        <w:t> </w:t>
      </w:r>
      <w:r w:rsidR="00E0507D">
        <w:t>Kč</w:t>
      </w:r>
      <w:r w:rsidR="003258E3">
        <w:t xml:space="preserve"> a</w:t>
      </w:r>
      <w:r w:rsidR="0064502D">
        <w:t> </w:t>
      </w:r>
      <w:r w:rsidR="003258E3">
        <w:t>deficit obchodu s ropou a zemním plynem se zmenšil o</w:t>
      </w:r>
      <w:r w:rsidR="0064502D">
        <w:t> </w:t>
      </w:r>
      <w:r w:rsidR="003258E3">
        <w:t>1,4</w:t>
      </w:r>
      <w:r w:rsidR="0064502D">
        <w:t> </w:t>
      </w:r>
      <w:r w:rsidR="003258E3">
        <w:t>mld.</w:t>
      </w:r>
      <w:r w:rsidR="0064502D">
        <w:t> </w:t>
      </w:r>
      <w:r w:rsidR="003258E3">
        <w:t>Kč.</w:t>
      </w:r>
      <w:r w:rsidR="00E0507D">
        <w:t xml:space="preserve"> 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4B1A79C7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6D2B2D">
        <w:t>listopadu</w:t>
      </w:r>
      <w:r w:rsidR="00AC6BC5">
        <w:t xml:space="preserve"> </w:t>
      </w:r>
      <w:r w:rsidR="00A50440">
        <w:t xml:space="preserve">meziročně </w:t>
      </w:r>
      <w:r w:rsidR="003258E3">
        <w:t>snížil</w:t>
      </w:r>
      <w:r w:rsidR="00550AA9">
        <w:t xml:space="preserve"> </w:t>
      </w:r>
      <w:r w:rsidR="00A50440">
        <w:t>o</w:t>
      </w:r>
      <w:r w:rsidR="00003D63">
        <w:t> </w:t>
      </w:r>
      <w:r w:rsidR="003258E3">
        <w:t>5,9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3B77A8">
        <w:t xml:space="preserve">zmenšil </w:t>
      </w:r>
      <w:r w:rsidR="00A50440">
        <w:t>o</w:t>
      </w:r>
      <w:r w:rsidR="00003D63">
        <w:t> </w:t>
      </w:r>
      <w:r w:rsidR="003258E3">
        <w:t>2,0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02AC0D80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3B77A8">
        <w:rPr>
          <w:rFonts w:cs="Arial"/>
          <w:szCs w:val="18"/>
        </w:rPr>
        <w:t>klesl</w:t>
      </w:r>
      <w:r w:rsidR="00126E6C">
        <w:rPr>
          <w:rFonts w:cs="Arial"/>
          <w:szCs w:val="18"/>
        </w:rPr>
        <w:t xml:space="preserve"> </w:t>
      </w:r>
      <w:r w:rsidR="00BF41C6">
        <w:rPr>
          <w:rFonts w:cs="Arial"/>
          <w:szCs w:val="18"/>
        </w:rPr>
        <w:t>v </w:t>
      </w:r>
      <w:r w:rsidR="006D2B2D">
        <w:rPr>
          <w:rFonts w:cs="Arial"/>
          <w:szCs w:val="18"/>
        </w:rPr>
        <w:t>listopadu</w:t>
      </w:r>
      <w:r w:rsidR="00BF41C6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2123A1">
        <w:rPr>
          <w:rFonts w:cs="Arial"/>
          <w:szCs w:val="18"/>
        </w:rPr>
        <w:t>4,6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2123A1">
        <w:rPr>
          <w:rFonts w:cs="Arial"/>
          <w:szCs w:val="18"/>
        </w:rPr>
        <w:t>403,1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3B77A8">
        <w:rPr>
          <w:rFonts w:cs="Arial"/>
          <w:szCs w:val="18"/>
        </w:rPr>
        <w:t>snížil</w:t>
      </w:r>
      <w:r w:rsidR="00EE596E">
        <w:rPr>
          <w:rFonts w:cs="Arial"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2123A1">
        <w:rPr>
          <w:rFonts w:cs="Arial"/>
          <w:szCs w:val="18"/>
        </w:rPr>
        <w:t>3,6</w:t>
      </w:r>
      <w:r w:rsidR="00A6777F">
        <w:rPr>
          <w:rFonts w:cs="Arial"/>
          <w:szCs w:val="18"/>
        </w:rPr>
        <w:t xml:space="preserve"> % na </w:t>
      </w:r>
      <w:r w:rsidR="002123A1">
        <w:rPr>
          <w:rFonts w:cs="Arial"/>
          <w:szCs w:val="18"/>
        </w:rPr>
        <w:t>386,9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8662AB">
        <w:rPr>
          <w:rFonts w:cs="Arial"/>
          <w:szCs w:val="18"/>
        </w:rPr>
        <w:t>Listopad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0D2922">
        <w:rPr>
          <w:rFonts w:cs="Arial"/>
          <w:szCs w:val="18"/>
        </w:rPr>
        <w:t xml:space="preserve">měl </w:t>
      </w:r>
      <w:r w:rsidR="008662AB">
        <w:rPr>
          <w:rFonts w:cs="Arial"/>
          <w:szCs w:val="18"/>
        </w:rPr>
        <w:t>o</w:t>
      </w:r>
      <w:r w:rsidR="0064502D">
        <w:rPr>
          <w:rFonts w:cs="Arial"/>
          <w:szCs w:val="18"/>
        </w:rPr>
        <w:t> </w:t>
      </w:r>
      <w:r w:rsidR="008662AB">
        <w:rPr>
          <w:rFonts w:cs="Arial"/>
          <w:szCs w:val="18"/>
        </w:rPr>
        <w:t>dva pracovní dny méně než listopad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21FAB6CD" w14:textId="7842F628" w:rsidR="00DA0CF7" w:rsidRPr="00FB0CEA" w:rsidRDefault="00DA0CF7" w:rsidP="00DA0CF7">
      <w:r w:rsidRPr="001D775B">
        <w:rPr>
          <w:i/>
        </w:rPr>
        <w:t>„</w:t>
      </w:r>
      <w:r w:rsidR="009457A4">
        <w:rPr>
          <w:i/>
        </w:rPr>
        <w:t>M</w:t>
      </w:r>
      <w:r>
        <w:rPr>
          <w:i/>
        </w:rPr>
        <w:t xml:space="preserve">eziroční pokles hodnoty vývozu </w:t>
      </w:r>
      <w:r w:rsidR="009457A4">
        <w:rPr>
          <w:i/>
        </w:rPr>
        <w:t>i</w:t>
      </w:r>
      <w:r>
        <w:rPr>
          <w:i/>
        </w:rPr>
        <w:t xml:space="preserve"> dovozu u většiny komoditních skupin</w:t>
      </w:r>
      <w:r w:rsidR="009457A4">
        <w:rPr>
          <w:i/>
        </w:rPr>
        <w:t xml:space="preserve"> pokračoval i v listopadu.</w:t>
      </w:r>
      <w:r>
        <w:rPr>
          <w:i/>
        </w:rPr>
        <w:t xml:space="preserve"> </w:t>
      </w:r>
      <w:r w:rsidR="006E4409">
        <w:rPr>
          <w:i/>
        </w:rPr>
        <w:t>Na straně vývozu to bylo</w:t>
      </w:r>
      <w:r w:rsidR="009457A4">
        <w:rPr>
          <w:i/>
        </w:rPr>
        <w:t xml:space="preserve"> </w:t>
      </w:r>
      <w:r>
        <w:rPr>
          <w:i/>
        </w:rPr>
        <w:t>nejvíce u</w:t>
      </w:r>
      <w:r w:rsidR="007F1FA7">
        <w:rPr>
          <w:i/>
        </w:rPr>
        <w:t> </w:t>
      </w:r>
      <w:r>
        <w:rPr>
          <w:i/>
        </w:rPr>
        <w:t xml:space="preserve">motorových vozidel </w:t>
      </w:r>
      <w:r w:rsidR="00390183">
        <w:rPr>
          <w:i/>
        </w:rPr>
        <w:t xml:space="preserve">o 4,8 mld. Kč </w:t>
      </w:r>
      <w:r>
        <w:rPr>
          <w:i/>
        </w:rPr>
        <w:t>a</w:t>
      </w:r>
      <w:r w:rsidR="00FA1FBF">
        <w:rPr>
          <w:i/>
        </w:rPr>
        <w:t xml:space="preserve"> </w:t>
      </w:r>
      <w:r w:rsidR="00390183">
        <w:rPr>
          <w:i/>
        </w:rPr>
        <w:t xml:space="preserve">u </w:t>
      </w:r>
      <w:r w:rsidR="009457A4">
        <w:rPr>
          <w:i/>
        </w:rPr>
        <w:t>elektrických zařízení</w:t>
      </w:r>
      <w:r w:rsidR="00390183">
        <w:rPr>
          <w:i/>
        </w:rPr>
        <w:t xml:space="preserve"> o</w:t>
      </w:r>
      <w:r w:rsidR="00515197">
        <w:rPr>
          <w:i/>
        </w:rPr>
        <w:t> </w:t>
      </w:r>
      <w:r w:rsidR="00390183">
        <w:rPr>
          <w:i/>
        </w:rPr>
        <w:t>4,4 mld. Kč</w:t>
      </w:r>
      <w:r w:rsidR="00A23A4E">
        <w:rPr>
          <w:i/>
        </w:rPr>
        <w:t>.</w:t>
      </w:r>
      <w:r w:rsidR="006E4409">
        <w:rPr>
          <w:i/>
        </w:rPr>
        <w:t xml:space="preserve"> </w:t>
      </w:r>
      <w:r w:rsidR="00A23A4E">
        <w:rPr>
          <w:i/>
        </w:rPr>
        <w:t>D</w:t>
      </w:r>
      <w:r w:rsidR="006E4409">
        <w:rPr>
          <w:i/>
        </w:rPr>
        <w:t xml:space="preserve">ovoz se snížil především </w:t>
      </w:r>
      <w:r w:rsidR="009457A4">
        <w:rPr>
          <w:i/>
        </w:rPr>
        <w:t xml:space="preserve">u kovodělných výrobků </w:t>
      </w:r>
      <w:r w:rsidR="00390183">
        <w:rPr>
          <w:i/>
        </w:rPr>
        <w:t xml:space="preserve">o 3,7 mld. Kč </w:t>
      </w:r>
      <w:r w:rsidR="009457A4">
        <w:rPr>
          <w:i/>
        </w:rPr>
        <w:t xml:space="preserve">a </w:t>
      </w:r>
      <w:r w:rsidR="006E4409">
        <w:rPr>
          <w:i/>
        </w:rPr>
        <w:t xml:space="preserve">u </w:t>
      </w:r>
      <w:r w:rsidR="009457A4">
        <w:rPr>
          <w:i/>
        </w:rPr>
        <w:t>chemických látek a přípravků</w:t>
      </w:r>
      <w:r w:rsidR="00390183">
        <w:rPr>
          <w:i/>
        </w:rPr>
        <w:t xml:space="preserve"> o 3,1 mld. Kč</w:t>
      </w:r>
      <w:r w:rsidRPr="001D775B">
        <w:rPr>
          <w:i/>
        </w:rPr>
        <w:t>,“</w:t>
      </w:r>
      <w:r>
        <w:rPr>
          <w:i/>
        </w:rPr>
        <w:t xml:space="preserve"> </w:t>
      </w:r>
      <w:r w:rsidRPr="004E14E3">
        <w:t>říká Miluše Kavěnová, ředitelka odboru statistiky zahraničního obchodu ČSÚ.</w:t>
      </w:r>
    </w:p>
    <w:p w14:paraId="216BEFE4" w14:textId="77777777" w:rsidR="00A639E3" w:rsidRDefault="00A639E3" w:rsidP="001461DF"/>
    <w:p w14:paraId="67303D20" w14:textId="4D1FA64E" w:rsidR="00A639E3" w:rsidRDefault="00A639E3" w:rsidP="00A639E3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="00210D22">
        <w:rPr>
          <w:rFonts w:cs="Arial"/>
          <w:szCs w:val="18"/>
        </w:rPr>
        <w:t xml:space="preserve">zvýšil </w:t>
      </w:r>
      <w:r w:rsidRPr="0057506D">
        <w:rPr>
          <w:rFonts w:cs="Arial"/>
          <w:b/>
          <w:szCs w:val="18"/>
        </w:rPr>
        <w:t>vývoz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932B6">
        <w:rPr>
          <w:rFonts w:cs="Arial"/>
          <w:szCs w:val="18"/>
        </w:rPr>
        <w:t>1,</w:t>
      </w:r>
      <w:r w:rsidR="00210D22">
        <w:rPr>
          <w:rFonts w:cs="Arial"/>
          <w:szCs w:val="18"/>
        </w:rPr>
        <w:t>8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>
        <w:rPr>
          <w:rFonts w:cs="Arial"/>
          <w:szCs w:val="18"/>
        </w:rPr>
        <w:t xml:space="preserve"> a </w:t>
      </w:r>
      <w:r w:rsidRPr="0057506D">
        <w:rPr>
          <w:rFonts w:cs="Arial"/>
          <w:b/>
          <w:szCs w:val="18"/>
        </w:rPr>
        <w:t>dovoz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210D22">
        <w:rPr>
          <w:rFonts w:cs="Arial"/>
          <w:szCs w:val="18"/>
        </w:rPr>
        <w:t>5,0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5C506DC0" w:rsidR="003A5700" w:rsidRDefault="003A5700" w:rsidP="003A5700">
      <w:pPr>
        <w:spacing w:after="240"/>
        <w:rPr>
          <w:rFonts w:cs="Arial"/>
          <w:szCs w:val="18"/>
        </w:rPr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6D2B2D">
        <w:rPr>
          <w:rFonts w:cs="Arial"/>
          <w:b/>
          <w:szCs w:val="18"/>
        </w:rPr>
        <w:t>listopadu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2123A1">
        <w:rPr>
          <w:rFonts w:cs="Arial"/>
          <w:szCs w:val="18"/>
        </w:rPr>
        <w:t>207,7</w:t>
      </w:r>
      <w:r w:rsidRPr="00FB0CEA">
        <w:rPr>
          <w:rFonts w:cs="Arial"/>
          <w:szCs w:val="18"/>
        </w:rPr>
        <w:t xml:space="preserve"> mld. Kč, což představovalo meziroční </w:t>
      </w:r>
      <w:r w:rsidR="002123A1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2123A1">
        <w:rPr>
          <w:rFonts w:cs="Arial"/>
          <w:szCs w:val="18"/>
        </w:rPr>
        <w:t>5,0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3B77A8">
        <w:rPr>
          <w:rFonts w:cs="Arial"/>
          <w:szCs w:val="18"/>
        </w:rPr>
        <w:t>2,</w:t>
      </w:r>
      <w:r w:rsidR="002123A1">
        <w:rPr>
          <w:rFonts w:cs="Arial"/>
          <w:szCs w:val="18"/>
        </w:rPr>
        <w:t>3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2123A1">
        <w:rPr>
          <w:rFonts w:cs="Arial"/>
          <w:szCs w:val="18"/>
        </w:rPr>
        <w:t>2,5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5AA40DB" w:rsidR="003A5700" w:rsidRDefault="003A5700" w:rsidP="00A50440">
      <w:pPr>
        <w:outlineLvl w:val="0"/>
        <w:rPr>
          <w:rFonts w:cs="Arial"/>
          <w:szCs w:val="18"/>
        </w:rPr>
      </w:pPr>
    </w:p>
    <w:p w14:paraId="1F86F969" w14:textId="4D7DB1A1" w:rsidR="00B94FB3" w:rsidRDefault="00B94FB3" w:rsidP="00A50440">
      <w:pPr>
        <w:outlineLvl w:val="0"/>
        <w:rPr>
          <w:rFonts w:cs="Arial"/>
          <w:szCs w:val="18"/>
        </w:rPr>
      </w:pPr>
    </w:p>
    <w:p w14:paraId="6A145111" w14:textId="7A83D896" w:rsidR="00B94FB3" w:rsidRDefault="00B94FB3" w:rsidP="00A50440">
      <w:pPr>
        <w:outlineLvl w:val="0"/>
        <w:rPr>
          <w:rFonts w:cs="Arial"/>
          <w:szCs w:val="18"/>
        </w:rPr>
      </w:pPr>
    </w:p>
    <w:p w14:paraId="2F18ED00" w14:textId="1B705FD6" w:rsidR="00B94FB3" w:rsidRDefault="00B94FB3" w:rsidP="00A50440">
      <w:pPr>
        <w:outlineLvl w:val="0"/>
        <w:rPr>
          <w:rFonts w:cs="Arial"/>
          <w:szCs w:val="18"/>
        </w:rPr>
      </w:pPr>
    </w:p>
    <w:p w14:paraId="41194E83" w14:textId="0BF228AB" w:rsidR="00B94FB3" w:rsidRDefault="00B94FB3" w:rsidP="00A50440">
      <w:pPr>
        <w:outlineLvl w:val="0"/>
        <w:rPr>
          <w:rFonts w:cs="Arial"/>
          <w:szCs w:val="18"/>
        </w:rPr>
      </w:pPr>
    </w:p>
    <w:p w14:paraId="640EE3FD" w14:textId="46F2FD93" w:rsidR="00B94FB3" w:rsidRDefault="00B94FB3" w:rsidP="00A50440">
      <w:pPr>
        <w:outlineLvl w:val="0"/>
        <w:rPr>
          <w:rFonts w:cs="Arial"/>
          <w:szCs w:val="18"/>
        </w:rPr>
      </w:pPr>
    </w:p>
    <w:p w14:paraId="72F6CBD0" w14:textId="77777777" w:rsidR="001975C3" w:rsidRDefault="001975C3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152403D6" w14:textId="77777777" w:rsidR="00C932B6" w:rsidRDefault="00C932B6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 xml:space="preserve">Aktualizace metody </w:t>
        </w:r>
        <w:proofErr w:type="gramStart"/>
        <w:r w:rsidRPr="00831959">
          <w:rPr>
            <w:rStyle w:val="Hypertextovodkaz"/>
            <w:rFonts w:cs="Arial"/>
            <w:sz w:val="18"/>
            <w:szCs w:val="18"/>
          </w:rPr>
          <w:t>propočtu - Zahraniční</w:t>
        </w:r>
        <w:proofErr w:type="gramEnd"/>
        <w:r w:rsidRPr="00831959">
          <w:rPr>
            <w:rStyle w:val="Hypertextovodkaz"/>
            <w:rFonts w:cs="Arial"/>
            <w:sz w:val="18"/>
            <w:szCs w:val="18"/>
          </w:rPr>
          <w:t xml:space="preserve">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</w:t>
      </w:r>
      <w:proofErr w:type="gramEnd"/>
      <w:r w:rsidR="00EA3ECA">
        <w:rPr>
          <w:rFonts w:eastAsia="Arial" w:cs="Arial"/>
          <w:i/>
          <w:iCs/>
          <w:sz w:val="18"/>
          <w:szCs w:val="18"/>
        </w:rPr>
        <w:t xml:space="preserve">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16D0B2D" w14:textId="4FB27CDE" w:rsidR="00762014" w:rsidRPr="00C21713" w:rsidRDefault="00A50440" w:rsidP="00762014">
      <w:pPr>
        <w:ind w:left="3600" w:hanging="3600"/>
        <w:jc w:val="left"/>
        <w:rPr>
          <w:rFonts w:cs="Arial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 w:history="1">
        <w:r w:rsidR="00762014" w:rsidRPr="00C21713">
          <w:rPr>
            <w:rStyle w:val="Hypertextovodkaz"/>
            <w:rFonts w:cs="Arial"/>
            <w:i/>
            <w:sz w:val="18"/>
            <w:szCs w:val="18"/>
          </w:rPr>
          <w:t>https://csu.gov.cz/produkty/vzonu_cr</w:t>
        </w:r>
      </w:hyperlink>
    </w:p>
    <w:p w14:paraId="4814EDD6" w14:textId="686FF462" w:rsidR="000D605E" w:rsidRPr="00740DCF" w:rsidRDefault="000D605E" w:rsidP="000D605E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0D6D2685" w14:textId="65F4FB70" w:rsidR="00762014" w:rsidRDefault="000D605E" w:rsidP="000D605E">
      <w:pPr>
        <w:ind w:left="3600"/>
        <w:jc w:val="left"/>
      </w:pPr>
      <w:hyperlink r:id="rId15" w:history="1">
        <w:r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</w:p>
    <w:p w14:paraId="5B93E215" w14:textId="774EB46F" w:rsidR="007054EC" w:rsidRDefault="00C701C2" w:rsidP="00762014">
      <w:pPr>
        <w:ind w:left="3600" w:hanging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50A90648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576BEE">
        <w:rPr>
          <w:rFonts w:eastAsia="Arial"/>
          <w:b w:val="0"/>
          <w:i/>
          <w:iCs/>
          <w:szCs w:val="18"/>
        </w:rPr>
        <w:t>6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6D2B2D">
        <w:rPr>
          <w:rFonts w:eastAsia="Arial"/>
          <w:b w:val="0"/>
          <w:i/>
          <w:iCs/>
          <w:szCs w:val="18"/>
        </w:rPr>
        <w:t>2</w:t>
      </w:r>
      <w:r w:rsidR="00734AB0">
        <w:rPr>
          <w:rFonts w:eastAsia="Arial"/>
          <w:b w:val="0"/>
          <w:i/>
          <w:iCs/>
          <w:szCs w:val="18"/>
        </w:rPr>
        <w:t>. 202</w:t>
      </w:r>
      <w:r w:rsidR="00576BEE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lastRenderedPageBreak/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94A0" w14:textId="77777777" w:rsidR="00624E48" w:rsidRDefault="00624E48" w:rsidP="00BA6370">
      <w:r>
        <w:separator/>
      </w:r>
    </w:p>
  </w:endnote>
  <w:endnote w:type="continuationSeparator" w:id="0">
    <w:p w14:paraId="296310E8" w14:textId="77777777" w:rsidR="00624E48" w:rsidRDefault="00624E4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46CC2AA6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0446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46CC2AA6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0446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C08F" w14:textId="77777777" w:rsidR="00624E48" w:rsidRDefault="00624E48" w:rsidP="00BA6370">
      <w:r>
        <w:separator/>
      </w:r>
    </w:p>
  </w:footnote>
  <w:footnote w:type="continuationSeparator" w:id="0">
    <w:p w14:paraId="457EA21C" w14:textId="77777777" w:rsidR="00624E48" w:rsidRDefault="00624E4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0D3E"/>
    <w:rsid w:val="00001211"/>
    <w:rsid w:val="00003D63"/>
    <w:rsid w:val="000050B8"/>
    <w:rsid w:val="00005488"/>
    <w:rsid w:val="00005654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58F2"/>
    <w:rsid w:val="00027602"/>
    <w:rsid w:val="000320B1"/>
    <w:rsid w:val="00033FDD"/>
    <w:rsid w:val="000411D5"/>
    <w:rsid w:val="00041417"/>
    <w:rsid w:val="0004226F"/>
    <w:rsid w:val="0004262A"/>
    <w:rsid w:val="00043BF4"/>
    <w:rsid w:val="00044615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4B68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2FE"/>
    <w:rsid w:val="0009682E"/>
    <w:rsid w:val="00096956"/>
    <w:rsid w:val="00096D6C"/>
    <w:rsid w:val="00097164"/>
    <w:rsid w:val="0009725A"/>
    <w:rsid w:val="00097CAA"/>
    <w:rsid w:val="000A16C9"/>
    <w:rsid w:val="000A2BF7"/>
    <w:rsid w:val="000A338E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922"/>
    <w:rsid w:val="000D2DEE"/>
    <w:rsid w:val="000D605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4C92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394D"/>
    <w:rsid w:val="0016465D"/>
    <w:rsid w:val="00164F25"/>
    <w:rsid w:val="0016614A"/>
    <w:rsid w:val="0017231D"/>
    <w:rsid w:val="00173ECA"/>
    <w:rsid w:val="00174F4F"/>
    <w:rsid w:val="001756A8"/>
    <w:rsid w:val="00175C53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3348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975C3"/>
    <w:rsid w:val="001A242D"/>
    <w:rsid w:val="001A2CD2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0D22"/>
    <w:rsid w:val="002123A1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370E4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23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58E3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53AE5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183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1381"/>
    <w:rsid w:val="003B2D3B"/>
    <w:rsid w:val="003B44D4"/>
    <w:rsid w:val="003B52B0"/>
    <w:rsid w:val="003B77A8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D3F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1F34"/>
    <w:rsid w:val="00464A07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368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15197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19A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58E5"/>
    <w:rsid w:val="0056604C"/>
    <w:rsid w:val="005666D8"/>
    <w:rsid w:val="00573803"/>
    <w:rsid w:val="00573994"/>
    <w:rsid w:val="0057506D"/>
    <w:rsid w:val="00576662"/>
    <w:rsid w:val="00576BEE"/>
    <w:rsid w:val="00577688"/>
    <w:rsid w:val="00580692"/>
    <w:rsid w:val="00580847"/>
    <w:rsid w:val="00580AC5"/>
    <w:rsid w:val="00581B68"/>
    <w:rsid w:val="005836DF"/>
    <w:rsid w:val="005843C3"/>
    <w:rsid w:val="00587884"/>
    <w:rsid w:val="00587FED"/>
    <w:rsid w:val="00590A92"/>
    <w:rsid w:val="00592B28"/>
    <w:rsid w:val="005936C9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0FB"/>
    <w:rsid w:val="005C1624"/>
    <w:rsid w:val="005C58CB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4E48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02D"/>
    <w:rsid w:val="006457ED"/>
    <w:rsid w:val="006475E6"/>
    <w:rsid w:val="006500F3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2B2D"/>
    <w:rsid w:val="006D34DA"/>
    <w:rsid w:val="006D3598"/>
    <w:rsid w:val="006D39AB"/>
    <w:rsid w:val="006D5356"/>
    <w:rsid w:val="006E024F"/>
    <w:rsid w:val="006E055A"/>
    <w:rsid w:val="006E120A"/>
    <w:rsid w:val="006E16D7"/>
    <w:rsid w:val="006E199C"/>
    <w:rsid w:val="006E1F9C"/>
    <w:rsid w:val="006E259C"/>
    <w:rsid w:val="006E4409"/>
    <w:rsid w:val="006E4E81"/>
    <w:rsid w:val="006E6EEE"/>
    <w:rsid w:val="006F0B50"/>
    <w:rsid w:val="006F145A"/>
    <w:rsid w:val="006F197D"/>
    <w:rsid w:val="006F47F4"/>
    <w:rsid w:val="006F4935"/>
    <w:rsid w:val="006F4D34"/>
    <w:rsid w:val="006F4E43"/>
    <w:rsid w:val="006F4FFC"/>
    <w:rsid w:val="006F6351"/>
    <w:rsid w:val="006F64AF"/>
    <w:rsid w:val="00700BBA"/>
    <w:rsid w:val="00702114"/>
    <w:rsid w:val="0070233E"/>
    <w:rsid w:val="00703E75"/>
    <w:rsid w:val="0070422C"/>
    <w:rsid w:val="0070429B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D95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0BF2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2014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20C6"/>
    <w:rsid w:val="00794148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4AF0"/>
    <w:rsid w:val="007E537B"/>
    <w:rsid w:val="007E56D4"/>
    <w:rsid w:val="007E5AE4"/>
    <w:rsid w:val="007E5DD7"/>
    <w:rsid w:val="007F1FA7"/>
    <w:rsid w:val="007F2AFF"/>
    <w:rsid w:val="007F4AEB"/>
    <w:rsid w:val="007F585C"/>
    <w:rsid w:val="007F735B"/>
    <w:rsid w:val="007F75B2"/>
    <w:rsid w:val="0080029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0724B"/>
    <w:rsid w:val="00810F3B"/>
    <w:rsid w:val="00811424"/>
    <w:rsid w:val="00813DDD"/>
    <w:rsid w:val="0081599A"/>
    <w:rsid w:val="00817131"/>
    <w:rsid w:val="00817C81"/>
    <w:rsid w:val="00817DB5"/>
    <w:rsid w:val="00823B85"/>
    <w:rsid w:val="008252EE"/>
    <w:rsid w:val="00826F19"/>
    <w:rsid w:val="00831959"/>
    <w:rsid w:val="00831B1B"/>
    <w:rsid w:val="00834597"/>
    <w:rsid w:val="00835470"/>
    <w:rsid w:val="0083553F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0B1C"/>
    <w:rsid w:val="00861798"/>
    <w:rsid w:val="00861D0E"/>
    <w:rsid w:val="008662AB"/>
    <w:rsid w:val="008662BB"/>
    <w:rsid w:val="00866310"/>
    <w:rsid w:val="008671EC"/>
    <w:rsid w:val="00867569"/>
    <w:rsid w:val="0087224A"/>
    <w:rsid w:val="00872E19"/>
    <w:rsid w:val="0088235F"/>
    <w:rsid w:val="0088438E"/>
    <w:rsid w:val="008862EF"/>
    <w:rsid w:val="008876F3"/>
    <w:rsid w:val="008949AD"/>
    <w:rsid w:val="00896D9E"/>
    <w:rsid w:val="00896DEA"/>
    <w:rsid w:val="008A1BDD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C461D"/>
    <w:rsid w:val="008D0F11"/>
    <w:rsid w:val="008D0FAE"/>
    <w:rsid w:val="008D1852"/>
    <w:rsid w:val="008D2FA1"/>
    <w:rsid w:val="008D3263"/>
    <w:rsid w:val="008D4A27"/>
    <w:rsid w:val="008D50E9"/>
    <w:rsid w:val="008D5833"/>
    <w:rsid w:val="008D66B2"/>
    <w:rsid w:val="008E1B14"/>
    <w:rsid w:val="008E2A63"/>
    <w:rsid w:val="008E2E79"/>
    <w:rsid w:val="008E2E7A"/>
    <w:rsid w:val="008E349F"/>
    <w:rsid w:val="008E3875"/>
    <w:rsid w:val="008E482E"/>
    <w:rsid w:val="008E4FE3"/>
    <w:rsid w:val="008E5F79"/>
    <w:rsid w:val="008E65D3"/>
    <w:rsid w:val="008F385B"/>
    <w:rsid w:val="008F48FD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56D7"/>
    <w:rsid w:val="0092772E"/>
    <w:rsid w:val="00930AD3"/>
    <w:rsid w:val="0093151C"/>
    <w:rsid w:val="00932002"/>
    <w:rsid w:val="00933B0E"/>
    <w:rsid w:val="00935A65"/>
    <w:rsid w:val="00936AEE"/>
    <w:rsid w:val="00936FD1"/>
    <w:rsid w:val="009402A9"/>
    <w:rsid w:val="0094037F"/>
    <w:rsid w:val="009457A4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66D29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2D22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C751B"/>
    <w:rsid w:val="009D2658"/>
    <w:rsid w:val="009D4AE9"/>
    <w:rsid w:val="009D4FD0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3A4E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3F13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0563"/>
    <w:rsid w:val="00A52819"/>
    <w:rsid w:val="00A54FC6"/>
    <w:rsid w:val="00A572F7"/>
    <w:rsid w:val="00A57612"/>
    <w:rsid w:val="00A60B29"/>
    <w:rsid w:val="00A60CC9"/>
    <w:rsid w:val="00A611CD"/>
    <w:rsid w:val="00A61432"/>
    <w:rsid w:val="00A618EF"/>
    <w:rsid w:val="00A639E3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6444"/>
    <w:rsid w:val="00A77A6B"/>
    <w:rsid w:val="00A802B0"/>
    <w:rsid w:val="00A81EB3"/>
    <w:rsid w:val="00A83443"/>
    <w:rsid w:val="00A83873"/>
    <w:rsid w:val="00A841EA"/>
    <w:rsid w:val="00A86AB6"/>
    <w:rsid w:val="00A86B0A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87C"/>
    <w:rsid w:val="00AA6C36"/>
    <w:rsid w:val="00AA6D61"/>
    <w:rsid w:val="00AB008C"/>
    <w:rsid w:val="00AB2D08"/>
    <w:rsid w:val="00AB3410"/>
    <w:rsid w:val="00AB4936"/>
    <w:rsid w:val="00AB4A84"/>
    <w:rsid w:val="00AB5DF6"/>
    <w:rsid w:val="00AB6B9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4758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24BF"/>
    <w:rsid w:val="00B74782"/>
    <w:rsid w:val="00B74DAF"/>
    <w:rsid w:val="00B753D2"/>
    <w:rsid w:val="00B8124C"/>
    <w:rsid w:val="00B825AE"/>
    <w:rsid w:val="00B83580"/>
    <w:rsid w:val="00B8797D"/>
    <w:rsid w:val="00B90758"/>
    <w:rsid w:val="00B90F0D"/>
    <w:rsid w:val="00B911E1"/>
    <w:rsid w:val="00B92EC6"/>
    <w:rsid w:val="00B94FB3"/>
    <w:rsid w:val="00B95B2C"/>
    <w:rsid w:val="00B974FB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46FF"/>
    <w:rsid w:val="00BB7651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1C6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1713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2E4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2141"/>
    <w:rsid w:val="00C930FA"/>
    <w:rsid w:val="00C932B6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66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7714"/>
    <w:rsid w:val="00D27D69"/>
    <w:rsid w:val="00D312C5"/>
    <w:rsid w:val="00D31945"/>
    <w:rsid w:val="00D32132"/>
    <w:rsid w:val="00D32E0F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1DCB"/>
    <w:rsid w:val="00D427CF"/>
    <w:rsid w:val="00D445DA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86857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0CF7"/>
    <w:rsid w:val="00DA2411"/>
    <w:rsid w:val="00DA2904"/>
    <w:rsid w:val="00DA4D42"/>
    <w:rsid w:val="00DA72C3"/>
    <w:rsid w:val="00DB00BD"/>
    <w:rsid w:val="00DB1226"/>
    <w:rsid w:val="00DB3304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4BDF"/>
    <w:rsid w:val="00E0507D"/>
    <w:rsid w:val="00E05D4A"/>
    <w:rsid w:val="00E07068"/>
    <w:rsid w:val="00E140A8"/>
    <w:rsid w:val="00E14827"/>
    <w:rsid w:val="00E162EF"/>
    <w:rsid w:val="00E168FB"/>
    <w:rsid w:val="00E16E37"/>
    <w:rsid w:val="00E17310"/>
    <w:rsid w:val="00E204C8"/>
    <w:rsid w:val="00E2124A"/>
    <w:rsid w:val="00E230AA"/>
    <w:rsid w:val="00E237FF"/>
    <w:rsid w:val="00E24B3D"/>
    <w:rsid w:val="00E25FE3"/>
    <w:rsid w:val="00E262CA"/>
    <w:rsid w:val="00E26704"/>
    <w:rsid w:val="00E31980"/>
    <w:rsid w:val="00E31FB9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5487B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0A7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2C0D"/>
    <w:rsid w:val="00EE2E7D"/>
    <w:rsid w:val="00EE3DFC"/>
    <w:rsid w:val="00EE5946"/>
    <w:rsid w:val="00EE596E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2A14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068B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A83"/>
    <w:rsid w:val="00F67D22"/>
    <w:rsid w:val="00F73651"/>
    <w:rsid w:val="00F737AB"/>
    <w:rsid w:val="00F75F2A"/>
    <w:rsid w:val="00F810F7"/>
    <w:rsid w:val="00F82E33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1FBF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226"/>
    <w:rsid w:val="00FD0E43"/>
    <w:rsid w:val="00FD14D9"/>
    <w:rsid w:val="00FD14E3"/>
    <w:rsid w:val="00FD3676"/>
    <w:rsid w:val="00FD7C2D"/>
    <w:rsid w:val="00FE317A"/>
    <w:rsid w:val="00FE5F4A"/>
    <w:rsid w:val="00FE714E"/>
    <w:rsid w:val="00FF15BF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u.gov.cz/aktualni-produkt/41321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9537b9d2758b69145caf44e3ea10f0af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5ec01f0c0ef5eeaf15b951e4dbcf2ee9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09E5E-A04B-4CDA-9C77-136EC7151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ECFE28-71C3-4F93-ACB0-DE7CA4F6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212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35</cp:revision>
  <cp:lastPrinted>2025-12-30T07:52:00Z</cp:lastPrinted>
  <dcterms:created xsi:type="dcterms:W3CDTF">2025-12-11T09:00:00Z</dcterms:created>
  <dcterms:modified xsi:type="dcterms:W3CDTF">2026-01-05T08:45:00Z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