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60" w:rsidRDefault="008F7034">
      <w:pPr>
        <w:pStyle w:val="Datum"/>
      </w:pPr>
      <w:bookmarkStart w:id="0" w:name="_GoBack"/>
      <w:bookmarkEnd w:id="0"/>
      <w:r>
        <w:t>9 February 2023</w:t>
      </w:r>
    </w:p>
    <w:p w:rsidR="002B1060" w:rsidRDefault="008F7034">
      <w:pPr>
        <w:pStyle w:val="Nzev"/>
        <w:suppressAutoHyphens w:val="0"/>
        <w:rPr>
          <w:lang w:val="cs-CZ"/>
        </w:rPr>
      </w:pP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r>
        <w:t>gross</w:t>
      </w:r>
      <w:r>
        <w:rPr>
          <w:lang w:val="cs-CZ"/>
        </w:rPr>
        <w:t xml:space="preserve"> </w:t>
      </w:r>
      <w:proofErr w:type="spellStart"/>
      <w:r w:rsidR="004C0339">
        <w:rPr>
          <w:lang w:val="cs-CZ"/>
        </w:rPr>
        <w:t>indigenous</w:t>
      </w:r>
      <w:proofErr w:type="spellEnd"/>
      <w:r>
        <w:t xml:space="preserve"> meat production dropped </w:t>
      </w:r>
      <w:r w:rsidR="004C0339">
        <w:t>in 2022</w:t>
      </w:r>
    </w:p>
    <w:p w:rsidR="002B1060" w:rsidRDefault="008F7034">
      <w:pPr>
        <w:pStyle w:val="Podtitulek"/>
      </w:pPr>
      <w:r>
        <w:rPr>
          <w:rStyle w:val="markedcontent"/>
          <w:rFonts w:cs="Arial"/>
          <w:szCs w:val="31"/>
        </w:rPr>
        <w:t xml:space="preserve">Supplementary information </w:t>
      </w:r>
      <w:r>
        <w:t>to the News Release on Animal production – 4</w:t>
      </w:r>
      <w:r>
        <w:rPr>
          <w:vertAlign w:val="superscript"/>
        </w:rPr>
        <w:t>th</w:t>
      </w:r>
      <w:r>
        <w:t xml:space="preserve"> quarter and year 2022</w:t>
      </w:r>
    </w:p>
    <w:p w:rsidR="002B1060" w:rsidRDefault="008F7034">
      <w:pPr>
        <w:rPr>
          <w:rFonts w:cs="Arial"/>
          <w:b/>
          <w:szCs w:val="18"/>
        </w:rPr>
      </w:pPr>
      <w:r>
        <w:rPr>
          <w:rStyle w:val="q4iawc"/>
          <w:b/>
        </w:rPr>
        <w:t xml:space="preserve">The year 2022 was characterized not only by decreased production at slaughterhouses but also </w:t>
      </w:r>
      <w:r>
        <w:rPr>
          <w:rStyle w:val="q4iawc"/>
          <w:b/>
        </w:rPr>
        <w:t>by lower gross domestic meat production,</w:t>
      </w:r>
      <w:r>
        <w:t xml:space="preserve"> </w:t>
      </w:r>
      <w:r>
        <w:rPr>
          <w:rStyle w:val="q4iawc"/>
          <w:b/>
        </w:rPr>
        <w:t xml:space="preserve">with beef down by 1.6%, </w:t>
      </w:r>
      <w:proofErr w:type="spellStart"/>
      <w:r>
        <w:rPr>
          <w:rStyle w:val="q4iawc"/>
          <w:b/>
        </w:rPr>
        <w:t>pigmeat</w:t>
      </w:r>
      <w:proofErr w:type="spellEnd"/>
      <w:r>
        <w:rPr>
          <w:rStyle w:val="q4iawc"/>
          <w:b/>
        </w:rPr>
        <w:t xml:space="preserve"> by 5.6% and </w:t>
      </w:r>
      <w:proofErr w:type="spellStart"/>
      <w:r>
        <w:rPr>
          <w:rStyle w:val="q4iawc"/>
          <w:b/>
        </w:rPr>
        <w:t>poultrymeat</w:t>
      </w:r>
      <w:proofErr w:type="spellEnd"/>
      <w:r>
        <w:rPr>
          <w:rStyle w:val="q4iawc"/>
          <w:b/>
        </w:rPr>
        <w:t xml:space="preserve"> by 0.8%. The preliminary balance of meat production and use showed also a decline in the calculated meat consumption:</w:t>
      </w:r>
      <w:r>
        <w:rPr>
          <w:rStyle w:val="q4iawc"/>
          <w:b/>
          <w:color w:val="808080" w:themeColor="background1" w:themeShade="80"/>
        </w:rPr>
        <w:t xml:space="preserve"> </w:t>
      </w:r>
      <w:r>
        <w:rPr>
          <w:rStyle w:val="q4iawc"/>
          <w:b/>
        </w:rPr>
        <w:t xml:space="preserve">by 5.7% for beef, by 0.4% for </w:t>
      </w:r>
      <w:proofErr w:type="spellStart"/>
      <w:r>
        <w:rPr>
          <w:rStyle w:val="q4iawc"/>
          <w:b/>
        </w:rPr>
        <w:t>pigmeat</w:t>
      </w:r>
      <w:proofErr w:type="spellEnd"/>
      <w:r>
        <w:rPr>
          <w:rStyle w:val="q4iawc"/>
          <w:b/>
        </w:rPr>
        <w:t>, an</w:t>
      </w:r>
      <w:r>
        <w:rPr>
          <w:rStyle w:val="q4iawc"/>
          <w:b/>
        </w:rPr>
        <w:t xml:space="preserve">d 3.9% for </w:t>
      </w:r>
      <w:proofErr w:type="spellStart"/>
      <w:r>
        <w:rPr>
          <w:rStyle w:val="q4iawc"/>
          <w:b/>
        </w:rPr>
        <w:t>poultrymeat</w:t>
      </w:r>
      <w:proofErr w:type="spellEnd"/>
      <w:r>
        <w:rPr>
          <w:rStyle w:val="q4iawc"/>
          <w:b/>
        </w:rPr>
        <w:t>.</w:t>
      </w:r>
    </w:p>
    <w:p w:rsidR="002B1060" w:rsidRDefault="002B1060">
      <w:pPr>
        <w:pStyle w:val="Perex"/>
        <w:spacing w:after="0"/>
        <w:rPr>
          <w:color w:val="808080" w:themeColor="background1" w:themeShade="80"/>
        </w:rPr>
      </w:pPr>
    </w:p>
    <w:p w:rsidR="002B1060" w:rsidRDefault="008F7034">
      <w:pPr>
        <w:pStyle w:val="Nadpis1"/>
      </w:pPr>
      <w:r>
        <w:t>Beef</w:t>
      </w:r>
    </w:p>
    <w:p w:rsidR="002B1060" w:rsidRDefault="008F7034">
      <w:pPr>
        <w:rPr>
          <w:color w:val="808080" w:themeColor="background1" w:themeShade="80"/>
        </w:rPr>
      </w:pPr>
      <w:r>
        <w:rPr>
          <w:color w:val="000000"/>
        </w:rPr>
        <w:t>The total beef production at slaughterhouses in 2022 amounted to 6</w:t>
      </w:r>
      <w:r w:rsidR="004C0339">
        <w:rPr>
          <w:color w:val="000000"/>
        </w:rPr>
        <w:t>8</w:t>
      </w:r>
      <w:r>
        <w:rPr>
          <w:color w:val="000000"/>
        </w:rPr>
        <w:t> 583 tonnes (</w:t>
      </w:r>
      <w:r>
        <w:rPr>
          <w:color w:val="000000"/>
          <w:sz w:val="18"/>
          <w:szCs w:val="18"/>
        </w:rPr>
        <w:t>−</w:t>
      </w:r>
      <w:r>
        <w:rPr>
          <w:color w:val="000000"/>
          <w:szCs w:val="20"/>
        </w:rPr>
        <w:t>5</w:t>
      </w:r>
      <w:r>
        <w:rPr>
          <w:color w:val="000000"/>
        </w:rPr>
        <w:t xml:space="preserve">.5%). The share of cattle slaughtering out of slaughterhouses reached almost 3% from its total usable production. </w:t>
      </w:r>
    </w:p>
    <w:p w:rsidR="002B1060" w:rsidRDefault="008F7034">
      <w:pPr>
        <w:rPr>
          <w:color w:val="000000"/>
        </w:rPr>
      </w:pPr>
      <w:r>
        <w:rPr>
          <w:color w:val="000000"/>
        </w:rPr>
        <w:t>This y-o-y decline in beef pr</w:t>
      </w:r>
      <w:r>
        <w:rPr>
          <w:color w:val="000000"/>
        </w:rPr>
        <w:t xml:space="preserve">oduction was connected mainly with changes in cross-border movements in live cattle for slaughter: by 1.5 </w:t>
      </w:r>
      <w:proofErr w:type="spellStart"/>
      <w:r>
        <w:rPr>
          <w:color w:val="000000"/>
        </w:rPr>
        <w:t>thous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more</w:t>
      </w:r>
      <w:proofErr w:type="gramEnd"/>
      <w:r>
        <w:rPr>
          <w:color w:val="000000"/>
        </w:rPr>
        <w:t xml:space="preserve"> animals (+2.1%) were exported and by 4.9 </w:t>
      </w:r>
      <w:proofErr w:type="spellStart"/>
      <w:r>
        <w:rPr>
          <w:color w:val="000000"/>
        </w:rPr>
        <w:t>thous</w:t>
      </w:r>
      <w:proofErr w:type="spellEnd"/>
      <w:r>
        <w:rPr>
          <w:color w:val="000000"/>
        </w:rPr>
        <w:t>. less (</w:t>
      </w:r>
      <w:r>
        <w:rPr>
          <w:color w:val="000000"/>
          <w:sz w:val="18"/>
          <w:szCs w:val="18"/>
        </w:rPr>
        <w:t>−</w:t>
      </w:r>
      <w:r>
        <w:rPr>
          <w:color w:val="000000"/>
          <w:szCs w:val="20"/>
        </w:rPr>
        <w:t xml:space="preserve">83.4%) </w:t>
      </w:r>
      <w:r>
        <w:rPr>
          <w:color w:val="000000"/>
        </w:rPr>
        <w:t xml:space="preserve">were imported compared to the year 2021. </w:t>
      </w:r>
    </w:p>
    <w:p w:rsidR="002B1060" w:rsidRDefault="008F7034">
      <w:r>
        <w:rPr>
          <w:rStyle w:val="q4iawc"/>
          <w:color w:val="000000"/>
        </w:rPr>
        <w:t>After taking these changes into ac</w:t>
      </w:r>
      <w:r>
        <w:rPr>
          <w:rStyle w:val="q4iawc"/>
          <w:color w:val="000000"/>
        </w:rPr>
        <w:t>count, the gross indigenous production of beef decreased as well to 95 751 tonnes (−1.6%).</w:t>
      </w:r>
    </w:p>
    <w:p w:rsidR="002B1060" w:rsidRDefault="008F7034">
      <w:pPr>
        <w:rPr>
          <w:color w:val="808080" w:themeColor="background1" w:themeShade="80"/>
          <w:shd w:val="clear" w:color="auto" w:fill="A6A6A6"/>
        </w:rPr>
      </w:pPr>
      <w:r>
        <w:rPr>
          <w:color w:val="000000"/>
        </w:rPr>
        <w:t>In total 40 539 tonnes of beef (</w:t>
      </w:r>
      <w:r>
        <w:rPr>
          <w:rStyle w:val="q4iawc"/>
          <w:color w:val="000000"/>
        </w:rPr>
        <w:t>0</w:t>
      </w:r>
      <w:r>
        <w:rPr>
          <w:color w:val="000000"/>
        </w:rPr>
        <w:t>.0%, y-o-y) were imported and 14 333 tonnes (+16.4%) were exported during the entire year 2022.</w:t>
      </w:r>
      <w:r>
        <w:rPr>
          <w:color w:val="808080" w:themeColor="background1" w:themeShade="80"/>
        </w:rPr>
        <w:t xml:space="preserve"> </w:t>
      </w:r>
      <w:r>
        <w:rPr>
          <w:color w:val="000000"/>
        </w:rPr>
        <w:t>Due to increased exports, the defici</w:t>
      </w:r>
      <w:r>
        <w:rPr>
          <w:color w:val="000000"/>
        </w:rPr>
        <w:t xml:space="preserve">t in the balance of beef in terms of cross-border movements was reduced.  </w:t>
      </w:r>
    </w:p>
    <w:p w:rsidR="002B1060" w:rsidRDefault="008F7034">
      <w:r>
        <w:rPr>
          <w:color w:val="000000"/>
        </w:rPr>
        <w:t xml:space="preserve">The preliminary calculated quantity of beef intended for consumption in the Czech Republic </w:t>
      </w:r>
      <w:r>
        <w:rPr>
          <w:rStyle w:val="q4iawc"/>
          <w:color w:val="000000"/>
        </w:rPr>
        <w:t>went down, y-o-y,  to 96 840 tonnes (−5.7%).</w:t>
      </w:r>
    </w:p>
    <w:p w:rsidR="002B1060" w:rsidRDefault="002B1060">
      <w:pPr>
        <w:rPr>
          <w:color w:val="808080" w:themeColor="background1" w:themeShade="80"/>
        </w:rPr>
      </w:pPr>
    </w:p>
    <w:p w:rsidR="002B1060" w:rsidRDefault="008F7034">
      <w:pPr>
        <w:keepNext/>
        <w:keepLines/>
        <w:jc w:val="left"/>
        <w:outlineLvl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Table 1: Decomposition of beef production in</w:t>
      </w:r>
      <w:r>
        <w:rPr>
          <w:rFonts w:eastAsia="Times New Roman"/>
          <w:b/>
          <w:bCs/>
          <w:szCs w:val="28"/>
        </w:rPr>
        <w:t xml:space="preserve"> 2022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971"/>
        <w:gridCol w:w="994"/>
        <w:gridCol w:w="1298"/>
        <w:gridCol w:w="1192"/>
        <w:gridCol w:w="1022"/>
        <w:gridCol w:w="1023"/>
      </w:tblGrid>
      <w:tr w:rsidR="002B1060" w:rsidTr="006D4F4E">
        <w:trPr>
          <w:trHeight w:val="275"/>
        </w:trPr>
        <w:tc>
          <w:tcPr>
            <w:tcW w:w="297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Row</w:t>
            </w:r>
          </w:p>
        </w:tc>
        <w:tc>
          <w:tcPr>
            <w:tcW w:w="129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animals (head)</w:t>
            </w:r>
          </w:p>
        </w:tc>
        <w:tc>
          <w:tcPr>
            <w:tcW w:w="119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Live weight</w:t>
            </w:r>
          </w:p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(tonnes)</w:t>
            </w:r>
          </w:p>
        </w:tc>
        <w:tc>
          <w:tcPr>
            <w:tcW w:w="2045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Carcass weight / meat </w:t>
            </w:r>
          </w:p>
        </w:tc>
      </w:tr>
      <w:tr w:rsidR="002B1060" w:rsidTr="006D4F4E">
        <w:trPr>
          <w:trHeight w:val="275"/>
        </w:trPr>
        <w:tc>
          <w:tcPr>
            <w:tcW w:w="2970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tonnes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y-o-y change</w:t>
            </w:r>
          </w:p>
        </w:tc>
      </w:tr>
      <w:tr w:rsidR="002B1060" w:rsidTr="004C0339">
        <w:trPr>
          <w:trHeight w:val="283"/>
        </w:trPr>
        <w:tc>
          <w:tcPr>
            <w:tcW w:w="2970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Slaughtering in slaughterhouses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spacing w:line="240" w:lineRule="auto"/>
              <w:ind w:right="25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</w:rPr>
              <w:t>222 869</w:t>
            </w:r>
          </w:p>
        </w:tc>
        <w:tc>
          <w:tcPr>
            <w:tcW w:w="1192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ind w:right="231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128 557</w:t>
            </w:r>
          </w:p>
        </w:tc>
        <w:tc>
          <w:tcPr>
            <w:tcW w:w="1022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</w:rPr>
              <w:t>68 583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2B1060" w:rsidRDefault="008F7034" w:rsidP="00AC1BA8">
            <w:pPr>
              <w:widowControl w:val="0"/>
              <w:ind w:right="175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-5.5%</w:t>
            </w:r>
          </w:p>
        </w:tc>
      </w:tr>
      <w:tr w:rsidR="002B1060" w:rsidTr="004C0339">
        <w:trPr>
          <w:trHeight w:val="283"/>
        </w:trPr>
        <w:tc>
          <w:tcPr>
            <w:tcW w:w="2970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Slaughtering out of slaughterhouses</w:t>
            </w:r>
          </w:p>
        </w:tc>
        <w:tc>
          <w:tcPr>
            <w:tcW w:w="994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298" w:type="dxa"/>
            <w:vAlign w:val="center"/>
          </w:tcPr>
          <w:p w:rsidR="002B1060" w:rsidRDefault="008F7034">
            <w:pPr>
              <w:widowControl w:val="0"/>
              <w:ind w:right="25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6 724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1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3 770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2 051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B1060" w:rsidRDefault="008F7034" w:rsidP="00AC1BA8">
            <w:pPr>
              <w:widowControl w:val="0"/>
              <w:ind w:right="175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+4.6%</w:t>
            </w:r>
          </w:p>
        </w:tc>
      </w:tr>
      <w:tr w:rsidR="002B1060" w:rsidTr="004C0339">
        <w:trPr>
          <w:trHeight w:val="283"/>
        </w:trPr>
        <w:tc>
          <w:tcPr>
            <w:tcW w:w="2970" w:type="dxa"/>
            <w:vAlign w:val="center"/>
          </w:tcPr>
          <w:p w:rsidR="002B1060" w:rsidRDefault="008F7034">
            <w:pPr>
              <w:widowControl w:val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Usable Production</w:t>
            </w:r>
          </w:p>
        </w:tc>
        <w:tc>
          <w:tcPr>
            <w:tcW w:w="994" w:type="dxa"/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298" w:type="dxa"/>
            <w:vAlign w:val="center"/>
          </w:tcPr>
          <w:p w:rsidR="002B1060" w:rsidRDefault="008F7034">
            <w:pPr>
              <w:widowControl w:val="0"/>
              <w:ind w:right="25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229 593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1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132 327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70 633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B1060" w:rsidRDefault="008F7034" w:rsidP="00AC1BA8">
            <w:pPr>
              <w:widowControl w:val="0"/>
              <w:ind w:right="175"/>
              <w:jc w:val="right"/>
              <w:rPr>
                <w:lang w:val="cs-C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cs-CZ"/>
              </w:rPr>
              <w:t>-5.2</w:t>
            </w:r>
            <w:r>
              <w:rPr>
                <w:rFonts w:cs="Arial"/>
                <w:b/>
                <w:sz w:val="16"/>
                <w:szCs w:val="16"/>
                <w:lang w:val="cs-CZ"/>
              </w:rPr>
              <w:t>%</w:t>
            </w:r>
          </w:p>
        </w:tc>
      </w:tr>
      <w:tr w:rsidR="002B1060" w:rsidTr="004C0339">
        <w:trPr>
          <w:trHeight w:val="283"/>
        </w:trPr>
        <w:tc>
          <w:tcPr>
            <w:tcW w:w="2970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Exports of animals for slaughter</w:t>
            </w:r>
          </w:p>
        </w:tc>
        <w:tc>
          <w:tcPr>
            <w:tcW w:w="994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298" w:type="dxa"/>
            <w:vAlign w:val="center"/>
          </w:tcPr>
          <w:p w:rsidR="002B1060" w:rsidRDefault="008F7034">
            <w:pPr>
              <w:widowControl w:val="0"/>
              <w:ind w:right="25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73 088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1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47 593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25 432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B1060" w:rsidRDefault="00F757E9" w:rsidP="00AC1BA8">
            <w:pPr>
              <w:widowControl w:val="0"/>
              <w:ind w:right="175"/>
              <w:jc w:val="right"/>
              <w:rPr>
                <w:lang w:val="cs-CZ"/>
              </w:rPr>
            </w:pPr>
            <w:r>
              <w:rPr>
                <w:rFonts w:cs="Arial"/>
                <w:bCs/>
                <w:sz w:val="16"/>
                <w:szCs w:val="16"/>
                <w:lang w:val="cs-CZ"/>
              </w:rPr>
              <w:t>+</w:t>
            </w:r>
            <w:r w:rsidR="008F7034">
              <w:rPr>
                <w:rFonts w:cs="Arial"/>
                <w:bCs/>
                <w:sz w:val="16"/>
                <w:szCs w:val="16"/>
                <w:lang w:val="cs-CZ"/>
              </w:rPr>
              <w:t>3.2</w:t>
            </w:r>
            <w:r w:rsidR="008F7034">
              <w:rPr>
                <w:rFonts w:cs="Arial"/>
                <w:sz w:val="16"/>
                <w:szCs w:val="16"/>
                <w:lang w:val="cs-CZ"/>
              </w:rPr>
              <w:t>%</w:t>
            </w:r>
          </w:p>
        </w:tc>
      </w:tr>
      <w:tr w:rsidR="002B1060" w:rsidTr="004C0339">
        <w:trPr>
          <w:trHeight w:val="283"/>
        </w:trPr>
        <w:tc>
          <w:tcPr>
            <w:tcW w:w="2970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Imports of animals for slaughter</w:t>
            </w:r>
          </w:p>
        </w:tc>
        <w:tc>
          <w:tcPr>
            <w:tcW w:w="994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298" w:type="dxa"/>
            <w:vAlign w:val="center"/>
          </w:tcPr>
          <w:p w:rsidR="002B1060" w:rsidRDefault="008F7034">
            <w:pPr>
              <w:widowControl w:val="0"/>
              <w:ind w:right="25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984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1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592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B1060" w:rsidRDefault="008F7034" w:rsidP="00AC1BA8">
            <w:pPr>
              <w:widowControl w:val="0"/>
              <w:ind w:right="175"/>
              <w:jc w:val="right"/>
              <w:rPr>
                <w:lang w:val="cs-CZ"/>
              </w:rPr>
            </w:pPr>
            <w:r>
              <w:rPr>
                <w:rFonts w:cs="Arial"/>
                <w:bCs/>
                <w:sz w:val="16"/>
                <w:szCs w:val="16"/>
                <w:lang w:val="cs-CZ"/>
              </w:rPr>
              <w:t>-82.9</w:t>
            </w:r>
            <w:r>
              <w:rPr>
                <w:rFonts w:cs="Arial"/>
                <w:sz w:val="16"/>
                <w:szCs w:val="16"/>
                <w:lang w:val="cs-CZ"/>
              </w:rPr>
              <w:t>%</w:t>
            </w:r>
          </w:p>
        </w:tc>
      </w:tr>
      <w:tr w:rsidR="002B1060" w:rsidTr="004C0339">
        <w:trPr>
          <w:trHeight w:val="283"/>
        </w:trPr>
        <w:tc>
          <w:tcPr>
            <w:tcW w:w="2970" w:type="dxa"/>
            <w:vAlign w:val="center"/>
          </w:tcPr>
          <w:p w:rsidR="002B1060" w:rsidRDefault="008F7034">
            <w:pPr>
              <w:widowControl w:val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Gross indigenous production</w:t>
            </w:r>
          </w:p>
        </w:tc>
        <w:tc>
          <w:tcPr>
            <w:tcW w:w="994" w:type="dxa"/>
            <w:vAlign w:val="center"/>
          </w:tcPr>
          <w:p w:rsidR="002B1060" w:rsidRDefault="008F7034">
            <w:pPr>
              <w:widowControl w:val="0"/>
              <w:ind w:left="-67" w:right="-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298" w:type="dxa"/>
            <w:vAlign w:val="center"/>
          </w:tcPr>
          <w:p w:rsidR="002B1060" w:rsidRDefault="008F7034">
            <w:pPr>
              <w:widowControl w:val="0"/>
              <w:ind w:right="25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301 697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1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179 328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95 751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B1060" w:rsidRDefault="008F7034" w:rsidP="00AC1BA8">
            <w:pPr>
              <w:widowControl w:val="0"/>
              <w:ind w:right="175"/>
              <w:jc w:val="right"/>
              <w:rPr>
                <w:lang w:val="cs-C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cs-CZ"/>
              </w:rPr>
              <w:t>-1.6</w:t>
            </w:r>
            <w:r>
              <w:rPr>
                <w:rFonts w:cs="Arial"/>
                <w:b/>
                <w:sz w:val="16"/>
                <w:szCs w:val="16"/>
                <w:lang w:val="cs-CZ"/>
              </w:rPr>
              <w:t>%</w:t>
            </w:r>
          </w:p>
        </w:tc>
      </w:tr>
      <w:tr w:rsidR="002B1060" w:rsidTr="004C0339">
        <w:trPr>
          <w:trHeight w:val="283"/>
        </w:trPr>
        <w:tc>
          <w:tcPr>
            <w:tcW w:w="2970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Exports of meat</w:t>
            </w:r>
          </w:p>
        </w:tc>
        <w:tc>
          <w:tcPr>
            <w:tcW w:w="994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298" w:type="dxa"/>
            <w:vAlign w:val="center"/>
          </w:tcPr>
          <w:p w:rsidR="002B1060" w:rsidRDefault="008F7034">
            <w:pPr>
              <w:widowControl w:val="0"/>
              <w:ind w:right="25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1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 </w:t>
            </w:r>
            <w:r>
              <w:rPr>
                <w:rFonts w:cs="Arial"/>
                <w:sz w:val="16"/>
                <w:szCs w:val="16"/>
              </w:rPr>
              <w:t>333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B1060" w:rsidRDefault="00F757E9" w:rsidP="00AC1BA8">
            <w:pPr>
              <w:widowControl w:val="0"/>
              <w:ind w:right="175"/>
              <w:jc w:val="right"/>
              <w:rPr>
                <w:lang w:val="cs-CZ"/>
              </w:rPr>
            </w:pPr>
            <w:r>
              <w:rPr>
                <w:rFonts w:cs="Arial"/>
                <w:bCs/>
                <w:sz w:val="16"/>
                <w:szCs w:val="16"/>
                <w:lang w:val="cs-CZ"/>
              </w:rPr>
              <w:t>+</w:t>
            </w:r>
            <w:r w:rsidR="008F7034">
              <w:rPr>
                <w:rFonts w:cs="Arial"/>
                <w:bCs/>
                <w:sz w:val="16"/>
                <w:szCs w:val="16"/>
                <w:lang w:val="cs-CZ"/>
              </w:rPr>
              <w:t>16.4</w:t>
            </w:r>
            <w:r w:rsidR="008F7034">
              <w:rPr>
                <w:rFonts w:cs="Arial"/>
                <w:sz w:val="16"/>
                <w:szCs w:val="16"/>
                <w:lang w:val="cs-CZ"/>
              </w:rPr>
              <w:t>%</w:t>
            </w:r>
          </w:p>
        </w:tc>
      </w:tr>
      <w:tr w:rsidR="002B1060" w:rsidTr="004C0339">
        <w:trPr>
          <w:trHeight w:val="283"/>
        </w:trPr>
        <w:tc>
          <w:tcPr>
            <w:tcW w:w="2970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Imports of meat</w:t>
            </w:r>
          </w:p>
        </w:tc>
        <w:tc>
          <w:tcPr>
            <w:tcW w:w="994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298" w:type="dxa"/>
            <w:vAlign w:val="center"/>
          </w:tcPr>
          <w:p w:rsidR="002B1060" w:rsidRDefault="008F7034">
            <w:pPr>
              <w:widowControl w:val="0"/>
              <w:ind w:right="25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1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40 539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B1060" w:rsidRDefault="008F7034" w:rsidP="00AC1BA8">
            <w:pPr>
              <w:widowControl w:val="0"/>
              <w:ind w:right="175"/>
              <w:jc w:val="right"/>
              <w:rPr>
                <w:lang w:val="cs-CZ"/>
              </w:rPr>
            </w:pPr>
            <w:r>
              <w:rPr>
                <w:rFonts w:cs="Arial"/>
                <w:bCs/>
                <w:sz w:val="16"/>
                <w:szCs w:val="16"/>
                <w:lang w:val="cs-CZ"/>
              </w:rPr>
              <w:t>0.0</w:t>
            </w:r>
            <w:r>
              <w:rPr>
                <w:rFonts w:cs="Arial"/>
                <w:sz w:val="16"/>
                <w:szCs w:val="16"/>
                <w:lang w:val="cs-CZ"/>
              </w:rPr>
              <w:t>%</w:t>
            </w:r>
          </w:p>
        </w:tc>
      </w:tr>
      <w:tr w:rsidR="002B1060" w:rsidTr="004C0339">
        <w:trPr>
          <w:trHeight w:val="283"/>
        </w:trPr>
        <w:tc>
          <w:tcPr>
            <w:tcW w:w="2970" w:type="dxa"/>
            <w:vAlign w:val="center"/>
          </w:tcPr>
          <w:p w:rsidR="002B1060" w:rsidRDefault="008F7034">
            <w:pPr>
              <w:widowControl w:val="0"/>
              <w:ind w:left="2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Calculated consumption</w:t>
            </w:r>
          </w:p>
        </w:tc>
        <w:tc>
          <w:tcPr>
            <w:tcW w:w="994" w:type="dxa"/>
            <w:vAlign w:val="center"/>
          </w:tcPr>
          <w:p w:rsidR="002B1060" w:rsidRDefault="008F7034">
            <w:pPr>
              <w:widowControl w:val="0"/>
              <w:ind w:left="-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298" w:type="dxa"/>
            <w:vAlign w:val="center"/>
          </w:tcPr>
          <w:p w:rsidR="002B1060" w:rsidRDefault="008F7034">
            <w:pPr>
              <w:widowControl w:val="0"/>
              <w:ind w:right="25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1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8" w:firstLine="33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96 840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B1060" w:rsidRDefault="008F7034" w:rsidP="00AC1BA8">
            <w:pPr>
              <w:widowControl w:val="0"/>
              <w:ind w:right="175"/>
              <w:jc w:val="right"/>
              <w:rPr>
                <w:lang w:val="cs-CZ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cs-CZ"/>
              </w:rPr>
              <w:t>-5.7</w:t>
            </w:r>
            <w:r>
              <w:rPr>
                <w:rFonts w:cs="Arial"/>
                <w:b/>
                <w:sz w:val="16"/>
                <w:szCs w:val="16"/>
                <w:lang w:val="cs-CZ"/>
              </w:rPr>
              <w:t>%</w:t>
            </w:r>
          </w:p>
        </w:tc>
      </w:tr>
    </w:tbl>
    <w:p w:rsidR="002B1060" w:rsidRDefault="002B1060"/>
    <w:p w:rsidR="002B1060" w:rsidRDefault="008F7034">
      <w:r>
        <w:rPr>
          <w:rStyle w:val="q4iawc"/>
          <w:color w:val="000000"/>
        </w:rPr>
        <w:t xml:space="preserve">At the end of 2022, there </w:t>
      </w:r>
      <w:r>
        <w:rPr>
          <w:rStyle w:val="q4iawc"/>
        </w:rPr>
        <w:t xml:space="preserve">were </w:t>
      </w:r>
      <w:r>
        <w:t xml:space="preserve">1 390.5 </w:t>
      </w:r>
      <w:proofErr w:type="spellStart"/>
      <w:r>
        <w:rPr>
          <w:rStyle w:val="q4iawc"/>
          <w:color w:val="000000"/>
        </w:rPr>
        <w:t>thous</w:t>
      </w:r>
      <w:proofErr w:type="spellEnd"/>
      <w:r>
        <w:rPr>
          <w:rStyle w:val="q4iawc"/>
          <w:color w:val="000000"/>
        </w:rPr>
        <w:t xml:space="preserve">. </w:t>
      </w:r>
      <w:proofErr w:type="gramStart"/>
      <w:r>
        <w:rPr>
          <w:rStyle w:val="q4iawc"/>
          <w:color w:val="000000"/>
        </w:rPr>
        <w:t>head</w:t>
      </w:r>
      <w:proofErr w:type="gramEnd"/>
      <w:r>
        <w:rPr>
          <w:rStyle w:val="q4iawc"/>
          <w:color w:val="000000"/>
        </w:rPr>
        <w:t xml:space="preserve"> of cattle (+2.3%, y-o-y) kept in the Czech Republic. The number of beef cows went up to 222.5 </w:t>
      </w:r>
      <w:proofErr w:type="spellStart"/>
      <w:r>
        <w:rPr>
          <w:rStyle w:val="q4iawc"/>
          <w:color w:val="000000"/>
        </w:rPr>
        <w:t>thous</w:t>
      </w:r>
      <w:proofErr w:type="spellEnd"/>
      <w:r>
        <w:rPr>
          <w:rStyle w:val="q4iawc"/>
          <w:color w:val="000000"/>
        </w:rPr>
        <w:t xml:space="preserve">. </w:t>
      </w:r>
      <w:proofErr w:type="gramStart"/>
      <w:r>
        <w:rPr>
          <w:rStyle w:val="q4iawc"/>
          <w:color w:val="000000"/>
        </w:rPr>
        <w:t>head</w:t>
      </w:r>
      <w:proofErr w:type="gramEnd"/>
      <w:r>
        <w:rPr>
          <w:rStyle w:val="q4iawc"/>
          <w:color w:val="000000"/>
        </w:rPr>
        <w:t xml:space="preserve">, i.e. by 5.1%. The number of </w:t>
      </w:r>
      <w:r>
        <w:rPr>
          <w:rStyle w:val="q4iawc"/>
          <w:color w:val="000000"/>
        </w:rPr>
        <w:lastRenderedPageBreak/>
        <w:t xml:space="preserve">dairy cows was 356.7 </w:t>
      </w:r>
      <w:proofErr w:type="spellStart"/>
      <w:r>
        <w:rPr>
          <w:rStyle w:val="q4iawc"/>
          <w:color w:val="000000"/>
        </w:rPr>
        <w:t>thous</w:t>
      </w:r>
      <w:proofErr w:type="spellEnd"/>
      <w:r>
        <w:rPr>
          <w:rStyle w:val="q4iawc"/>
          <w:color w:val="000000"/>
        </w:rPr>
        <w:t xml:space="preserve">. </w:t>
      </w:r>
      <w:proofErr w:type="gramStart"/>
      <w:r>
        <w:rPr>
          <w:rStyle w:val="q4iawc"/>
          <w:color w:val="000000"/>
        </w:rPr>
        <w:t>head</w:t>
      </w:r>
      <w:proofErr w:type="gramEnd"/>
      <w:r>
        <w:rPr>
          <w:rStyle w:val="q4iawc"/>
          <w:color w:val="000000"/>
        </w:rPr>
        <w:t>; i.e. by 1.6</w:t>
      </w:r>
      <w:r>
        <w:rPr>
          <w:rStyle w:val="q4iawc"/>
        </w:rPr>
        <w:t>% less</w:t>
      </w:r>
      <w:r>
        <w:rPr>
          <w:rStyle w:val="q4iawc"/>
          <w:color w:val="000000"/>
        </w:rPr>
        <w:t xml:space="preserve">. A distinct increase was observed in the category fattening bulls: by 15.3% for those aged 1 to 2 years and by even 47.2% for those aged 2 years and over. This situation </w:t>
      </w:r>
      <w:r>
        <w:rPr>
          <w:rStyle w:val="q4iawc"/>
          <w:color w:val="000000"/>
        </w:rPr>
        <w:t>occurred due reduced marketing and, therefore, decreased slaughtering rates in this category of cattle.</w:t>
      </w:r>
    </w:p>
    <w:p w:rsidR="002B1060" w:rsidRDefault="002B1060">
      <w:pPr>
        <w:rPr>
          <w:color w:val="808080" w:themeColor="background1" w:themeShade="80"/>
        </w:rPr>
      </w:pPr>
    </w:p>
    <w:p w:rsidR="002B1060" w:rsidRDefault="008F7034">
      <w:pPr>
        <w:keepNext/>
        <w:keepLines/>
        <w:jc w:val="left"/>
        <w:outlineLvl w:val="0"/>
      </w:pPr>
      <w:proofErr w:type="spellStart"/>
      <w:r>
        <w:rPr>
          <w:rFonts w:eastAsia="Times New Roman"/>
          <w:b/>
          <w:bCs/>
          <w:szCs w:val="28"/>
        </w:rPr>
        <w:t>Pigmeat</w:t>
      </w:r>
      <w:proofErr w:type="spellEnd"/>
    </w:p>
    <w:p w:rsidR="002B1060" w:rsidRDefault="008F7034">
      <w:pPr>
        <w:rPr>
          <w:color w:val="808080" w:themeColor="background1" w:themeShade="80"/>
        </w:rPr>
      </w:pPr>
      <w:r>
        <w:rPr>
          <w:rStyle w:val="viiyi"/>
        </w:rPr>
        <w:t xml:space="preserve">The yearly </w:t>
      </w:r>
      <w:proofErr w:type="spellStart"/>
      <w:r>
        <w:rPr>
          <w:rStyle w:val="viiyi"/>
        </w:rPr>
        <w:t>pigmeat</w:t>
      </w:r>
      <w:proofErr w:type="spellEnd"/>
      <w:r>
        <w:rPr>
          <w:rStyle w:val="viiyi"/>
        </w:rPr>
        <w:t xml:space="preserve"> production reached 208 634 tonnes and was by 3.9% lower than in 2021. </w:t>
      </w:r>
      <w:r>
        <w:t>The number of slaughtered pigs from fattening went down by 4.7%. During the year, the decline deepened so that the production fell to 51 899 tonnes in Q4 2022 and, at the same time, the largest year-on-year downturn (</w:t>
      </w:r>
      <w:r>
        <w:rPr>
          <w:rStyle w:val="q4iawc"/>
        </w:rPr>
        <w:t>−</w:t>
      </w:r>
      <w:r>
        <w:t>7.5%) was recorded.</w:t>
      </w:r>
    </w:p>
    <w:p w:rsidR="002B1060" w:rsidRDefault="008F7034">
      <w:pPr>
        <w:rPr>
          <w:color w:val="808080" w:themeColor="background1" w:themeShade="80"/>
        </w:rPr>
      </w:pPr>
      <w:r>
        <w:rPr>
          <w:rStyle w:val="q4iawc"/>
        </w:rPr>
        <w:t>In 2022, exports o</w:t>
      </w:r>
      <w:r>
        <w:rPr>
          <w:rStyle w:val="q4iawc"/>
        </w:rPr>
        <w:t xml:space="preserve">f pigs intended for slaughter were distinctly reduced (to 201.0 </w:t>
      </w:r>
      <w:proofErr w:type="spellStart"/>
      <w:r>
        <w:rPr>
          <w:rStyle w:val="q4iawc"/>
        </w:rPr>
        <w:t>thous</w:t>
      </w:r>
      <w:proofErr w:type="spellEnd"/>
      <w:r>
        <w:rPr>
          <w:rStyle w:val="q4iawc"/>
        </w:rPr>
        <w:t xml:space="preserve">. head; </w:t>
      </w:r>
      <w:r>
        <w:rPr>
          <w:rStyle w:val="q4iawc"/>
          <w:sz w:val="18"/>
          <w:szCs w:val="18"/>
        </w:rPr>
        <w:t>−</w:t>
      </w:r>
      <w:r>
        <w:rPr>
          <w:rStyle w:val="q4iawc"/>
        </w:rPr>
        <w:t xml:space="preserve">19.4%). As their imports increased at the same time, the gross indigenous production of </w:t>
      </w:r>
      <w:proofErr w:type="spellStart"/>
      <w:r>
        <w:rPr>
          <w:rStyle w:val="q4iawc"/>
        </w:rPr>
        <w:t>pigmeat</w:t>
      </w:r>
      <w:proofErr w:type="spellEnd"/>
      <w:r>
        <w:rPr>
          <w:rStyle w:val="q4iawc"/>
        </w:rPr>
        <w:t xml:space="preserve"> fell to 234 625 tones (−5.6%).</w:t>
      </w:r>
    </w:p>
    <w:p w:rsidR="002B1060" w:rsidRDefault="008F7034">
      <w:pPr>
        <w:rPr>
          <w:color w:val="808080" w:themeColor="background1" w:themeShade="80"/>
        </w:rPr>
      </w:pPr>
      <w:r>
        <w:rPr>
          <w:rStyle w:val="q4iawc"/>
        </w:rPr>
        <w:t xml:space="preserve">The amount of </w:t>
      </w:r>
      <w:proofErr w:type="spellStart"/>
      <w:r>
        <w:rPr>
          <w:rStyle w:val="q4iawc"/>
        </w:rPr>
        <w:t>pigmeat</w:t>
      </w:r>
      <w:proofErr w:type="spellEnd"/>
      <w:r>
        <w:rPr>
          <w:rStyle w:val="q4iawc"/>
        </w:rPr>
        <w:t xml:space="preserve"> available for domestic consum</w:t>
      </w:r>
      <w:r>
        <w:rPr>
          <w:rStyle w:val="q4iawc"/>
        </w:rPr>
        <w:t>ption (471 248 tonnes) was negligibly lower, y-o-y (</w:t>
      </w:r>
      <w:r>
        <w:rPr>
          <w:rStyle w:val="q4iawc"/>
          <w:sz w:val="18"/>
          <w:szCs w:val="18"/>
        </w:rPr>
        <w:t>−</w:t>
      </w:r>
      <w:r>
        <w:rPr>
          <w:rStyle w:val="q4iawc"/>
        </w:rPr>
        <w:t>0.4%).</w:t>
      </w:r>
      <w:r>
        <w:rPr>
          <w:rStyle w:val="q4iawc"/>
          <w:color w:val="808080" w:themeColor="background1" w:themeShade="80"/>
        </w:rPr>
        <w:t xml:space="preserve"> </w:t>
      </w:r>
      <w:r>
        <w:rPr>
          <w:rStyle w:val="q4iawc"/>
        </w:rPr>
        <w:t>It was influenced by</w:t>
      </w:r>
      <w:r>
        <w:rPr>
          <w:rStyle w:val="viiyi"/>
        </w:rPr>
        <w:t xml:space="preserve"> h</w:t>
      </w:r>
      <w:r>
        <w:rPr>
          <w:rStyle w:val="q4iawc"/>
        </w:rPr>
        <w:t xml:space="preserve">igher imports (289 647 tonnes; +2.6%) and almost unchanged exports (35 144 tonnes; </w:t>
      </w:r>
      <w:r>
        <w:rPr>
          <w:rStyle w:val="q4iawc"/>
          <w:szCs w:val="20"/>
        </w:rPr>
        <w:t>+0</w:t>
      </w:r>
      <w:r>
        <w:rPr>
          <w:rStyle w:val="q4iawc"/>
        </w:rPr>
        <w:t xml:space="preserve">.4%) of </w:t>
      </w:r>
      <w:proofErr w:type="spellStart"/>
      <w:r>
        <w:rPr>
          <w:rStyle w:val="q4iawc"/>
        </w:rPr>
        <w:t>pigmeat</w:t>
      </w:r>
      <w:proofErr w:type="spellEnd"/>
      <w:r>
        <w:rPr>
          <w:rStyle w:val="q4iawc"/>
        </w:rPr>
        <w:t>.</w:t>
      </w:r>
    </w:p>
    <w:p w:rsidR="002B1060" w:rsidRDefault="002B1060">
      <w:pPr>
        <w:rPr>
          <w:rStyle w:val="q4iawc"/>
          <w:color w:val="808080" w:themeColor="background1" w:themeShade="80"/>
          <w:shd w:val="clear" w:color="auto" w:fill="FFFF00"/>
        </w:rPr>
      </w:pPr>
    </w:p>
    <w:p w:rsidR="002B1060" w:rsidRDefault="008F7034">
      <w:pPr>
        <w:keepNext/>
        <w:keepLines/>
        <w:jc w:val="left"/>
        <w:outlineLvl w:val="0"/>
        <w:rPr>
          <w:color w:val="000000"/>
        </w:rPr>
      </w:pPr>
      <w:r>
        <w:rPr>
          <w:rFonts w:eastAsia="Times New Roman"/>
          <w:b/>
          <w:bCs/>
          <w:color w:val="000000"/>
          <w:szCs w:val="28"/>
        </w:rPr>
        <w:t xml:space="preserve">Table 2: Decomposition of </w:t>
      </w:r>
      <w:proofErr w:type="spellStart"/>
      <w:r>
        <w:rPr>
          <w:rFonts w:eastAsia="Times New Roman"/>
          <w:b/>
          <w:bCs/>
          <w:color w:val="000000"/>
          <w:szCs w:val="28"/>
        </w:rPr>
        <w:t>pigmeat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production in 2022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276"/>
        <w:gridCol w:w="1276"/>
        <w:gridCol w:w="992"/>
        <w:gridCol w:w="992"/>
      </w:tblGrid>
      <w:tr w:rsidR="002B1060" w:rsidTr="006D4F4E">
        <w:trPr>
          <w:trHeight w:val="275"/>
        </w:trPr>
        <w:tc>
          <w:tcPr>
            <w:tcW w:w="297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Row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Number of </w:t>
            </w:r>
            <w:r>
              <w:rPr>
                <w:b/>
                <w:sz w:val="16"/>
                <w:szCs w:val="16"/>
              </w:rPr>
              <w:t>animals (head)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Live weight</w:t>
            </w:r>
          </w:p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(tonnes)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Carcass weight / meat </w:t>
            </w:r>
          </w:p>
        </w:tc>
      </w:tr>
      <w:tr w:rsidR="002B1060" w:rsidTr="006D4F4E">
        <w:trPr>
          <w:trHeight w:val="275"/>
        </w:trPr>
        <w:tc>
          <w:tcPr>
            <w:tcW w:w="297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tonnes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y-o-y change</w:t>
            </w:r>
          </w:p>
        </w:tc>
      </w:tr>
      <w:tr w:rsidR="002B1060" w:rsidTr="006D4F4E">
        <w:trPr>
          <w:trHeight w:val="283"/>
        </w:trPr>
        <w:tc>
          <w:tcPr>
            <w:tcW w:w="2972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Slaughtering in slaughterhouses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spacing w:line="240" w:lineRule="auto"/>
              <w:ind w:right="177" w:firstLine="160"/>
              <w:jc w:val="right"/>
              <w:rPr>
                <w:rFonts w:cs="Arial"/>
                <w:sz w:val="16"/>
                <w:szCs w:val="16"/>
                <w:lang w:val="cs-CZ" w:eastAsia="cs-CZ"/>
              </w:rPr>
            </w:pPr>
            <w:r>
              <w:rPr>
                <w:rFonts w:cs="Arial"/>
                <w:sz w:val="16"/>
                <w:szCs w:val="16"/>
              </w:rPr>
              <w:t>2 245 540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ind w:right="31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273 456</w:t>
            </w:r>
          </w:p>
        </w:tc>
        <w:tc>
          <w:tcPr>
            <w:tcW w:w="992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208 634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28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-3.9%</w:t>
            </w:r>
          </w:p>
        </w:tc>
      </w:tr>
      <w:tr w:rsidR="002B1060" w:rsidTr="006D4F4E">
        <w:trPr>
          <w:trHeight w:val="283"/>
        </w:trPr>
        <w:tc>
          <w:tcPr>
            <w:tcW w:w="2972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Slaughtering out of slaughterhouses</w:t>
            </w:r>
          </w:p>
        </w:tc>
        <w:tc>
          <w:tcPr>
            <w:tcW w:w="992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17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85 500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31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10 575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8 111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28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-8.5%</w:t>
            </w:r>
          </w:p>
        </w:tc>
      </w:tr>
      <w:tr w:rsidR="002B1060" w:rsidTr="006D4F4E">
        <w:trPr>
          <w:trHeight w:val="283"/>
        </w:trPr>
        <w:tc>
          <w:tcPr>
            <w:tcW w:w="2972" w:type="dxa"/>
            <w:vAlign w:val="center"/>
          </w:tcPr>
          <w:p w:rsidR="002B1060" w:rsidRDefault="008F7034">
            <w:pPr>
              <w:widowControl w:val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Usable Production</w:t>
            </w:r>
          </w:p>
        </w:tc>
        <w:tc>
          <w:tcPr>
            <w:tcW w:w="992" w:type="dxa"/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177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2 331 040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317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284 031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216 745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28"/>
              <w:jc w:val="right"/>
              <w:rPr>
                <w:lang w:val="cs-CZ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-4.0%</w:t>
            </w:r>
          </w:p>
        </w:tc>
      </w:tr>
      <w:tr w:rsidR="002B1060" w:rsidTr="006D4F4E">
        <w:trPr>
          <w:trHeight w:val="283"/>
        </w:trPr>
        <w:tc>
          <w:tcPr>
            <w:tcW w:w="2972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Exports of animals for slaughter</w:t>
            </w:r>
          </w:p>
        </w:tc>
        <w:tc>
          <w:tcPr>
            <w:tcW w:w="992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17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200 999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31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24 476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18 816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28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-18.1%</w:t>
            </w:r>
          </w:p>
        </w:tc>
      </w:tr>
      <w:tr w:rsidR="002B1060" w:rsidTr="006D4F4E">
        <w:trPr>
          <w:trHeight w:val="283"/>
        </w:trPr>
        <w:tc>
          <w:tcPr>
            <w:tcW w:w="2972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Imports of animals for slaughter</w:t>
            </w:r>
          </w:p>
        </w:tc>
        <w:tc>
          <w:tcPr>
            <w:tcW w:w="992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17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9 627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31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1 238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936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28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+442.3%</w:t>
            </w:r>
          </w:p>
        </w:tc>
      </w:tr>
      <w:tr w:rsidR="002B1060" w:rsidTr="006D4F4E">
        <w:trPr>
          <w:trHeight w:val="283"/>
        </w:trPr>
        <w:tc>
          <w:tcPr>
            <w:tcW w:w="2972" w:type="dxa"/>
            <w:vAlign w:val="center"/>
          </w:tcPr>
          <w:p w:rsidR="002B1060" w:rsidRDefault="008F7034">
            <w:pPr>
              <w:widowControl w:val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Gross indigenous production</w:t>
            </w:r>
          </w:p>
        </w:tc>
        <w:tc>
          <w:tcPr>
            <w:tcW w:w="992" w:type="dxa"/>
            <w:vAlign w:val="center"/>
          </w:tcPr>
          <w:p w:rsidR="002B1060" w:rsidRDefault="008F7034">
            <w:pPr>
              <w:widowControl w:val="0"/>
              <w:ind w:left="-67" w:right="-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177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2 522 412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317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307 269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234 625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28"/>
              <w:jc w:val="right"/>
              <w:rPr>
                <w:lang w:val="cs-CZ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-5.6%</w:t>
            </w:r>
          </w:p>
        </w:tc>
      </w:tr>
      <w:tr w:rsidR="002B1060" w:rsidTr="006D4F4E">
        <w:trPr>
          <w:trHeight w:val="283"/>
        </w:trPr>
        <w:tc>
          <w:tcPr>
            <w:tcW w:w="2972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Exports of meat</w:t>
            </w:r>
          </w:p>
        </w:tc>
        <w:tc>
          <w:tcPr>
            <w:tcW w:w="992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17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31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35 144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28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+0.4%</w:t>
            </w:r>
          </w:p>
        </w:tc>
      </w:tr>
      <w:tr w:rsidR="002B1060" w:rsidTr="006D4F4E">
        <w:trPr>
          <w:trHeight w:val="283"/>
        </w:trPr>
        <w:tc>
          <w:tcPr>
            <w:tcW w:w="2972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Imports of meat</w:t>
            </w:r>
          </w:p>
        </w:tc>
        <w:tc>
          <w:tcPr>
            <w:tcW w:w="992" w:type="dxa"/>
            <w:vAlign w:val="center"/>
          </w:tcPr>
          <w:p w:rsidR="002B1060" w:rsidRDefault="008F70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17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B1060" w:rsidRDefault="008F7034">
            <w:pPr>
              <w:widowControl w:val="0"/>
              <w:ind w:right="317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289 647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28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+2.6%</w:t>
            </w:r>
          </w:p>
        </w:tc>
      </w:tr>
      <w:tr w:rsidR="002B1060" w:rsidTr="006D4F4E">
        <w:trPr>
          <w:trHeight w:val="283"/>
        </w:trPr>
        <w:tc>
          <w:tcPr>
            <w:tcW w:w="2972" w:type="dxa"/>
            <w:tcBorders>
              <w:bottom w:val="single" w:sz="4" w:space="0" w:color="000000"/>
            </w:tcBorders>
            <w:vAlign w:val="center"/>
          </w:tcPr>
          <w:p w:rsidR="002B1060" w:rsidRDefault="008F7034">
            <w:pPr>
              <w:widowControl w:val="0"/>
              <w:ind w:left="2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Calculated consumption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B1060" w:rsidRDefault="008F7034">
            <w:pPr>
              <w:widowControl w:val="0"/>
              <w:ind w:left="-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B1060" w:rsidRDefault="008F7034">
            <w:pPr>
              <w:widowControl w:val="0"/>
              <w:ind w:right="177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B1060" w:rsidRDefault="008F7034">
            <w:pPr>
              <w:widowControl w:val="0"/>
              <w:ind w:right="317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471 248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1060" w:rsidRDefault="008F7034">
            <w:pPr>
              <w:widowControl w:val="0"/>
              <w:ind w:right="128"/>
              <w:jc w:val="right"/>
              <w:rPr>
                <w:lang w:val="cs-CZ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-0.4%</w:t>
            </w:r>
          </w:p>
        </w:tc>
      </w:tr>
    </w:tbl>
    <w:p w:rsidR="002B1060" w:rsidRDefault="002B1060">
      <w:pPr>
        <w:rPr>
          <w:color w:val="000000"/>
        </w:rPr>
      </w:pPr>
    </w:p>
    <w:p w:rsidR="002B1060" w:rsidRDefault="008F7034">
      <w:r>
        <w:rPr>
          <w:rStyle w:val="q4iawc"/>
        </w:rPr>
        <w:t>The year 2022 was characterized by a distinct decrease in the number of farmed pigs. As at 31</w:t>
      </w:r>
      <w:r>
        <w:rPr>
          <w:rStyle w:val="q4iawc"/>
          <w:vertAlign w:val="superscript"/>
        </w:rPr>
        <w:t>st</w:t>
      </w:r>
      <w:r w:rsidR="006D4F4E">
        <w:rPr>
          <w:rStyle w:val="q4iawc"/>
        </w:rPr>
        <w:t> </w:t>
      </w:r>
      <w:r>
        <w:rPr>
          <w:rStyle w:val="q4iawc"/>
        </w:rPr>
        <w:t xml:space="preserve">December 2022, they accounted for 1 328.8 </w:t>
      </w:r>
      <w:proofErr w:type="spellStart"/>
      <w:r>
        <w:rPr>
          <w:rStyle w:val="q4iawc"/>
        </w:rPr>
        <w:t>thous</w:t>
      </w:r>
      <w:proofErr w:type="spellEnd"/>
      <w:r>
        <w:rPr>
          <w:rStyle w:val="q4iawc"/>
        </w:rPr>
        <w:t xml:space="preserve"> head, i.e. by 11.0% less, y-o-y. The number of sows (76.6 </w:t>
      </w:r>
      <w:proofErr w:type="spellStart"/>
      <w:r>
        <w:rPr>
          <w:rStyle w:val="q4iawc"/>
        </w:rPr>
        <w:t>thous</w:t>
      </w:r>
      <w:proofErr w:type="spellEnd"/>
      <w:r>
        <w:rPr>
          <w:rStyle w:val="q4iawc"/>
        </w:rPr>
        <w:t xml:space="preserve">. head; </w:t>
      </w:r>
      <w:r>
        <w:rPr>
          <w:rStyle w:val="q4iawc"/>
          <w:color w:val="000000"/>
          <w:sz w:val="18"/>
          <w:szCs w:val="18"/>
        </w:rPr>
        <w:t>−</w:t>
      </w:r>
      <w:r>
        <w:rPr>
          <w:rStyle w:val="q4iawc"/>
          <w:color w:val="000000"/>
          <w:szCs w:val="20"/>
        </w:rPr>
        <w:t xml:space="preserve">11.8%) and fattening pigs (500.2 </w:t>
      </w:r>
      <w:proofErr w:type="spellStart"/>
      <w:r>
        <w:rPr>
          <w:rStyle w:val="q4iawc"/>
          <w:color w:val="000000"/>
          <w:szCs w:val="20"/>
        </w:rPr>
        <w:t>thous</w:t>
      </w:r>
      <w:proofErr w:type="spellEnd"/>
      <w:r>
        <w:rPr>
          <w:rStyle w:val="q4iawc"/>
          <w:color w:val="000000"/>
          <w:szCs w:val="20"/>
        </w:rPr>
        <w:t xml:space="preserve">. head; </w:t>
      </w:r>
      <w:r>
        <w:rPr>
          <w:rStyle w:val="q4iawc"/>
          <w:color w:val="000000"/>
          <w:sz w:val="18"/>
          <w:szCs w:val="18"/>
        </w:rPr>
        <w:t>−</w:t>
      </w:r>
      <w:r>
        <w:rPr>
          <w:rStyle w:val="q4iawc"/>
          <w:color w:val="000000"/>
          <w:szCs w:val="20"/>
        </w:rPr>
        <w:t xml:space="preserve">11.9%) dropped as well. A slight recovery of the pig population can be anticipated from </w:t>
      </w:r>
      <w:r>
        <w:rPr>
          <w:rStyle w:val="q4iawc"/>
          <w:color w:val="000000"/>
          <w:szCs w:val="20"/>
        </w:rPr>
        <w:t>the number of covered gilts, which reached the level similar to the preceding year (+0.7%).</w:t>
      </w:r>
    </w:p>
    <w:p w:rsidR="002B1060" w:rsidRDefault="002B1060">
      <w:pPr>
        <w:rPr>
          <w:rStyle w:val="q4iawc"/>
        </w:rPr>
      </w:pPr>
    </w:p>
    <w:p w:rsidR="002B1060" w:rsidRDefault="008F7034">
      <w:pPr>
        <w:keepNext/>
        <w:keepLines/>
        <w:jc w:val="left"/>
        <w:outlineLvl w:val="0"/>
        <w:rPr>
          <w:rFonts w:eastAsia="Times New Roman"/>
          <w:b/>
          <w:bCs/>
          <w:szCs w:val="28"/>
        </w:rPr>
      </w:pPr>
      <w:proofErr w:type="spellStart"/>
      <w:r>
        <w:rPr>
          <w:rFonts w:eastAsia="Times New Roman"/>
          <w:b/>
          <w:bCs/>
          <w:szCs w:val="28"/>
        </w:rPr>
        <w:t>Poultrymeat</w:t>
      </w:r>
      <w:proofErr w:type="spellEnd"/>
    </w:p>
    <w:p w:rsidR="002B1060" w:rsidRDefault="008F7034">
      <w:r>
        <w:rPr>
          <w:rStyle w:val="q4iawc"/>
        </w:rPr>
        <w:t xml:space="preserve">In total 261 527 tonnes of poultry were delivered to the slaughterhouses in 2022, which represents the production of 169 964 tonnes of </w:t>
      </w:r>
      <w:proofErr w:type="spellStart"/>
      <w:r>
        <w:rPr>
          <w:rStyle w:val="q4iawc"/>
        </w:rPr>
        <w:t>poultrymeat</w:t>
      </w:r>
      <w:proofErr w:type="spellEnd"/>
      <w:r>
        <w:rPr>
          <w:rStyle w:val="q4iawc"/>
        </w:rPr>
        <w:t xml:space="preserve">, i.e. 4.1% less, y-o-y. </w:t>
      </w:r>
    </w:p>
    <w:p w:rsidR="002B1060" w:rsidRDefault="008F7034">
      <w:pPr>
        <w:rPr>
          <w:color w:val="808080" w:themeColor="background1" w:themeShade="80"/>
        </w:rPr>
      </w:pPr>
      <w:r>
        <w:rPr>
          <w:rStyle w:val="q4iawc"/>
        </w:rPr>
        <w:t>Exports of animals intended to slaughter increased, y-o-y, to 2</w:t>
      </w:r>
      <w:r>
        <w:t xml:space="preserve">6 232 </w:t>
      </w:r>
      <w:r>
        <w:rPr>
          <w:rStyle w:val="q4iawc"/>
        </w:rPr>
        <w:t>tonnes of carca</w:t>
      </w:r>
      <w:r>
        <w:rPr>
          <w:rStyle w:val="q4iawc"/>
        </w:rPr>
        <w:t xml:space="preserve">ss weight (+26.3%); therefore, the gross indigenous production of </w:t>
      </w:r>
      <w:proofErr w:type="spellStart"/>
      <w:r>
        <w:rPr>
          <w:rStyle w:val="q4iawc"/>
        </w:rPr>
        <w:t>poultrymeat</w:t>
      </w:r>
      <w:proofErr w:type="spellEnd"/>
      <w:r>
        <w:rPr>
          <w:rStyle w:val="q4iawc"/>
        </w:rPr>
        <w:t xml:space="preserve"> declined only by 0.8% to 200 858 tonnes.</w:t>
      </w:r>
    </w:p>
    <w:p w:rsidR="002B1060" w:rsidRDefault="002B1060">
      <w:pPr>
        <w:rPr>
          <w:color w:val="000000"/>
          <w:shd w:val="clear" w:color="auto" w:fill="FFFF00"/>
        </w:rPr>
      </w:pPr>
    </w:p>
    <w:p w:rsidR="002B1060" w:rsidRDefault="008F7034">
      <w:r>
        <w:rPr>
          <w:rStyle w:val="q4iawc"/>
        </w:rPr>
        <w:lastRenderedPageBreak/>
        <w:t>In total 106</w:t>
      </w:r>
      <w:r>
        <w:t xml:space="preserve"> 799 </w:t>
      </w:r>
      <w:r>
        <w:rPr>
          <w:rStyle w:val="q4iawc"/>
        </w:rPr>
        <w:t xml:space="preserve">tonnes (+2.8%) of </w:t>
      </w:r>
      <w:proofErr w:type="spellStart"/>
      <w:r>
        <w:rPr>
          <w:rStyle w:val="q4iawc"/>
        </w:rPr>
        <w:t>poultrymeat</w:t>
      </w:r>
      <w:proofErr w:type="spellEnd"/>
      <w:r>
        <w:rPr>
          <w:rStyle w:val="q4iawc"/>
        </w:rPr>
        <w:t xml:space="preserve"> were imported and its exports increased significantly (25 512 tonnes; +31.9%). Thus, 255</w:t>
      </w:r>
      <w:r>
        <w:t> </w:t>
      </w:r>
      <w:r>
        <w:t xml:space="preserve">913 </w:t>
      </w:r>
      <w:r>
        <w:rPr>
          <w:rStyle w:val="q4iawc"/>
        </w:rPr>
        <w:t xml:space="preserve">tonnes of </w:t>
      </w:r>
      <w:proofErr w:type="spellStart"/>
      <w:r>
        <w:rPr>
          <w:rStyle w:val="q4iawc"/>
        </w:rPr>
        <w:t>poultrymeat</w:t>
      </w:r>
      <w:proofErr w:type="spellEnd"/>
      <w:r>
        <w:rPr>
          <w:rStyle w:val="q4iawc"/>
        </w:rPr>
        <w:t xml:space="preserve"> (</w:t>
      </w:r>
      <w:r>
        <w:rPr>
          <w:rStyle w:val="q4iawc"/>
          <w:sz w:val="18"/>
        </w:rPr>
        <w:t>−</w:t>
      </w:r>
      <w:r>
        <w:rPr>
          <w:rStyle w:val="q4iawc"/>
          <w:szCs w:val="20"/>
        </w:rPr>
        <w:t>3</w:t>
      </w:r>
      <w:r>
        <w:rPr>
          <w:rStyle w:val="q4iawc"/>
        </w:rPr>
        <w:t>.9%) intended for domestic consumption remained in the Czech Republic.</w:t>
      </w:r>
      <w:r>
        <w:t xml:space="preserve"> </w:t>
      </w:r>
    </w:p>
    <w:p w:rsidR="002B1060" w:rsidRDefault="002B1060">
      <w:pPr>
        <w:rPr>
          <w:color w:val="808080" w:themeColor="background1" w:themeShade="80"/>
        </w:rPr>
      </w:pPr>
    </w:p>
    <w:p w:rsidR="002B1060" w:rsidRDefault="008F7034">
      <w:pPr>
        <w:keepNext/>
        <w:keepLines/>
        <w:jc w:val="left"/>
        <w:outlineLvl w:val="0"/>
        <w:rPr>
          <w:color w:val="000000"/>
        </w:rPr>
      </w:pPr>
      <w:r>
        <w:rPr>
          <w:rFonts w:eastAsia="Times New Roman"/>
          <w:b/>
          <w:bCs/>
          <w:color w:val="000000"/>
          <w:szCs w:val="28"/>
        </w:rPr>
        <w:t xml:space="preserve">Table 3: Decomposition of </w:t>
      </w:r>
      <w:proofErr w:type="spellStart"/>
      <w:r>
        <w:rPr>
          <w:rFonts w:eastAsia="Times New Roman"/>
          <w:b/>
          <w:bCs/>
          <w:color w:val="000000"/>
          <w:szCs w:val="28"/>
        </w:rPr>
        <w:t>poultrymeat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production in 2022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944"/>
        <w:gridCol w:w="1014"/>
        <w:gridCol w:w="1362"/>
        <w:gridCol w:w="1192"/>
        <w:gridCol w:w="1135"/>
        <w:gridCol w:w="853"/>
      </w:tblGrid>
      <w:tr w:rsidR="002B1060" w:rsidTr="006D4F4E">
        <w:trPr>
          <w:trHeight w:val="275"/>
        </w:trPr>
        <w:tc>
          <w:tcPr>
            <w:tcW w:w="294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Row</w:t>
            </w:r>
          </w:p>
        </w:tc>
        <w:tc>
          <w:tcPr>
            <w:tcW w:w="136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Number of animals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thous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head)</w:t>
            </w:r>
          </w:p>
        </w:tc>
        <w:tc>
          <w:tcPr>
            <w:tcW w:w="119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Live weight</w:t>
            </w:r>
          </w:p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(tonnes)</w:t>
            </w:r>
          </w:p>
        </w:tc>
        <w:tc>
          <w:tcPr>
            <w:tcW w:w="1988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Carcass weight / meat </w:t>
            </w:r>
          </w:p>
        </w:tc>
      </w:tr>
      <w:tr w:rsidR="002B1060" w:rsidTr="006D4F4E">
        <w:trPr>
          <w:trHeight w:val="275"/>
        </w:trPr>
        <w:tc>
          <w:tcPr>
            <w:tcW w:w="2943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2B1060" w:rsidRDefault="002B106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tonnes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y-o-y change</w:t>
            </w:r>
          </w:p>
        </w:tc>
      </w:tr>
      <w:tr w:rsidR="002B1060">
        <w:trPr>
          <w:trHeight w:val="283"/>
        </w:trPr>
        <w:tc>
          <w:tcPr>
            <w:tcW w:w="2943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Slaughtering in slaughterhouses</w:t>
            </w:r>
          </w:p>
        </w:tc>
        <w:tc>
          <w:tcPr>
            <w:tcW w:w="1014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62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spacing w:line="240" w:lineRule="auto"/>
              <w:ind w:right="4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</w:rPr>
              <w:t>122 195</w:t>
            </w:r>
          </w:p>
        </w:tc>
        <w:tc>
          <w:tcPr>
            <w:tcW w:w="1192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ind w:right="234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261 527</w:t>
            </w:r>
          </w:p>
        </w:tc>
        <w:tc>
          <w:tcPr>
            <w:tcW w:w="1135" w:type="dxa"/>
            <w:tcBorders>
              <w:top w:val="single" w:sz="12" w:space="0" w:color="000000"/>
            </w:tcBorders>
            <w:vAlign w:val="center"/>
          </w:tcPr>
          <w:p w:rsidR="002B1060" w:rsidRDefault="008F7034">
            <w:pPr>
              <w:widowControl w:val="0"/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169 964</w:t>
            </w:r>
          </w:p>
        </w:tc>
        <w:tc>
          <w:tcPr>
            <w:tcW w:w="853" w:type="dxa"/>
            <w:tcBorders>
              <w:top w:val="single" w:sz="12" w:space="0" w:color="000000"/>
            </w:tcBorders>
            <w:vAlign w:val="center"/>
          </w:tcPr>
          <w:p w:rsidR="002B1060" w:rsidRDefault="008F7034" w:rsidP="00AC1BA8">
            <w:pPr>
              <w:widowControl w:val="0"/>
              <w:ind w:right="33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-4.1%</w:t>
            </w:r>
          </w:p>
        </w:tc>
      </w:tr>
      <w:tr w:rsidR="002B1060">
        <w:trPr>
          <w:trHeight w:val="283"/>
        </w:trPr>
        <w:tc>
          <w:tcPr>
            <w:tcW w:w="2943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Slaughtering out of slaughterhouses</w:t>
            </w:r>
          </w:p>
        </w:tc>
        <w:tc>
          <w:tcPr>
            <w:tcW w:w="1014" w:type="dxa"/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362" w:type="dxa"/>
            <w:vAlign w:val="center"/>
          </w:tcPr>
          <w:p w:rsidR="002B1060" w:rsidRDefault="008F7034">
            <w:pPr>
              <w:widowControl w:val="0"/>
              <w:ind w:right="4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2 710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4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7 050</w:t>
            </w:r>
          </w:p>
        </w:tc>
        <w:tc>
          <w:tcPr>
            <w:tcW w:w="1135" w:type="dxa"/>
            <w:vAlign w:val="center"/>
          </w:tcPr>
          <w:p w:rsidR="002B1060" w:rsidRDefault="008F7034">
            <w:pPr>
              <w:widowControl w:val="0"/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4 663</w:t>
            </w:r>
          </w:p>
        </w:tc>
        <w:tc>
          <w:tcPr>
            <w:tcW w:w="853" w:type="dxa"/>
            <w:vAlign w:val="center"/>
          </w:tcPr>
          <w:p w:rsidR="002B1060" w:rsidRDefault="008F7034" w:rsidP="00AC1BA8">
            <w:pPr>
              <w:widowControl w:val="0"/>
              <w:ind w:right="33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-1.4%</w:t>
            </w:r>
          </w:p>
        </w:tc>
      </w:tr>
      <w:tr w:rsidR="002B1060">
        <w:trPr>
          <w:trHeight w:val="283"/>
        </w:trPr>
        <w:tc>
          <w:tcPr>
            <w:tcW w:w="2943" w:type="dxa"/>
            <w:vAlign w:val="center"/>
          </w:tcPr>
          <w:p w:rsidR="002B1060" w:rsidRDefault="008F7034">
            <w:pPr>
              <w:widowControl w:val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Usable Production</w:t>
            </w:r>
          </w:p>
        </w:tc>
        <w:tc>
          <w:tcPr>
            <w:tcW w:w="1014" w:type="dxa"/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4"/>
                <w:szCs w:val="14"/>
              </w:rPr>
              <w:t>03=01+02</w:t>
            </w:r>
          </w:p>
        </w:tc>
        <w:tc>
          <w:tcPr>
            <w:tcW w:w="1362" w:type="dxa"/>
            <w:vAlign w:val="center"/>
          </w:tcPr>
          <w:p w:rsidR="002B1060" w:rsidRDefault="008F7034">
            <w:pPr>
              <w:widowControl w:val="0"/>
              <w:ind w:right="4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124 905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4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268 577</w:t>
            </w:r>
          </w:p>
        </w:tc>
        <w:tc>
          <w:tcPr>
            <w:tcW w:w="1135" w:type="dxa"/>
            <w:vAlign w:val="center"/>
          </w:tcPr>
          <w:p w:rsidR="002B1060" w:rsidRDefault="008F7034">
            <w:pPr>
              <w:widowControl w:val="0"/>
              <w:ind w:right="163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cs-CZ"/>
              </w:rPr>
              <w:t>174 626</w:t>
            </w:r>
          </w:p>
        </w:tc>
        <w:tc>
          <w:tcPr>
            <w:tcW w:w="853" w:type="dxa"/>
            <w:vAlign w:val="center"/>
          </w:tcPr>
          <w:p w:rsidR="002B1060" w:rsidRDefault="008F7034" w:rsidP="00AC1BA8">
            <w:pPr>
              <w:widowControl w:val="0"/>
              <w:ind w:right="33"/>
              <w:jc w:val="right"/>
              <w:rPr>
                <w:lang w:val="cs-CZ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-4.0%</w:t>
            </w:r>
          </w:p>
        </w:tc>
      </w:tr>
      <w:tr w:rsidR="002B1060">
        <w:trPr>
          <w:trHeight w:val="283"/>
        </w:trPr>
        <w:tc>
          <w:tcPr>
            <w:tcW w:w="2943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Exports of animals for slaughter</w:t>
            </w:r>
          </w:p>
        </w:tc>
        <w:tc>
          <w:tcPr>
            <w:tcW w:w="1014" w:type="dxa"/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362" w:type="dxa"/>
            <w:vAlign w:val="center"/>
          </w:tcPr>
          <w:p w:rsidR="002B1060" w:rsidRDefault="008F7034">
            <w:pPr>
              <w:widowControl w:val="0"/>
              <w:ind w:right="4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12 333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4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39 101</w:t>
            </w:r>
          </w:p>
        </w:tc>
        <w:tc>
          <w:tcPr>
            <w:tcW w:w="1135" w:type="dxa"/>
            <w:vAlign w:val="center"/>
          </w:tcPr>
          <w:p w:rsidR="002B1060" w:rsidRDefault="008F7034">
            <w:pPr>
              <w:widowControl w:val="0"/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 xml:space="preserve">26 </w:t>
            </w:r>
            <w:r>
              <w:rPr>
                <w:rFonts w:cs="Arial"/>
                <w:sz w:val="16"/>
                <w:szCs w:val="16"/>
                <w:lang w:val="cs-CZ"/>
              </w:rPr>
              <w:t>232</w:t>
            </w:r>
          </w:p>
        </w:tc>
        <w:tc>
          <w:tcPr>
            <w:tcW w:w="853" w:type="dxa"/>
            <w:vAlign w:val="center"/>
          </w:tcPr>
          <w:p w:rsidR="002B1060" w:rsidRDefault="00AC1BA8" w:rsidP="00AC1BA8">
            <w:pPr>
              <w:widowControl w:val="0"/>
              <w:ind w:right="33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+</w:t>
            </w:r>
            <w:r w:rsidR="008F7034">
              <w:rPr>
                <w:rFonts w:cs="Arial"/>
                <w:sz w:val="16"/>
                <w:szCs w:val="16"/>
                <w:lang w:val="cs-CZ"/>
              </w:rPr>
              <w:t>26.3%</w:t>
            </w:r>
          </w:p>
        </w:tc>
      </w:tr>
      <w:tr w:rsidR="002B1060">
        <w:trPr>
          <w:trHeight w:val="283"/>
        </w:trPr>
        <w:tc>
          <w:tcPr>
            <w:tcW w:w="2943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Imports of animals for slaughter</w:t>
            </w:r>
          </w:p>
        </w:tc>
        <w:tc>
          <w:tcPr>
            <w:tcW w:w="1014" w:type="dxa"/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62" w:type="dxa"/>
            <w:vAlign w:val="center"/>
          </w:tcPr>
          <w:p w:rsidR="002B1060" w:rsidRDefault="008F7034">
            <w:pPr>
              <w:widowControl w:val="0"/>
              <w:ind w:right="4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4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2B1060" w:rsidRDefault="008F7034">
            <w:pPr>
              <w:widowControl w:val="0"/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853" w:type="dxa"/>
            <w:vAlign w:val="center"/>
          </w:tcPr>
          <w:p w:rsidR="002B1060" w:rsidRDefault="008F7034" w:rsidP="00AC1BA8">
            <w:pPr>
              <w:widowControl w:val="0"/>
              <w:ind w:right="33"/>
              <w:jc w:val="right"/>
              <w:rPr>
                <w:lang w:val="cs-CZ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-</w:t>
            </w:r>
          </w:p>
        </w:tc>
      </w:tr>
      <w:tr w:rsidR="002B1060">
        <w:trPr>
          <w:trHeight w:val="283"/>
        </w:trPr>
        <w:tc>
          <w:tcPr>
            <w:tcW w:w="2943" w:type="dxa"/>
            <w:vAlign w:val="center"/>
          </w:tcPr>
          <w:p w:rsidR="002B1060" w:rsidRDefault="008F7034">
            <w:pPr>
              <w:widowControl w:val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Gross indigenous production</w:t>
            </w:r>
          </w:p>
        </w:tc>
        <w:tc>
          <w:tcPr>
            <w:tcW w:w="1014" w:type="dxa"/>
            <w:vAlign w:val="center"/>
          </w:tcPr>
          <w:p w:rsidR="002B1060" w:rsidRDefault="008F7034">
            <w:pPr>
              <w:widowControl w:val="0"/>
              <w:ind w:left="-67" w:right="-6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4"/>
                <w:szCs w:val="14"/>
              </w:rPr>
              <w:t>06=03+04-05</w:t>
            </w:r>
          </w:p>
        </w:tc>
        <w:tc>
          <w:tcPr>
            <w:tcW w:w="1362" w:type="dxa"/>
            <w:vAlign w:val="center"/>
          </w:tcPr>
          <w:p w:rsidR="002B1060" w:rsidRDefault="008F7034">
            <w:pPr>
              <w:widowControl w:val="0"/>
              <w:ind w:right="4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137 238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4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307 678</w:t>
            </w:r>
          </w:p>
        </w:tc>
        <w:tc>
          <w:tcPr>
            <w:tcW w:w="1135" w:type="dxa"/>
            <w:vAlign w:val="center"/>
          </w:tcPr>
          <w:p w:rsidR="002B1060" w:rsidRDefault="008F7034">
            <w:pPr>
              <w:widowControl w:val="0"/>
              <w:ind w:right="163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cs-CZ"/>
              </w:rPr>
              <w:t>200 858</w:t>
            </w:r>
          </w:p>
        </w:tc>
        <w:tc>
          <w:tcPr>
            <w:tcW w:w="853" w:type="dxa"/>
            <w:vAlign w:val="center"/>
          </w:tcPr>
          <w:p w:rsidR="002B1060" w:rsidRDefault="008F7034" w:rsidP="00AC1BA8">
            <w:pPr>
              <w:widowControl w:val="0"/>
              <w:ind w:right="33"/>
              <w:jc w:val="right"/>
              <w:rPr>
                <w:lang w:val="cs-CZ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-0.8%</w:t>
            </w:r>
          </w:p>
        </w:tc>
      </w:tr>
      <w:tr w:rsidR="002B1060">
        <w:trPr>
          <w:trHeight w:val="283"/>
        </w:trPr>
        <w:tc>
          <w:tcPr>
            <w:tcW w:w="2943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Exports of meat</w:t>
            </w:r>
          </w:p>
        </w:tc>
        <w:tc>
          <w:tcPr>
            <w:tcW w:w="1014" w:type="dxa"/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1362" w:type="dxa"/>
            <w:vAlign w:val="center"/>
          </w:tcPr>
          <w:p w:rsidR="002B1060" w:rsidRDefault="008F7034">
            <w:pPr>
              <w:widowControl w:val="0"/>
              <w:ind w:right="4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4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5" w:type="dxa"/>
            <w:vAlign w:val="center"/>
          </w:tcPr>
          <w:p w:rsidR="002B1060" w:rsidRDefault="008F7034">
            <w:pPr>
              <w:widowControl w:val="0"/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25 512</w:t>
            </w:r>
          </w:p>
        </w:tc>
        <w:tc>
          <w:tcPr>
            <w:tcW w:w="853" w:type="dxa"/>
            <w:vAlign w:val="center"/>
          </w:tcPr>
          <w:p w:rsidR="002B1060" w:rsidRDefault="00AC1BA8" w:rsidP="00AC1BA8">
            <w:pPr>
              <w:widowControl w:val="0"/>
              <w:ind w:right="33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+</w:t>
            </w:r>
            <w:r w:rsidR="008F7034">
              <w:rPr>
                <w:rFonts w:cs="Arial"/>
                <w:sz w:val="16"/>
                <w:szCs w:val="16"/>
                <w:lang w:val="cs-CZ"/>
              </w:rPr>
              <w:t>31.9%</w:t>
            </w:r>
          </w:p>
        </w:tc>
      </w:tr>
      <w:tr w:rsidR="002B1060">
        <w:trPr>
          <w:trHeight w:val="283"/>
        </w:trPr>
        <w:tc>
          <w:tcPr>
            <w:tcW w:w="2943" w:type="dxa"/>
            <w:vAlign w:val="center"/>
          </w:tcPr>
          <w:p w:rsidR="002B1060" w:rsidRDefault="008F7034">
            <w:pPr>
              <w:widowControl w:val="0"/>
              <w:ind w:left="164"/>
              <w:jc w:val="lef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Imports of meat</w:t>
            </w:r>
          </w:p>
        </w:tc>
        <w:tc>
          <w:tcPr>
            <w:tcW w:w="1014" w:type="dxa"/>
            <w:vAlign w:val="center"/>
          </w:tcPr>
          <w:p w:rsidR="002B1060" w:rsidRDefault="008F70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1362" w:type="dxa"/>
            <w:vAlign w:val="center"/>
          </w:tcPr>
          <w:p w:rsidR="002B1060" w:rsidRDefault="008F7034">
            <w:pPr>
              <w:widowControl w:val="0"/>
              <w:ind w:right="4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4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5" w:type="dxa"/>
            <w:vAlign w:val="center"/>
          </w:tcPr>
          <w:p w:rsidR="002B1060" w:rsidRDefault="008F7034">
            <w:pPr>
              <w:widowControl w:val="0"/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106 799</w:t>
            </w:r>
          </w:p>
        </w:tc>
        <w:tc>
          <w:tcPr>
            <w:tcW w:w="853" w:type="dxa"/>
            <w:vAlign w:val="center"/>
          </w:tcPr>
          <w:p w:rsidR="002B1060" w:rsidRDefault="00AC1BA8" w:rsidP="00AC1BA8">
            <w:pPr>
              <w:widowControl w:val="0"/>
              <w:ind w:right="33"/>
              <w:jc w:val="right"/>
              <w:rPr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+</w:t>
            </w:r>
            <w:r w:rsidR="008F7034">
              <w:rPr>
                <w:rFonts w:cs="Arial"/>
                <w:sz w:val="16"/>
                <w:szCs w:val="16"/>
                <w:lang w:val="cs-CZ"/>
              </w:rPr>
              <w:t>2.8%</w:t>
            </w:r>
          </w:p>
        </w:tc>
      </w:tr>
      <w:tr w:rsidR="002B1060">
        <w:trPr>
          <w:trHeight w:val="283"/>
        </w:trPr>
        <w:tc>
          <w:tcPr>
            <w:tcW w:w="2943" w:type="dxa"/>
            <w:vAlign w:val="center"/>
          </w:tcPr>
          <w:p w:rsidR="002B1060" w:rsidRDefault="008F7034">
            <w:pPr>
              <w:widowControl w:val="0"/>
              <w:ind w:left="22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Calculated consumption</w:t>
            </w:r>
          </w:p>
        </w:tc>
        <w:tc>
          <w:tcPr>
            <w:tcW w:w="1014" w:type="dxa"/>
            <w:vAlign w:val="center"/>
          </w:tcPr>
          <w:p w:rsidR="002B1060" w:rsidRDefault="008F7034">
            <w:pPr>
              <w:widowControl w:val="0"/>
              <w:ind w:left="-67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4"/>
                <w:szCs w:val="14"/>
              </w:rPr>
              <w:t>09=03-07+08</w:t>
            </w:r>
          </w:p>
        </w:tc>
        <w:tc>
          <w:tcPr>
            <w:tcW w:w="1362" w:type="dxa"/>
            <w:vAlign w:val="center"/>
          </w:tcPr>
          <w:p w:rsidR="002B1060" w:rsidRDefault="008F7034">
            <w:pPr>
              <w:widowControl w:val="0"/>
              <w:ind w:right="4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92" w:type="dxa"/>
            <w:vAlign w:val="center"/>
          </w:tcPr>
          <w:p w:rsidR="002B1060" w:rsidRDefault="008F7034">
            <w:pPr>
              <w:widowControl w:val="0"/>
              <w:ind w:right="234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vAlign w:val="center"/>
          </w:tcPr>
          <w:p w:rsidR="002B1060" w:rsidRDefault="008F7034">
            <w:pPr>
              <w:widowControl w:val="0"/>
              <w:ind w:right="163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cs-CZ"/>
              </w:rPr>
              <w:t>255 913</w:t>
            </w:r>
          </w:p>
        </w:tc>
        <w:tc>
          <w:tcPr>
            <w:tcW w:w="853" w:type="dxa"/>
            <w:vAlign w:val="center"/>
          </w:tcPr>
          <w:p w:rsidR="002B1060" w:rsidRDefault="008F7034" w:rsidP="00AC1BA8">
            <w:pPr>
              <w:widowControl w:val="0"/>
              <w:ind w:right="33"/>
              <w:jc w:val="right"/>
              <w:rPr>
                <w:lang w:val="cs-CZ"/>
              </w:rPr>
            </w:pPr>
            <w:r>
              <w:rPr>
                <w:rFonts w:cs="Arial"/>
                <w:b/>
                <w:sz w:val="16"/>
                <w:szCs w:val="16"/>
                <w:lang w:val="cs-CZ"/>
              </w:rPr>
              <w:t>-3.9%</w:t>
            </w:r>
          </w:p>
        </w:tc>
      </w:tr>
    </w:tbl>
    <w:p w:rsidR="002B1060" w:rsidRDefault="002B1060">
      <w:pPr>
        <w:rPr>
          <w:color w:val="000000"/>
        </w:rPr>
      </w:pPr>
    </w:p>
    <w:p w:rsidR="002B1060" w:rsidRDefault="008F7034">
      <w:pPr>
        <w:rPr>
          <w:rStyle w:val="q4iawc"/>
        </w:rPr>
      </w:pPr>
      <w:r>
        <w:rPr>
          <w:rStyle w:val="q4iawc"/>
        </w:rPr>
        <w:t xml:space="preserve">In total 209.6 million </w:t>
      </w:r>
      <w:r>
        <w:rPr>
          <w:rStyle w:val="q4iawc"/>
          <w:szCs w:val="20"/>
        </w:rPr>
        <w:t>(+1.4%)</w:t>
      </w:r>
      <w:r>
        <w:rPr>
          <w:rStyle w:val="q4iawc"/>
        </w:rPr>
        <w:t xml:space="preserve"> meat type chicken were hatched in the Czech Republic in 2022.</w:t>
      </w:r>
      <w:r>
        <w:rPr>
          <w:rStyle w:val="viiyi"/>
        </w:rPr>
        <w:t xml:space="preserve"> </w:t>
      </w:r>
      <w:r>
        <w:rPr>
          <w:rStyle w:val="q4iawc"/>
        </w:rPr>
        <w:t>Taking into account imports and exports of day-old chicks, 131.3 million (</w:t>
      </w:r>
      <w:r>
        <w:rPr>
          <w:rStyle w:val="q4iawc"/>
          <w:color w:val="000000"/>
          <w:sz w:val="18"/>
          <w:szCs w:val="18"/>
        </w:rPr>
        <w:t>−</w:t>
      </w:r>
      <w:r>
        <w:rPr>
          <w:rStyle w:val="q4iawc"/>
        </w:rPr>
        <w:t>1.3%) broilers remained for fattening</w:t>
      </w:r>
      <w:r>
        <w:rPr>
          <w:rStyle w:val="q4iawc"/>
        </w:rPr>
        <w:t xml:space="preserve"> on Czech poultry farms. In total 12 450.7 </w:t>
      </w:r>
      <w:proofErr w:type="spellStart"/>
      <w:r>
        <w:rPr>
          <w:rStyle w:val="q4iawc"/>
        </w:rPr>
        <w:t>thous</w:t>
      </w:r>
      <w:proofErr w:type="spellEnd"/>
      <w:r>
        <w:rPr>
          <w:rStyle w:val="q4iawc"/>
        </w:rPr>
        <w:t xml:space="preserve">. </w:t>
      </w:r>
      <w:proofErr w:type="gramStart"/>
      <w:r>
        <w:rPr>
          <w:rStyle w:val="q4iawc"/>
        </w:rPr>
        <w:t>c</w:t>
      </w:r>
      <w:r>
        <w:rPr>
          <w:rStyle w:val="q4iawc"/>
        </w:rPr>
        <w:t>hicks</w:t>
      </w:r>
      <w:proofErr w:type="gramEnd"/>
      <w:r>
        <w:rPr>
          <w:rStyle w:val="q4iawc"/>
        </w:rPr>
        <w:t xml:space="preserve"> were kept for fattening as at 31 December 2022.</w:t>
      </w:r>
    </w:p>
    <w:p w:rsidR="002B1060" w:rsidRDefault="002B1060">
      <w:pPr>
        <w:rPr>
          <w:rStyle w:val="q4iawc"/>
        </w:rPr>
      </w:pPr>
    </w:p>
    <w:p w:rsidR="002B1060" w:rsidRDefault="008F7034">
      <w:pPr>
        <w:pStyle w:val="Poznmky0"/>
      </w:pPr>
      <w:r>
        <w:t>Notes:</w:t>
      </w:r>
    </w:p>
    <w:p w:rsidR="002B1060" w:rsidRDefault="008F7034">
      <w:pPr>
        <w:spacing w:before="60" w:line="240" w:lineRule="exact"/>
        <w:jc w:val="left"/>
        <w:rPr>
          <w:rFonts w:cs="ArialMT"/>
          <w:i/>
          <w:iCs/>
          <w:color w:val="000000" w:themeColor="text1"/>
          <w:sz w:val="18"/>
          <w:szCs w:val="18"/>
        </w:rPr>
      </w:pPr>
      <w:r>
        <w:rPr>
          <w:rFonts w:cs="ArialMT"/>
          <w:i/>
          <w:iCs/>
          <w:color w:val="000000" w:themeColor="text1"/>
          <w:sz w:val="18"/>
          <w:szCs w:val="18"/>
        </w:rPr>
        <w:t>Published data on meat production are final.</w:t>
      </w:r>
    </w:p>
    <w:p w:rsidR="002B1060" w:rsidRDefault="008F7034">
      <w:pPr>
        <w:spacing w:before="60" w:line="240" w:lineRule="exact"/>
        <w:jc w:val="left"/>
        <w:rPr>
          <w:rFonts w:cs="ArialMT"/>
          <w:i/>
          <w:iCs/>
          <w:color w:val="000000" w:themeColor="text1"/>
          <w:sz w:val="18"/>
          <w:szCs w:val="18"/>
        </w:rPr>
      </w:pPr>
      <w:r>
        <w:rPr>
          <w:rFonts w:cs="ArialMT"/>
          <w:i/>
          <w:iCs/>
          <w:color w:val="000000" w:themeColor="text1"/>
          <w:sz w:val="18"/>
          <w:szCs w:val="18"/>
        </w:rPr>
        <w:t>Data on slaughtering out of slaughterhouses are expert estimates of Ministry of Agriculture.</w:t>
      </w:r>
    </w:p>
    <w:p w:rsidR="002B1060" w:rsidRDefault="008F7034">
      <w:pPr>
        <w:spacing w:before="60" w:line="240" w:lineRule="exact"/>
        <w:jc w:val="left"/>
        <w:rPr>
          <w:rFonts w:cs="ArialMT"/>
          <w:i/>
          <w:iCs/>
          <w:color w:val="000000" w:themeColor="text1"/>
          <w:sz w:val="18"/>
          <w:szCs w:val="18"/>
        </w:rPr>
      </w:pPr>
      <w:r>
        <w:rPr>
          <w:rFonts w:cs="ArialMT"/>
          <w:i/>
          <w:iCs/>
          <w:color w:val="000000" w:themeColor="text1"/>
          <w:sz w:val="18"/>
          <w:szCs w:val="18"/>
        </w:rPr>
        <w:t xml:space="preserve">Data on cross border movements of goods within EU </w:t>
      </w:r>
      <w:r>
        <w:rPr>
          <w:rFonts w:cs="ArialMT"/>
          <w:i/>
          <w:iCs/>
          <w:color w:val="000000" w:themeColor="text1"/>
          <w:sz w:val="18"/>
          <w:szCs w:val="18"/>
        </w:rPr>
        <w:t>(Intrastat) do not include individual trading operations carried out by persons who are not registered for VAT. Reporting units below the applicable thresholds of CZK 12 million a year for both flows are not under reporting duty for Intrastat as well. Data</w:t>
      </w:r>
      <w:r>
        <w:rPr>
          <w:rFonts w:cs="ArialMT"/>
          <w:i/>
          <w:iCs/>
          <w:color w:val="000000" w:themeColor="text1"/>
          <w:sz w:val="18"/>
          <w:szCs w:val="18"/>
        </w:rPr>
        <w:t xml:space="preserve"> on cross border movements are preliminary.</w:t>
      </w:r>
    </w:p>
    <w:p w:rsidR="002B1060" w:rsidRDefault="008F7034">
      <w:pPr>
        <w:spacing w:before="60" w:line="240" w:lineRule="exact"/>
        <w:jc w:val="left"/>
        <w:rPr>
          <w:rFonts w:cs="ArialMT"/>
          <w:i/>
          <w:iCs/>
          <w:color w:val="000000" w:themeColor="text1"/>
          <w:sz w:val="18"/>
          <w:szCs w:val="18"/>
        </w:rPr>
      </w:pPr>
      <w:r>
        <w:rPr>
          <w:rFonts w:cs="ArialMT"/>
          <w:i/>
          <w:iCs/>
          <w:color w:val="000000" w:themeColor="text1"/>
          <w:sz w:val="18"/>
          <w:szCs w:val="18"/>
        </w:rPr>
        <w:t>Data on poultry supplied to slaughterhouses are based on statistical surveys of the Ministry of Agriculture of the Czech Republic.</w:t>
      </w:r>
    </w:p>
    <w:p w:rsidR="002B1060" w:rsidRDefault="008F7034">
      <w:pPr>
        <w:spacing w:before="60" w:line="240" w:lineRule="exact"/>
        <w:jc w:val="left"/>
        <w:rPr>
          <w:rFonts w:cs="ArialMT"/>
          <w:i/>
          <w:iCs/>
          <w:color w:val="000000" w:themeColor="text1"/>
          <w:sz w:val="18"/>
          <w:szCs w:val="18"/>
        </w:rPr>
      </w:pPr>
      <w:r>
        <w:rPr>
          <w:rFonts w:cs="ArialMT"/>
          <w:i/>
          <w:iCs/>
          <w:color w:val="000000" w:themeColor="text1"/>
          <w:sz w:val="18"/>
          <w:szCs w:val="18"/>
        </w:rPr>
        <w:t>Data on chick hatching statistics originate in the Register of hatcheries.</w:t>
      </w:r>
    </w:p>
    <w:p w:rsidR="002B1060" w:rsidRDefault="002B1060">
      <w:pPr>
        <w:spacing w:line="240" w:lineRule="exact"/>
        <w:ind w:left="3600" w:hanging="3600"/>
        <w:jc w:val="left"/>
        <w:rPr>
          <w:rFonts w:cs="ArialMT"/>
          <w:i/>
          <w:iCs/>
          <w:color w:val="000000" w:themeColor="text1"/>
          <w:sz w:val="18"/>
          <w:szCs w:val="18"/>
        </w:rPr>
      </w:pPr>
    </w:p>
    <w:p w:rsidR="002B1060" w:rsidRDefault="008F7034">
      <w:pPr>
        <w:pStyle w:val="Poznamkytexty"/>
        <w:ind w:left="2127" w:hanging="2127"/>
        <w:jc w:val="left"/>
        <w:rPr>
          <w:color w:val="000000" w:themeColor="text1"/>
        </w:rPr>
      </w:pPr>
      <w:hyperlink r:id="rId10">
        <w:r>
          <w:rPr>
            <w:color w:val="000000" w:themeColor="text1"/>
          </w:rPr>
          <w:t>Contact person:</w:t>
        </w:r>
        <w:r>
          <w:rPr>
            <w:color w:val="000000" w:themeColor="text1"/>
          </w:rPr>
          <w:tab/>
          <w:t>Renata Vodičková, Head of Agricultural and Forestry Statistics Unit, phone (+420) 703 824 173, e-mail renata.vodickova@czso.cz</w:t>
        </w:r>
      </w:hyperlink>
    </w:p>
    <w:p w:rsidR="002B1060" w:rsidRDefault="002B1060">
      <w:pPr>
        <w:spacing w:line="240" w:lineRule="exact"/>
        <w:ind w:left="3600" w:hanging="3600"/>
        <w:jc w:val="left"/>
        <w:rPr>
          <w:rFonts w:cs="ArialMT"/>
          <w:i/>
          <w:iCs/>
          <w:color w:val="000000" w:themeColor="text1"/>
          <w:sz w:val="18"/>
          <w:szCs w:val="18"/>
        </w:rPr>
      </w:pPr>
    </w:p>
    <w:p w:rsidR="002B1060" w:rsidRDefault="008F7034">
      <w:pPr>
        <w:spacing w:line="240" w:lineRule="exact"/>
        <w:ind w:left="3600" w:hanging="3600"/>
        <w:jc w:val="left"/>
        <w:rPr>
          <w:color w:val="000000" w:themeColor="text1"/>
        </w:rPr>
      </w:pPr>
      <w:r>
        <w:rPr>
          <w:rFonts w:cs="ArialMT"/>
          <w:i/>
          <w:iCs/>
          <w:color w:val="000000" w:themeColor="text1"/>
          <w:sz w:val="18"/>
          <w:szCs w:val="18"/>
        </w:rPr>
        <w:t>Text was not edited for language.</w:t>
      </w:r>
    </w:p>
    <w:p w:rsidR="002B1060" w:rsidRDefault="002B1060"/>
    <w:sectPr w:rsidR="002B1060">
      <w:headerReference w:type="default" r:id="rId11"/>
      <w:footerReference w:type="default" r:id="rId12"/>
      <w:pgSz w:w="11906" w:h="16838"/>
      <w:pgMar w:top="2948" w:right="1418" w:bottom="1985" w:left="1985" w:header="720" w:footer="1684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34" w:rsidRDefault="008F7034">
      <w:pPr>
        <w:spacing w:line="240" w:lineRule="auto"/>
      </w:pPr>
      <w:r>
        <w:separator/>
      </w:r>
    </w:p>
  </w:endnote>
  <w:endnote w:type="continuationSeparator" w:id="0">
    <w:p w:rsidR="008F7034" w:rsidRDefault="008F7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60" w:rsidRDefault="008F703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9525" distB="9525" distL="10160" distR="9525" simplePos="0" relativeHeight="4" behindDoc="1" locked="0" layoutInCell="0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635"/>
              <wp:effectExtent l="10160" t="9525" r="9525" b="9525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636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0071B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7.8pt,756.95pt" to="525.8pt,756.95pt" ID="Přímá spojnice 11" stroked="t" o:allowincell="f" style="position:absolute;mso-position-horizontal-relative:page;mso-position-vertical-relative:page">
              <v:stroke color="#0071bc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1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2600" cy="582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1060" w:rsidRDefault="008F7034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2B1060" w:rsidRDefault="008F7034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Are you interested in the latest data connected with inflation, GDP, population, wages in industry and much more? </w:t>
                          </w:r>
                        </w:p>
                        <w:p w:rsidR="002B1060" w:rsidRDefault="008F7034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>
                            <w:r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2B1060" w:rsidRDefault="008F7034">
                          <w:pPr>
                            <w:pStyle w:val="Obsahrmce"/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 xml:space="preserve">: +420 274 056 789,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DE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separate"/>
                          </w:r>
                          <w:r w:rsidR="00AC1BA8">
                            <w:rPr>
                              <w:rFonts w:cs="Arial"/>
                              <w:noProof/>
                              <w:color w:val="000000"/>
                              <w:szCs w:val="15"/>
                            </w:rPr>
                            <w:t>1</w: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ové pole 2" o:spid="_x0000_s1026" style="position:absolute;left:0;text-align:left;margin-left:99.3pt;margin-top:763.2pt;width:426.2pt;height:45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" o:allowincell="f" filled="f" stroked="f">
              <v:textbox inset="0,0,0,0">
                <w:txbxContent>
                  <w:p w:rsidR="002B1060" w:rsidRDefault="008F7034">
                    <w:pPr>
                      <w:pStyle w:val="Obsahrmce"/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2B1060" w:rsidRDefault="008F7034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Are you interested in the latest data connected with inflation, GDP, population, wages in industry and much more? </w:t>
                    </w:r>
                  </w:p>
                  <w:p w:rsidR="002B1060" w:rsidRDefault="008F7034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>
                      <w:r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2B1060" w:rsidRDefault="008F7034">
                    <w:pPr>
                      <w:pStyle w:val="Obsahrmce"/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>tel</w:t>
                    </w:r>
                    <w:proofErr w:type="spellEnd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 xml:space="preserve">: +420 274 056 789,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 xml:space="preserve">: </w:t>
                    </w:r>
                    <w:hyperlink r:id="rId4">
                      <w:r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DE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ab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instrText xml:space="preserve"> PAGE </w:instrTex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separate"/>
                    </w:r>
                    <w:r w:rsidR="00AC1BA8">
                      <w:rPr>
                        <w:rFonts w:cs="Arial"/>
                        <w:noProof/>
                        <w:color w:val="000000"/>
                        <w:szCs w:val="15"/>
                      </w:rPr>
                      <w:t>1</w: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34" w:rsidRDefault="008F7034">
      <w:pPr>
        <w:spacing w:line="240" w:lineRule="auto"/>
      </w:pPr>
      <w:r>
        <w:separator/>
      </w:r>
    </w:p>
  </w:footnote>
  <w:footnote w:type="continuationSeparator" w:id="0">
    <w:p w:rsidR="008F7034" w:rsidRDefault="008F7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60" w:rsidRDefault="008F7034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635" distB="0" distL="0" distR="0" simplePos="0" relativeHeight="13" behindDoc="1" locked="0" layoutInCell="0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635" r="0" b="0"/>
              <wp:wrapNone/>
              <wp:docPr id="1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1160" cy="1016640"/>
                        <a:chOff x="0" y="0"/>
                        <a:chExt cx="6311160" cy="101664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864360" y="657720"/>
                          <a:ext cx="5447160" cy="35892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Volný tvar 3"/>
                      <wps:cNvSpPr/>
                      <wps:spPr>
                        <a:xfrm>
                          <a:off x="1004400" y="780480"/>
                          <a:ext cx="1231200" cy="123120"/>
                        </a:xfrm>
                        <a:custGeom>
                          <a:avLst/>
                          <a:gdLst>
                            <a:gd name="textAreaLeft" fmla="*/ 0 w 698040"/>
                            <a:gd name="textAreaRight" fmla="*/ 699480 w 698040"/>
                            <a:gd name="textAreaTop" fmla="*/ 0 h 69840"/>
                            <a:gd name="textAreaBottom" fmla="*/ 71280 h 698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Obdélník 4"/>
                      <wps:cNvSpPr/>
                      <wps:spPr>
                        <a:xfrm>
                          <a:off x="394920" y="1800"/>
                          <a:ext cx="416520" cy="9468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Obdélník 5"/>
                      <wps:cNvSpPr/>
                      <wps:spPr>
                        <a:xfrm>
                          <a:off x="0" y="147240"/>
                          <a:ext cx="811440" cy="9468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Obdélník 6"/>
                      <wps:cNvSpPr/>
                      <wps:spPr>
                        <a:xfrm>
                          <a:off x="357480" y="292680"/>
                          <a:ext cx="453960" cy="9468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Volný tvar 7"/>
                      <wps:cNvSpPr/>
                      <wps:spPr>
                        <a:xfrm>
                          <a:off x="858600" y="289440"/>
                          <a:ext cx="453240" cy="100800"/>
                        </a:xfrm>
                        <a:custGeom>
                          <a:avLst/>
                          <a:gdLst>
                            <a:gd name="textAreaLeft" fmla="*/ 0 w 257040"/>
                            <a:gd name="textAreaRight" fmla="*/ 258480 w 257040"/>
                            <a:gd name="textAreaTop" fmla="*/ 0 h 57240"/>
                            <a:gd name="textAreaBottom" fmla="*/ 58680 h 572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Volný tvar 8"/>
                      <wps:cNvSpPr/>
                      <wps:spPr>
                        <a:xfrm>
                          <a:off x="858600" y="144720"/>
                          <a:ext cx="806400" cy="99720"/>
                        </a:xfrm>
                        <a:custGeom>
                          <a:avLst/>
                          <a:gdLst>
                            <a:gd name="textAreaLeft" fmla="*/ 0 w 457200"/>
                            <a:gd name="textAreaRight" fmla="*/ 458640 w 457200"/>
                            <a:gd name="textAreaTop" fmla="*/ 0 h 56520"/>
                            <a:gd name="textAreaBottom" fmla="*/ 57960 h 56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Volný tvar 9"/>
                      <wps:cNvSpPr/>
                      <wps:spPr>
                        <a:xfrm>
                          <a:off x="858600" y="0"/>
                          <a:ext cx="419040" cy="99000"/>
                        </a:xfrm>
                        <a:custGeom>
                          <a:avLst/>
                          <a:gdLst>
                            <a:gd name="textAreaLeft" fmla="*/ 0 w 237600"/>
                            <a:gd name="textAreaRight" fmla="*/ 239040 w 237600"/>
                            <a:gd name="textAreaTop" fmla="*/ 0 h 56160"/>
                            <a:gd name="textAreaBottom" fmla="*/ 57600 h 56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Volný tvar 10"/>
                      <wps:cNvSpPr/>
                      <wps:spPr>
                        <a:xfrm>
                          <a:off x="3754800" y="317520"/>
                          <a:ext cx="2547720" cy="96480"/>
                        </a:xfrm>
                        <a:custGeom>
                          <a:avLst/>
                          <a:gdLst>
                            <a:gd name="textAreaLeft" fmla="*/ 0 w 1444320"/>
                            <a:gd name="textAreaRight" fmla="*/ 1445760 w 1444320"/>
                            <a:gd name="textAreaTop" fmla="*/ 0 h 54720"/>
                            <a:gd name="textAreaBottom" fmla="*/ 56160 h 54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46" style="position:absolute;margin-left:-69.5pt;margin-top:7.95pt;width:496.95pt;height:80.05pt" coordorigin="-1390,159" coordsize="9939,1601">
              <v:rect id="shape_0" path="m0,0l-2147483645,0l-2147483645,-2147483646l0,-2147483646xe" fillcolor="#0071bc" stroked="f" o:allowincell="f" style="position:absolute;left:-29;top:1195;width:8577;height:564;mso-wrap-style:none;v-text-anchor:middle">
                <v:fill o:detectmouseclick="t" type="solid" color2="#ff8e43"/>
                <v:stroke color="#3465a4" joinstyle="round" endcap="flat"/>
                <w10:wrap type="none"/>
              </v:rect>
              <v:rect id="shape_0" path="m0,0l-2147483645,0l-2147483645,-2147483646l0,-2147483646xe" fillcolor="#0071bc" stroked="f" o:allowincell="f" style="position:absolute;left:-768;top:162;width:655;height:148;mso-wrap-style:none;v-text-anchor:middle">
                <v:fill o:detectmouseclick="t" type="solid" color2="#ff8e43"/>
                <v:stroke color="#3465a4" joinstyle="round" endcap="flat"/>
                <w10:wrap type="none"/>
              </v:rect>
              <v:rect id="shape_0" path="m0,0l-2147483645,0l-2147483645,-2147483646l0,-2147483646xe" fillcolor="#0071bc" stroked="f" o:allowincell="f" style="position:absolute;left:-1390;top:391;width:1277;height:148;mso-wrap-style:none;v-text-anchor:middle">
                <v:fill o:detectmouseclick="t" type="solid" color2="#ff8e43"/>
                <v:stroke color="#3465a4" joinstyle="round" endcap="flat"/>
                <w10:wrap type="none"/>
              </v:rect>
              <v:rect id="shape_0" path="m0,0l-2147483645,0l-2147483645,-2147483646l0,-2147483646xe" fillcolor="#0071bc" stroked="f" o:allowincell="f" style="position:absolute;left:-827;top:620;width:714;height:148;mso-wrap-style:none;v-text-anchor:middle">
                <v:fill o:detectmouseclick="t" type="solid" color2="#ff8e43"/>
                <v:stroke color="#3465a4" joinstyle="round" endcap="flat"/>
                <w10:wrap type="non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60"/>
    <w:rsid w:val="002B1060"/>
    <w:rsid w:val="004C0339"/>
    <w:rsid w:val="006D4F4E"/>
    <w:rsid w:val="008F7034"/>
    <w:rsid w:val="00A80852"/>
    <w:rsid w:val="00AC1BA8"/>
    <w:rsid w:val="00F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A173"/>
  <w15:docId w15:val="{754F43A3-5C15-46C7-968C-6AAD189E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A6370"/>
  </w:style>
  <w:style w:type="character" w:customStyle="1" w:styleId="ZpatChar">
    <w:name w:val="Zápatí Char"/>
    <w:basedOn w:val="Standardnpsmoodstavce"/>
    <w:link w:val="Zpat"/>
    <w:uiPriority w:val="99"/>
    <w:qFormat/>
    <w:rsid w:val="00BA6370"/>
  </w:style>
  <w:style w:type="character" w:customStyle="1" w:styleId="TextbublinyChar">
    <w:name w:val="Text bubliny Char"/>
    <w:link w:val="Textbubliny"/>
    <w:uiPriority w:val="99"/>
    <w:semiHidden/>
    <w:qFormat/>
    <w:rsid w:val="00BA637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qFormat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character" w:customStyle="1" w:styleId="Nadpis3Char">
    <w:name w:val="Nadpis 3 Char"/>
    <w:link w:val="Nadpis3"/>
    <w:uiPriority w:val="9"/>
    <w:qFormat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character" w:customStyle="1" w:styleId="NzevChar">
    <w:name w:val="Název Char"/>
    <w:link w:val="Nzev"/>
    <w:uiPriority w:val="10"/>
    <w:qFormat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qFormat/>
    <w:rsid w:val="003A45C8"/>
    <w:rPr>
      <w:smallCaps/>
      <w:color w:val="C0504D"/>
      <w:u w:val="single"/>
    </w:rPr>
  </w:style>
  <w:style w:type="character" w:customStyle="1" w:styleId="TabulkaGrafChar">
    <w:name w:val="Tabulka/Graf_ Char"/>
    <w:link w:val="TabulkaGraf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qFormat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styleId="Siln">
    <w:name w:val="Strong"/>
    <w:uiPriority w:val="22"/>
    <w:qFormat/>
    <w:rsid w:val="00F223F8"/>
    <w:rPr>
      <w:b/>
      <w:bCs/>
    </w:rPr>
  </w:style>
  <w:style w:type="character" w:customStyle="1" w:styleId="markedcontent">
    <w:name w:val="markedcontent"/>
    <w:basedOn w:val="Standardnpsmoodstavce"/>
    <w:qFormat/>
    <w:rsid w:val="00A010A7"/>
  </w:style>
  <w:style w:type="character" w:customStyle="1" w:styleId="viiyi">
    <w:name w:val="viiyi"/>
    <w:basedOn w:val="Standardnpsmoodstavce"/>
    <w:qFormat/>
    <w:rsid w:val="00197E3C"/>
  </w:style>
  <w:style w:type="character" w:customStyle="1" w:styleId="q4iawc">
    <w:name w:val="q4iawc"/>
    <w:basedOn w:val="Standardnpsmoodstavce"/>
    <w:qFormat/>
    <w:rsid w:val="00197E3C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A6370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qFormat/>
    <w:rsid w:val="00BA6370"/>
    <w:pPr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000000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000000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paragraph" w:customStyle="1" w:styleId="Perex">
    <w:name w:val="Perex_"/>
    <w:next w:val="Normln"/>
    <w:qFormat/>
    <w:rsid w:val="00380178"/>
    <w:pPr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paragraph" w:customStyle="1" w:styleId="Poznamkytexty">
    <w:name w:val="Poznamky texty"/>
    <w:basedOn w:val="Poznmky"/>
    <w:qFormat/>
    <w:rsid w:val="00F223F8"/>
    <w:pPr>
      <w:pBdr>
        <w:top w:val="nil"/>
      </w:pBdr>
      <w:spacing w:before="0"/>
      <w:jc w:val="both"/>
    </w:pPr>
    <w:rPr>
      <w:i/>
      <w:lang w:val="en-GB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3331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nata.vodickova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/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/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147E-41CC-4CD7-8D51-A843B1202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D224A-C075-45EB-AC2E-535DFEC07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2E37D-BADA-4CFD-A64A-800E0AD3F5C3}"/>
</file>

<file path=customXml/itemProps4.xml><?xml version="1.0" encoding="utf-8"?>
<ds:datastoreItem xmlns:ds="http://schemas.openxmlformats.org/officeDocument/2006/customXml" ds:itemID="{CA64C965-16F0-47A5-BC74-F8843ECF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dc:description/>
  <cp:lastModifiedBy>Fiedlerová Markéta</cp:lastModifiedBy>
  <cp:revision>53</cp:revision>
  <dcterms:created xsi:type="dcterms:W3CDTF">2022-08-08T08:18:00Z</dcterms:created>
  <dcterms:modified xsi:type="dcterms:W3CDTF">2023-02-07T15:32:00Z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