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633AC" w14:textId="23ADEEBC" w:rsidR="00BC1C7C" w:rsidRPr="001D5E7A" w:rsidRDefault="005473B2" w:rsidP="00BC1C7C">
      <w:pPr>
        <w:pStyle w:val="datum0"/>
        <w:rPr>
          <w:lang w:val="en-GB"/>
        </w:rPr>
      </w:pPr>
      <w:r>
        <w:rPr>
          <w:lang w:val="en-GB"/>
        </w:rPr>
        <w:t>1</w:t>
      </w:r>
      <w:r w:rsidR="00A656BB">
        <w:rPr>
          <w:lang w:val="en-GB"/>
        </w:rPr>
        <w:t>6</w:t>
      </w:r>
      <w:r w:rsidR="00C431F2">
        <w:rPr>
          <w:lang w:val="en-GB"/>
        </w:rPr>
        <w:t xml:space="preserve"> </w:t>
      </w:r>
      <w:r w:rsidR="00A656BB">
        <w:rPr>
          <w:lang w:val="en-GB"/>
        </w:rPr>
        <w:t>September</w:t>
      </w:r>
      <w:r w:rsidR="00BC1C7C" w:rsidRPr="001D5E7A">
        <w:rPr>
          <w:lang w:val="en-GB"/>
        </w:rPr>
        <w:t xml:space="preserve"> </w:t>
      </w:r>
      <w:r w:rsidR="00C96381">
        <w:rPr>
          <w:lang w:val="en-GB"/>
        </w:rPr>
        <w:t>2025</w:t>
      </w:r>
    </w:p>
    <w:p w14:paraId="0548F354" w14:textId="788EF426" w:rsidR="00A845D3" w:rsidRPr="0075740D" w:rsidRDefault="007541C0" w:rsidP="00A845D3">
      <w:pPr>
        <w:pStyle w:val="Nzev"/>
        <w:rPr>
          <w:strike/>
        </w:rPr>
      </w:pPr>
      <w:r w:rsidRPr="007541C0">
        <w:t>Industrial producer prices were</w:t>
      </w:r>
      <w:r>
        <w:t xml:space="preserve"> again</w:t>
      </w:r>
      <w:r w:rsidRPr="007541C0">
        <w:t xml:space="preserve"> lower</w:t>
      </w:r>
      <w:r>
        <w:t xml:space="preserve"> y</w:t>
      </w:r>
      <w:r w:rsidR="007E3C0C">
        <w:t xml:space="preserve">-o-y </w:t>
      </w:r>
      <w:r w:rsidR="007E3C0C" w:rsidRPr="007E3C0C">
        <w:t xml:space="preserve"> </w:t>
      </w:r>
    </w:p>
    <w:p w14:paraId="5AAB8693" w14:textId="1A7AD6E0" w:rsidR="00A845D3" w:rsidRPr="008C263A" w:rsidRDefault="00A845D3" w:rsidP="00A845D3">
      <w:pPr>
        <w:pStyle w:val="Podtitulek"/>
      </w:pPr>
      <w:r w:rsidRPr="002E692F">
        <w:t>Producer</w:t>
      </w:r>
      <w:r w:rsidRPr="008C263A">
        <w:t xml:space="preserve"> price indices – </w:t>
      </w:r>
      <w:r w:rsidR="00F04D97">
        <w:t>August</w:t>
      </w:r>
      <w:r w:rsidRPr="008C263A">
        <w:t xml:space="preserve"> 202</w:t>
      </w:r>
      <w:r w:rsidR="00C96381">
        <w:t>5</w:t>
      </w:r>
    </w:p>
    <w:p w14:paraId="261CC1E3" w14:textId="43435403" w:rsidR="00BF4197" w:rsidRPr="00BF4197" w:rsidRDefault="00564110" w:rsidP="00BF4197">
      <w:pPr>
        <w:pStyle w:val="Perex"/>
        <w:rPr>
          <w:lang w:eastAsia="cs-CZ"/>
        </w:rPr>
      </w:pPr>
      <w:r w:rsidRPr="00564110">
        <w:rPr>
          <w:lang w:eastAsia="cs-CZ"/>
        </w:rPr>
        <w:t xml:space="preserve">Agricultural producer prices </w:t>
      </w:r>
      <w:r w:rsidR="00E63DBF">
        <w:rPr>
          <w:lang w:eastAsia="cs-CZ"/>
        </w:rPr>
        <w:t>went down</w:t>
      </w:r>
      <w:r w:rsidR="008B3901">
        <w:rPr>
          <w:lang w:eastAsia="cs-CZ"/>
        </w:rPr>
        <w:t xml:space="preserve"> by </w:t>
      </w:r>
      <w:r w:rsidR="00663236">
        <w:rPr>
          <w:lang w:eastAsia="cs-CZ"/>
        </w:rPr>
        <w:t>1</w:t>
      </w:r>
      <w:r w:rsidR="00CE4854">
        <w:rPr>
          <w:lang w:eastAsia="cs-CZ"/>
        </w:rPr>
        <w:t>.</w:t>
      </w:r>
      <w:r w:rsidR="00F04D97">
        <w:rPr>
          <w:lang w:eastAsia="cs-CZ"/>
        </w:rPr>
        <w:t>2</w:t>
      </w:r>
      <w:r w:rsidR="008B3901">
        <w:rPr>
          <w:lang w:eastAsia="cs-CZ"/>
        </w:rPr>
        <w:t>%</w:t>
      </w:r>
      <w:r w:rsidRPr="00564110">
        <w:rPr>
          <w:lang w:eastAsia="cs-CZ"/>
        </w:rPr>
        <w:t xml:space="preserve"> month-on-month</w:t>
      </w:r>
      <w:r>
        <w:rPr>
          <w:lang w:eastAsia="cs-CZ"/>
        </w:rPr>
        <w:t xml:space="preserve"> (m-o-m) and </w:t>
      </w:r>
      <w:r w:rsidR="003E5552">
        <w:rPr>
          <w:lang w:eastAsia="cs-CZ"/>
        </w:rPr>
        <w:t xml:space="preserve">were higher </w:t>
      </w:r>
      <w:r>
        <w:rPr>
          <w:lang w:eastAsia="cs-CZ"/>
        </w:rPr>
        <w:t xml:space="preserve">by </w:t>
      </w:r>
      <w:r w:rsidR="00480A7A">
        <w:rPr>
          <w:lang w:eastAsia="cs-CZ"/>
        </w:rPr>
        <w:t>1</w:t>
      </w:r>
      <w:r w:rsidR="00663236">
        <w:rPr>
          <w:lang w:eastAsia="cs-CZ"/>
        </w:rPr>
        <w:t>1</w:t>
      </w:r>
      <w:r w:rsidR="00480A7A">
        <w:rPr>
          <w:lang w:eastAsia="cs-CZ"/>
        </w:rPr>
        <w:t>.</w:t>
      </w:r>
      <w:r w:rsidR="00F04D97">
        <w:rPr>
          <w:lang w:eastAsia="cs-CZ"/>
        </w:rPr>
        <w:t>4</w:t>
      </w:r>
      <w:r>
        <w:rPr>
          <w:lang w:eastAsia="cs-CZ"/>
        </w:rPr>
        <w:t xml:space="preserve">% year-on-year </w:t>
      </w:r>
      <w:r w:rsidR="00BC1C7C" w:rsidRPr="006B1026">
        <w:rPr>
          <w:lang w:eastAsia="cs-CZ"/>
        </w:rPr>
        <w:t xml:space="preserve">(y-o-y). </w:t>
      </w:r>
      <w:r w:rsidR="0038171D" w:rsidRPr="00476B1D">
        <w:rPr>
          <w:lang w:eastAsia="cs-CZ"/>
        </w:rPr>
        <w:t>Industrial producer prices stayed unchanged m-o-m and decreased by 0.8% y</w:t>
      </w:r>
      <w:r w:rsidR="0038171D" w:rsidRPr="00476B1D">
        <w:rPr>
          <w:lang w:eastAsia="cs-CZ"/>
        </w:rPr>
        <w:noBreakHyphen/>
        <w:t>o</w:t>
      </w:r>
      <w:r w:rsidR="0038171D" w:rsidRPr="00476B1D">
        <w:rPr>
          <w:lang w:eastAsia="cs-CZ"/>
        </w:rPr>
        <w:noBreakHyphen/>
        <w:t>y.</w:t>
      </w:r>
      <w:r w:rsidR="00BF4197" w:rsidRPr="00B557A6">
        <w:rPr>
          <w:lang w:eastAsia="cs-CZ"/>
        </w:rPr>
        <w:t xml:space="preserve"> </w:t>
      </w:r>
      <w:r w:rsidR="00BC1C7C" w:rsidRPr="00B557A6">
        <w:rPr>
          <w:lang w:eastAsia="cs-CZ"/>
        </w:rPr>
        <w:t>Construction work price</w:t>
      </w:r>
      <w:r w:rsidR="00BC1C7C" w:rsidRPr="006B1026">
        <w:rPr>
          <w:lang w:eastAsia="cs-CZ"/>
        </w:rPr>
        <w:t>s</w:t>
      </w:r>
      <w:r w:rsidR="00663236">
        <w:rPr>
          <w:lang w:eastAsia="cs-CZ"/>
        </w:rPr>
        <w:t xml:space="preserve"> grew</w:t>
      </w:r>
      <w:r w:rsidR="00BC1C7C" w:rsidRPr="006B1026">
        <w:rPr>
          <w:lang w:eastAsia="cs-CZ"/>
        </w:rPr>
        <w:t xml:space="preserve"> </w:t>
      </w:r>
      <w:r w:rsidR="00CE4854">
        <w:rPr>
          <w:lang w:eastAsia="cs-CZ"/>
        </w:rPr>
        <w:t>by 0.</w:t>
      </w:r>
      <w:r w:rsidR="00941EC5">
        <w:rPr>
          <w:lang w:eastAsia="cs-CZ"/>
        </w:rPr>
        <w:t>3</w:t>
      </w:r>
      <w:r w:rsidR="00BC1C7C">
        <w:rPr>
          <w:lang w:eastAsia="cs-CZ"/>
        </w:rPr>
        <w:t xml:space="preserve">% </w:t>
      </w:r>
      <w:r w:rsidR="00BC1C7C" w:rsidRPr="006B1026">
        <w:rPr>
          <w:lang w:eastAsia="cs-CZ"/>
        </w:rPr>
        <w:t>m-o-m and</w:t>
      </w:r>
      <w:r w:rsidR="00941EC5" w:rsidRPr="00941EC5">
        <w:rPr>
          <w:lang w:eastAsia="cs-CZ"/>
        </w:rPr>
        <w:t xml:space="preserve"> </w:t>
      </w:r>
      <w:r w:rsidR="00BC1C7C" w:rsidRPr="006B1026">
        <w:rPr>
          <w:lang w:eastAsia="cs-CZ"/>
        </w:rPr>
        <w:t xml:space="preserve">by </w:t>
      </w:r>
      <w:r w:rsidR="00941EC5">
        <w:rPr>
          <w:lang w:eastAsia="cs-CZ"/>
        </w:rPr>
        <w:t>2</w:t>
      </w:r>
      <w:r w:rsidR="00BF4197">
        <w:rPr>
          <w:lang w:eastAsia="cs-CZ"/>
        </w:rPr>
        <w:t>.</w:t>
      </w:r>
      <w:r w:rsidR="00663236">
        <w:rPr>
          <w:lang w:eastAsia="cs-CZ"/>
        </w:rPr>
        <w:t>6</w:t>
      </w:r>
      <w:r w:rsidR="00BC1C7C" w:rsidRPr="006B1026">
        <w:rPr>
          <w:lang w:eastAsia="cs-CZ"/>
        </w:rPr>
        <w:t>% y</w:t>
      </w:r>
      <w:r w:rsidR="00CE4854">
        <w:rPr>
          <w:lang w:eastAsia="cs-CZ"/>
        </w:rPr>
        <w:noBreakHyphen/>
      </w:r>
      <w:r w:rsidR="00BC1C7C" w:rsidRPr="006B1026">
        <w:rPr>
          <w:lang w:eastAsia="cs-CZ"/>
        </w:rPr>
        <w:t>o</w:t>
      </w:r>
      <w:r w:rsidR="00CE4854">
        <w:rPr>
          <w:lang w:eastAsia="cs-CZ"/>
        </w:rPr>
        <w:noBreakHyphen/>
      </w:r>
      <w:r w:rsidR="00BC1C7C" w:rsidRPr="006B1026">
        <w:rPr>
          <w:lang w:eastAsia="cs-CZ"/>
        </w:rPr>
        <w:t xml:space="preserve">y. </w:t>
      </w:r>
      <w:r w:rsidR="00BC1C7C" w:rsidRPr="00891031">
        <w:rPr>
          <w:lang w:eastAsia="cs-CZ"/>
        </w:rPr>
        <w:t xml:space="preserve">Service producer prices in the </w:t>
      </w:r>
      <w:r w:rsidR="00BC1C7C" w:rsidRPr="006B1026">
        <w:rPr>
          <w:lang w:eastAsia="cs-CZ"/>
        </w:rPr>
        <w:t xml:space="preserve">business </w:t>
      </w:r>
      <w:r w:rsidR="00BC1C7C">
        <w:rPr>
          <w:lang w:eastAsia="cs-CZ"/>
        </w:rPr>
        <w:t>sphere</w:t>
      </w:r>
      <w:r w:rsidR="00BC1C7C" w:rsidRPr="006B1026">
        <w:rPr>
          <w:lang w:eastAsia="cs-CZ"/>
        </w:rPr>
        <w:t xml:space="preserve"> </w:t>
      </w:r>
      <w:r w:rsidR="00F04D97">
        <w:rPr>
          <w:lang w:eastAsia="cs-CZ"/>
        </w:rPr>
        <w:t>rose</w:t>
      </w:r>
      <w:r w:rsidR="00BC1C7C" w:rsidRPr="00FE12C6">
        <w:rPr>
          <w:lang w:eastAsia="cs-CZ"/>
        </w:rPr>
        <w:t xml:space="preserve"> by </w:t>
      </w:r>
      <w:r w:rsidR="00F04D97">
        <w:rPr>
          <w:lang w:eastAsia="cs-CZ"/>
        </w:rPr>
        <w:t>0</w:t>
      </w:r>
      <w:r w:rsidR="00480A7A">
        <w:rPr>
          <w:lang w:eastAsia="cs-CZ"/>
        </w:rPr>
        <w:t>.</w:t>
      </w:r>
      <w:r w:rsidR="00F04D97">
        <w:rPr>
          <w:lang w:eastAsia="cs-CZ"/>
        </w:rPr>
        <w:t>8</w:t>
      </w:r>
      <w:r w:rsidR="00BC1C7C" w:rsidRPr="00FE12C6">
        <w:rPr>
          <w:lang w:eastAsia="cs-CZ"/>
        </w:rPr>
        <w:t xml:space="preserve">% </w:t>
      </w:r>
      <w:r w:rsidR="00BC1C7C" w:rsidRPr="00891031">
        <w:rPr>
          <w:lang w:eastAsia="cs-CZ"/>
        </w:rPr>
        <w:t xml:space="preserve">m-o-m </w:t>
      </w:r>
      <w:r w:rsidR="00BC1C7C" w:rsidRPr="006B1026">
        <w:rPr>
          <w:lang w:eastAsia="cs-CZ"/>
        </w:rPr>
        <w:t xml:space="preserve">and by </w:t>
      </w:r>
      <w:r w:rsidR="00480A7A">
        <w:rPr>
          <w:lang w:eastAsia="cs-CZ"/>
        </w:rPr>
        <w:t>4.</w:t>
      </w:r>
      <w:r w:rsidR="00F04D97">
        <w:rPr>
          <w:lang w:eastAsia="cs-CZ"/>
        </w:rPr>
        <w:t>4</w:t>
      </w:r>
      <w:r w:rsidR="00BC1C7C" w:rsidRPr="006B1026">
        <w:rPr>
          <w:lang w:eastAsia="cs-CZ"/>
        </w:rPr>
        <w:t>% y</w:t>
      </w:r>
      <w:r w:rsidR="00BC1C7C">
        <w:rPr>
          <w:lang w:eastAsia="cs-CZ"/>
        </w:rPr>
        <w:noBreakHyphen/>
      </w:r>
      <w:r w:rsidR="00BC1C7C" w:rsidRPr="006B1026">
        <w:rPr>
          <w:lang w:eastAsia="cs-CZ"/>
        </w:rPr>
        <w:t>o-y.</w:t>
      </w:r>
    </w:p>
    <w:p w14:paraId="000A8690" w14:textId="77777777" w:rsidR="00AE5F3A" w:rsidRPr="0076579D" w:rsidRDefault="00AE5F3A" w:rsidP="00AE5F3A">
      <w:pPr>
        <w:rPr>
          <w:rFonts w:cstheme="minorHAnsi"/>
        </w:rPr>
      </w:pPr>
      <w:r w:rsidRPr="0076579D">
        <w:rPr>
          <w:rFonts w:cstheme="minorHAnsi"/>
          <w:i/>
        </w:rPr>
        <w:t xml:space="preserve">“Prices of agricultural producers </w:t>
      </w:r>
      <w:r>
        <w:rPr>
          <w:rFonts w:cstheme="minorHAnsi"/>
          <w:i/>
        </w:rPr>
        <w:t>rose again year-on-year, now more than by 11%.</w:t>
      </w:r>
      <w:r w:rsidRPr="0076579D">
        <w:rPr>
          <w:rFonts w:cstheme="minorHAnsi"/>
          <w:i/>
        </w:rPr>
        <w:t xml:space="preserve"> Construction work prices were higher by 2.6% year-on-year and service producer prices in the business sphere by 4.</w:t>
      </w:r>
      <w:r>
        <w:rPr>
          <w:rFonts w:cstheme="minorHAnsi"/>
          <w:i/>
        </w:rPr>
        <w:t>4</w:t>
      </w:r>
      <w:r w:rsidRPr="0076579D">
        <w:rPr>
          <w:rFonts w:cstheme="minorHAnsi"/>
          <w:i/>
        </w:rPr>
        <w:t xml:space="preserve">%. </w:t>
      </w:r>
      <w:r>
        <w:rPr>
          <w:rFonts w:cstheme="minorHAnsi"/>
          <w:i/>
        </w:rPr>
        <w:t>P</w:t>
      </w:r>
      <w:r w:rsidRPr="0076579D">
        <w:rPr>
          <w:rFonts w:cstheme="minorHAnsi"/>
          <w:i/>
        </w:rPr>
        <w:t xml:space="preserve">rices of industrial producers </w:t>
      </w:r>
      <w:r>
        <w:rPr>
          <w:rFonts w:cstheme="minorHAnsi"/>
          <w:i/>
        </w:rPr>
        <w:t xml:space="preserve">remained stable month-on-month and decreased by 0.8% </w:t>
      </w:r>
      <w:r w:rsidRPr="0076579D">
        <w:rPr>
          <w:rFonts w:cstheme="minorHAnsi"/>
          <w:i/>
        </w:rPr>
        <w:t>year-on-year,”</w:t>
      </w:r>
      <w:r w:rsidRPr="0076579D">
        <w:rPr>
          <w:rFonts w:cstheme="minorHAnsi"/>
        </w:rPr>
        <w:t xml:space="preserve"> noted Vladimir Klimes, head of Industrial and International Trade Prices Statistics Unit of CZSO.</w:t>
      </w:r>
    </w:p>
    <w:p w14:paraId="2ED8E1EF" w14:textId="77777777" w:rsidR="00AE5F3A" w:rsidRDefault="00AE5F3A" w:rsidP="00AE5F3A">
      <w:pPr>
        <w:rPr>
          <w:rFonts w:cstheme="minorHAnsi"/>
          <w:i/>
        </w:rPr>
      </w:pPr>
    </w:p>
    <w:p w14:paraId="0326FB64" w14:textId="4A9A36E1" w:rsidR="00BC1C7C" w:rsidRPr="0010486A" w:rsidRDefault="00564110" w:rsidP="00C7491D">
      <w:pPr>
        <w:rPr>
          <w:bCs/>
          <w:szCs w:val="20"/>
        </w:rPr>
      </w:pPr>
      <w:r w:rsidRPr="00564110">
        <w:rPr>
          <w:b/>
          <w:szCs w:val="20"/>
        </w:rPr>
        <w:t>Agricultural prod</w:t>
      </w:r>
      <w:bookmarkStart w:id="0" w:name="_GoBack"/>
      <w:bookmarkEnd w:id="0"/>
      <w:r w:rsidRPr="00564110">
        <w:rPr>
          <w:b/>
          <w:szCs w:val="20"/>
        </w:rPr>
        <w:t xml:space="preserve">ucer </w:t>
      </w:r>
      <w:r w:rsidRPr="00B77038">
        <w:rPr>
          <w:szCs w:val="20"/>
        </w:rPr>
        <w:t>prices</w:t>
      </w:r>
      <w:r w:rsidRPr="00564110">
        <w:rPr>
          <w:b/>
          <w:szCs w:val="20"/>
        </w:rPr>
        <w:t xml:space="preserve"> </w:t>
      </w:r>
      <w:r w:rsidR="00E63DBF" w:rsidRPr="00E63DBF">
        <w:rPr>
          <w:szCs w:val="20"/>
        </w:rPr>
        <w:t>de</w:t>
      </w:r>
      <w:r w:rsidR="008B3901" w:rsidRPr="008B3901">
        <w:rPr>
          <w:szCs w:val="20"/>
        </w:rPr>
        <w:t xml:space="preserve">creased by </w:t>
      </w:r>
      <w:r w:rsidR="0010486A">
        <w:rPr>
          <w:szCs w:val="20"/>
        </w:rPr>
        <w:t>1.</w:t>
      </w:r>
      <w:r w:rsidR="00FF4A7A">
        <w:rPr>
          <w:szCs w:val="20"/>
        </w:rPr>
        <w:t>2</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E63DBF">
        <w:rPr>
          <w:szCs w:val="20"/>
        </w:rPr>
        <w:t>Falling</w:t>
      </w:r>
      <w:r w:rsidR="00210D8F" w:rsidRPr="00D57ABE">
        <w:rPr>
          <w:szCs w:val="20"/>
        </w:rPr>
        <w:t xml:space="preserve"> were prices of</w:t>
      </w:r>
      <w:r w:rsidR="00FF4A7A">
        <w:rPr>
          <w:szCs w:val="20"/>
        </w:rPr>
        <w:t xml:space="preserve"> potatoes (</w:t>
      </w:r>
      <w:r w:rsidR="00FF4A7A">
        <w:rPr>
          <w:szCs w:val="20"/>
        </w:rPr>
        <w:noBreakHyphen/>
        <w:t>15.6%),</w:t>
      </w:r>
      <w:r w:rsidR="00C7491D">
        <w:rPr>
          <w:szCs w:val="20"/>
        </w:rPr>
        <w:t xml:space="preserve"> </w:t>
      </w:r>
      <w:r w:rsidR="00FF4A7A" w:rsidRPr="00A522F3">
        <w:rPr>
          <w:bCs/>
          <w:szCs w:val="20"/>
        </w:rPr>
        <w:t>fruit (</w:t>
      </w:r>
      <w:r w:rsidR="00FF4A7A">
        <w:rPr>
          <w:bCs/>
          <w:szCs w:val="20"/>
        </w:rPr>
        <w:t xml:space="preserve">-7.4%), </w:t>
      </w:r>
      <w:r w:rsidR="00FF4A7A" w:rsidRPr="00F51D84">
        <w:rPr>
          <w:bCs/>
          <w:szCs w:val="20"/>
        </w:rPr>
        <w:t>cereals (</w:t>
      </w:r>
      <w:r w:rsidR="00FF4A7A">
        <w:rPr>
          <w:bCs/>
          <w:szCs w:val="20"/>
        </w:rPr>
        <w:t>-5</w:t>
      </w:r>
      <w:r w:rsidR="00135D89">
        <w:rPr>
          <w:bCs/>
          <w:szCs w:val="20"/>
        </w:rPr>
        <w:t>.1</w:t>
      </w:r>
      <w:r w:rsidR="00FF4A7A">
        <w:rPr>
          <w:bCs/>
          <w:szCs w:val="20"/>
        </w:rPr>
        <w:t>%)</w:t>
      </w:r>
      <w:r w:rsidR="00135D89">
        <w:rPr>
          <w:bCs/>
          <w:szCs w:val="20"/>
        </w:rPr>
        <w:t>, fresh vegetables (-3.4%),</w:t>
      </w:r>
      <w:r w:rsidR="00135D89" w:rsidRPr="00135D89">
        <w:rPr>
          <w:szCs w:val="20"/>
        </w:rPr>
        <w:t xml:space="preserve"> </w:t>
      </w:r>
      <w:r w:rsidR="00135D89" w:rsidRPr="00F6053C">
        <w:rPr>
          <w:szCs w:val="20"/>
        </w:rPr>
        <w:t xml:space="preserve">pigs for slaughter </w:t>
      </w:r>
      <w:r w:rsidR="00135D89" w:rsidRPr="00B53CDF">
        <w:rPr>
          <w:bCs/>
          <w:szCs w:val="20"/>
        </w:rPr>
        <w:t>(</w:t>
      </w:r>
      <w:r w:rsidR="00135D89" w:rsidRPr="00B53CDF">
        <w:rPr>
          <w:bCs/>
          <w:szCs w:val="20"/>
        </w:rPr>
        <w:noBreakHyphen/>
      </w:r>
      <w:r w:rsidR="00135D89">
        <w:rPr>
          <w:bCs/>
          <w:szCs w:val="20"/>
        </w:rPr>
        <w:t>3.2</w:t>
      </w:r>
      <w:r w:rsidR="00135D89" w:rsidRPr="00B53CDF">
        <w:rPr>
          <w:bCs/>
          <w:szCs w:val="20"/>
        </w:rPr>
        <w:t>%)</w:t>
      </w:r>
      <w:r w:rsidR="00135D89">
        <w:rPr>
          <w:bCs/>
          <w:szCs w:val="20"/>
        </w:rPr>
        <w:t xml:space="preserve">, </w:t>
      </w:r>
      <w:r w:rsidR="00E8544D">
        <w:rPr>
          <w:bCs/>
          <w:szCs w:val="20"/>
        </w:rPr>
        <w:t>oilseeds (-</w:t>
      </w:r>
      <w:r w:rsidR="00135D89">
        <w:rPr>
          <w:bCs/>
          <w:szCs w:val="20"/>
        </w:rPr>
        <w:t>3.1</w:t>
      </w:r>
      <w:r w:rsidR="00E8544D">
        <w:rPr>
          <w:bCs/>
          <w:szCs w:val="20"/>
        </w:rPr>
        <w:t>%)</w:t>
      </w:r>
      <w:r w:rsidR="00135D89">
        <w:rPr>
          <w:bCs/>
          <w:szCs w:val="20"/>
        </w:rPr>
        <w:t xml:space="preserve"> and</w:t>
      </w:r>
      <w:r w:rsidR="00E8544D">
        <w:rPr>
          <w:bCs/>
          <w:szCs w:val="20"/>
        </w:rPr>
        <w:t xml:space="preserve"> </w:t>
      </w:r>
      <w:r w:rsidR="0010486A">
        <w:rPr>
          <w:bCs/>
          <w:szCs w:val="20"/>
        </w:rPr>
        <w:t>eggs (-</w:t>
      </w:r>
      <w:r w:rsidR="00135D89">
        <w:rPr>
          <w:bCs/>
          <w:szCs w:val="20"/>
        </w:rPr>
        <w:t>0</w:t>
      </w:r>
      <w:r w:rsidR="0010486A">
        <w:rPr>
          <w:bCs/>
          <w:szCs w:val="20"/>
        </w:rPr>
        <w:t xml:space="preserve">.3%). </w:t>
      </w:r>
      <w:r w:rsidR="00E63DBF" w:rsidRPr="00480A7A">
        <w:rPr>
          <w:bCs/>
          <w:szCs w:val="20"/>
        </w:rPr>
        <w:t xml:space="preserve">The </w:t>
      </w:r>
      <w:r w:rsidR="00E63DBF">
        <w:rPr>
          <w:bCs/>
          <w:szCs w:val="20"/>
        </w:rPr>
        <w:t>in</w:t>
      </w:r>
      <w:r w:rsidR="00E63DBF" w:rsidRPr="00480A7A">
        <w:rPr>
          <w:bCs/>
          <w:szCs w:val="20"/>
        </w:rPr>
        <w:t>crease was recorded for</w:t>
      </w:r>
      <w:r w:rsidR="00E63DBF">
        <w:rPr>
          <w:bCs/>
          <w:szCs w:val="20"/>
        </w:rPr>
        <w:t xml:space="preserve"> p</w:t>
      </w:r>
      <w:r w:rsidR="00E63DBF" w:rsidRPr="00F11FB1">
        <w:rPr>
          <w:bCs/>
          <w:szCs w:val="20"/>
        </w:rPr>
        <w:t>rices of</w:t>
      </w:r>
      <w:r w:rsidR="00E63DBF" w:rsidRPr="00E63DBF">
        <w:rPr>
          <w:bCs/>
          <w:szCs w:val="20"/>
        </w:rPr>
        <w:t xml:space="preserve"> </w:t>
      </w:r>
      <w:r w:rsidR="0010486A">
        <w:rPr>
          <w:szCs w:val="20"/>
        </w:rPr>
        <w:t>cattle for slaughter (+</w:t>
      </w:r>
      <w:r w:rsidR="00135D89">
        <w:rPr>
          <w:szCs w:val="20"/>
        </w:rPr>
        <w:t>4</w:t>
      </w:r>
      <w:r w:rsidR="0010486A">
        <w:rPr>
          <w:szCs w:val="20"/>
        </w:rPr>
        <w:t>.</w:t>
      </w:r>
      <w:r w:rsidR="00135D89">
        <w:rPr>
          <w:szCs w:val="20"/>
        </w:rPr>
        <w:t>1</w:t>
      </w:r>
      <w:r w:rsidR="0010486A">
        <w:rPr>
          <w:szCs w:val="20"/>
        </w:rPr>
        <w:t>%)</w:t>
      </w:r>
      <w:r w:rsidR="00135D89">
        <w:rPr>
          <w:szCs w:val="20"/>
        </w:rPr>
        <w:t>,</w:t>
      </w:r>
      <w:r w:rsidR="0010486A">
        <w:rPr>
          <w:szCs w:val="20"/>
        </w:rPr>
        <w:t xml:space="preserve"> </w:t>
      </w:r>
      <w:r w:rsidR="00135D89">
        <w:rPr>
          <w:bCs/>
          <w:szCs w:val="20"/>
        </w:rPr>
        <w:t xml:space="preserve">poultry (+3.0%) </w:t>
      </w:r>
      <w:r w:rsidR="0010486A">
        <w:rPr>
          <w:szCs w:val="20"/>
        </w:rPr>
        <w:t xml:space="preserve">and </w:t>
      </w:r>
      <w:r w:rsidR="0010486A">
        <w:rPr>
          <w:bCs/>
          <w:szCs w:val="20"/>
        </w:rPr>
        <w:t>milk (+0.</w:t>
      </w:r>
      <w:r w:rsidR="00135D89">
        <w:rPr>
          <w:bCs/>
          <w:szCs w:val="20"/>
        </w:rPr>
        <w:t>4</w:t>
      </w:r>
      <w:r w:rsidR="0010486A">
        <w:rPr>
          <w:bCs/>
          <w:szCs w:val="20"/>
        </w:rPr>
        <w:t xml:space="preserve">%). </w:t>
      </w:r>
      <w:r w:rsidR="00BC1C7C" w:rsidRPr="007169EE">
        <w:rPr>
          <w:b/>
          <w:szCs w:val="20"/>
        </w:rPr>
        <w:t>Y</w:t>
      </w:r>
      <w:r w:rsidR="00F11FB1">
        <w:rPr>
          <w:b/>
          <w:szCs w:val="20"/>
        </w:rPr>
        <w:noBreakHyphen/>
      </w:r>
      <w:r w:rsidR="00BC1C7C" w:rsidRPr="007169EE">
        <w:rPr>
          <w:b/>
          <w:szCs w:val="20"/>
        </w:rPr>
        <w:t>o</w:t>
      </w:r>
      <w:r w:rsidR="00F11FB1">
        <w:rPr>
          <w:b/>
          <w:szCs w:val="20"/>
        </w:rPr>
        <w:noBreakHyphen/>
      </w:r>
      <w:r w:rsidR="00BC1C7C" w:rsidRPr="007169EE">
        <w:rPr>
          <w:b/>
          <w:szCs w:val="20"/>
        </w:rPr>
        <w:t>y</w:t>
      </w:r>
      <w:r w:rsidR="00BC1C7C">
        <w:rPr>
          <w:szCs w:val="20"/>
        </w:rPr>
        <w:t>,</w:t>
      </w:r>
      <w:r w:rsidR="00BC1C7C" w:rsidRPr="007169EE">
        <w:rPr>
          <w:b/>
          <w:szCs w:val="20"/>
        </w:rPr>
        <w:t xml:space="preserve"> a</w:t>
      </w:r>
      <w:r w:rsidR="00BC1C7C" w:rsidRPr="007169EE">
        <w:rPr>
          <w:b/>
          <w:bCs/>
          <w:szCs w:val="20"/>
        </w:rPr>
        <w:t xml:space="preserve">gricultural </w:t>
      </w:r>
      <w:r w:rsidR="00BC1C7C" w:rsidRPr="00D80704">
        <w:rPr>
          <w:b/>
          <w:bCs/>
          <w:szCs w:val="20"/>
        </w:rPr>
        <w:t xml:space="preserve">producer </w:t>
      </w:r>
      <w:r w:rsidR="00BC1C7C" w:rsidRPr="00AC378B">
        <w:rPr>
          <w:szCs w:val="20"/>
        </w:rPr>
        <w:t>prices</w:t>
      </w:r>
      <w:r w:rsidR="00BC1C7C">
        <w:rPr>
          <w:bCs/>
          <w:szCs w:val="20"/>
        </w:rPr>
        <w:t xml:space="preserve"> </w:t>
      </w:r>
      <w:r w:rsidR="00224F79">
        <w:rPr>
          <w:bCs/>
          <w:szCs w:val="20"/>
        </w:rPr>
        <w:t>grew</w:t>
      </w:r>
      <w:r w:rsidR="00BC1C7C">
        <w:rPr>
          <w:bCs/>
          <w:szCs w:val="20"/>
        </w:rPr>
        <w:t xml:space="preserve"> by</w:t>
      </w:r>
      <w:r w:rsidR="00BC1C7C" w:rsidRPr="00D12A91">
        <w:rPr>
          <w:bCs/>
          <w:szCs w:val="20"/>
        </w:rPr>
        <w:t xml:space="preserve"> </w:t>
      </w:r>
      <w:r w:rsidR="00232828">
        <w:rPr>
          <w:bCs/>
          <w:szCs w:val="20"/>
        </w:rPr>
        <w:t>1</w:t>
      </w:r>
      <w:r w:rsidR="0010486A">
        <w:rPr>
          <w:bCs/>
          <w:szCs w:val="20"/>
        </w:rPr>
        <w:t>1</w:t>
      </w:r>
      <w:r w:rsidR="00480A7A">
        <w:rPr>
          <w:bCs/>
          <w:szCs w:val="20"/>
        </w:rPr>
        <w:t>.</w:t>
      </w:r>
      <w:r w:rsidR="00135D89">
        <w:rPr>
          <w:bCs/>
          <w:szCs w:val="20"/>
        </w:rPr>
        <w:t>4</w:t>
      </w:r>
      <w:r w:rsidR="00BC1C7C" w:rsidRPr="00D12A91">
        <w:rPr>
          <w:bCs/>
          <w:szCs w:val="20"/>
        </w:rPr>
        <w:t>% (</w:t>
      </w:r>
      <w:r w:rsidR="00232828">
        <w:rPr>
          <w:bCs/>
          <w:szCs w:val="20"/>
        </w:rPr>
        <w:t>+1</w:t>
      </w:r>
      <w:r w:rsidR="00135D89">
        <w:rPr>
          <w:bCs/>
          <w:szCs w:val="20"/>
        </w:rPr>
        <w:t>1</w:t>
      </w:r>
      <w:r w:rsidR="00232828">
        <w:rPr>
          <w:bCs/>
          <w:szCs w:val="20"/>
        </w:rPr>
        <w:t>.</w:t>
      </w:r>
      <w:r w:rsidR="00135D89">
        <w:rPr>
          <w:bCs/>
          <w:szCs w:val="20"/>
        </w:rPr>
        <w:t>2</w:t>
      </w:r>
      <w:r w:rsidR="00232828" w:rsidRPr="00D12A91">
        <w:rPr>
          <w:bCs/>
          <w:szCs w:val="20"/>
        </w:rPr>
        <w:t xml:space="preserve">% </w:t>
      </w:r>
      <w:r w:rsidR="00E63DBF">
        <w:rPr>
          <w:bCs/>
          <w:szCs w:val="20"/>
        </w:rPr>
        <w:t>i</w:t>
      </w:r>
      <w:r w:rsidR="00BC1C7C" w:rsidRPr="00D12A91">
        <w:rPr>
          <w:bCs/>
          <w:szCs w:val="20"/>
        </w:rPr>
        <w:t xml:space="preserve">n </w:t>
      </w:r>
      <w:r w:rsidR="00F04D97">
        <w:rPr>
          <w:bCs/>
          <w:szCs w:val="20"/>
        </w:rPr>
        <w:t>July</w:t>
      </w:r>
      <w:r w:rsidR="00BC1C7C" w:rsidRPr="00D12A91">
        <w:rPr>
          <w:bCs/>
          <w:szCs w:val="20"/>
        </w:rPr>
        <w:t xml:space="preserve">). In crop production, prices </w:t>
      </w:r>
      <w:r w:rsidR="00224F79">
        <w:rPr>
          <w:bCs/>
          <w:szCs w:val="20"/>
        </w:rPr>
        <w:t>went up</w:t>
      </w:r>
      <w:r w:rsidR="00BC1C7C" w:rsidRPr="00D12A91">
        <w:rPr>
          <w:bCs/>
          <w:szCs w:val="20"/>
        </w:rPr>
        <w:t xml:space="preserve"> by </w:t>
      </w:r>
      <w:r w:rsidR="00135D89">
        <w:rPr>
          <w:bCs/>
          <w:szCs w:val="20"/>
        </w:rPr>
        <w:t>4</w:t>
      </w:r>
      <w:r w:rsidR="00BA3959">
        <w:rPr>
          <w:bCs/>
          <w:szCs w:val="20"/>
        </w:rPr>
        <w:t>.</w:t>
      </w:r>
      <w:r w:rsidR="002F0830">
        <w:rPr>
          <w:bCs/>
          <w:szCs w:val="20"/>
        </w:rPr>
        <w:t>6</w:t>
      </w:r>
      <w:r w:rsidR="00BC1C7C" w:rsidRPr="00D12A91">
        <w:rPr>
          <w:bCs/>
          <w:szCs w:val="20"/>
        </w:rPr>
        <w:t xml:space="preserve">%. </w:t>
      </w:r>
      <w:r w:rsidR="00F11FB1">
        <w:rPr>
          <w:bCs/>
          <w:szCs w:val="20"/>
        </w:rPr>
        <w:t>Higher</w:t>
      </w:r>
      <w:r w:rsidR="00FF6717" w:rsidRPr="00FF6717">
        <w:rPr>
          <w:bCs/>
          <w:szCs w:val="20"/>
        </w:rPr>
        <w:t xml:space="preserve"> </w:t>
      </w:r>
      <w:r w:rsidR="00BA3959">
        <w:rPr>
          <w:bCs/>
          <w:szCs w:val="20"/>
        </w:rPr>
        <w:t xml:space="preserve">were </w:t>
      </w:r>
      <w:r w:rsidR="00FF6717" w:rsidRPr="00A105F5">
        <w:rPr>
          <w:bCs/>
          <w:szCs w:val="20"/>
        </w:rPr>
        <w:t>p</w:t>
      </w:r>
      <w:r w:rsidR="00FF6717" w:rsidRPr="00FF6717">
        <w:rPr>
          <w:bCs/>
          <w:szCs w:val="20"/>
        </w:rPr>
        <w:t xml:space="preserve">rices </w:t>
      </w:r>
      <w:r w:rsidR="00BA3959">
        <w:rPr>
          <w:bCs/>
          <w:szCs w:val="20"/>
        </w:rPr>
        <w:t>of</w:t>
      </w:r>
      <w:r w:rsidR="00F11FB1">
        <w:rPr>
          <w:bCs/>
          <w:szCs w:val="20"/>
        </w:rPr>
        <w:t xml:space="preserve"> </w:t>
      </w:r>
      <w:r w:rsidR="00177046" w:rsidRPr="00A522F3">
        <w:rPr>
          <w:bCs/>
          <w:szCs w:val="20"/>
        </w:rPr>
        <w:t>fruit (+</w:t>
      </w:r>
      <w:r w:rsidR="002F0830">
        <w:rPr>
          <w:bCs/>
          <w:szCs w:val="20"/>
        </w:rPr>
        <w:t>1</w:t>
      </w:r>
      <w:r w:rsidR="00135D89">
        <w:rPr>
          <w:bCs/>
          <w:szCs w:val="20"/>
        </w:rPr>
        <w:t>4</w:t>
      </w:r>
      <w:r w:rsidR="002F0830">
        <w:rPr>
          <w:bCs/>
          <w:szCs w:val="20"/>
        </w:rPr>
        <w:t>.</w:t>
      </w:r>
      <w:r w:rsidR="00135D89">
        <w:rPr>
          <w:bCs/>
          <w:szCs w:val="20"/>
        </w:rPr>
        <w:t>2</w:t>
      </w:r>
      <w:r w:rsidR="00177046">
        <w:rPr>
          <w:bCs/>
          <w:szCs w:val="20"/>
        </w:rPr>
        <w:t xml:space="preserve">%), </w:t>
      </w:r>
      <w:r w:rsidR="00232828" w:rsidRPr="00FE3862">
        <w:rPr>
          <w:bCs/>
          <w:szCs w:val="20"/>
        </w:rPr>
        <w:t>oilseeds</w:t>
      </w:r>
      <w:r w:rsidR="00232828">
        <w:rPr>
          <w:bCs/>
          <w:szCs w:val="20"/>
        </w:rPr>
        <w:t xml:space="preserve"> </w:t>
      </w:r>
      <w:r w:rsidR="00232828" w:rsidRPr="00A522F3">
        <w:rPr>
          <w:bCs/>
          <w:szCs w:val="20"/>
        </w:rPr>
        <w:t>(+</w:t>
      </w:r>
      <w:r w:rsidR="002F0830">
        <w:rPr>
          <w:bCs/>
          <w:szCs w:val="20"/>
        </w:rPr>
        <w:t>1</w:t>
      </w:r>
      <w:r w:rsidR="00135D89">
        <w:rPr>
          <w:bCs/>
          <w:szCs w:val="20"/>
        </w:rPr>
        <w:t>0</w:t>
      </w:r>
      <w:r w:rsidR="00232828">
        <w:rPr>
          <w:bCs/>
          <w:szCs w:val="20"/>
        </w:rPr>
        <w:t>.0%)</w:t>
      </w:r>
      <w:r w:rsidR="00135D89">
        <w:rPr>
          <w:bCs/>
          <w:szCs w:val="20"/>
        </w:rPr>
        <w:t>,</w:t>
      </w:r>
      <w:r w:rsidR="00232828" w:rsidRPr="004939B5">
        <w:rPr>
          <w:bCs/>
          <w:szCs w:val="20"/>
        </w:rPr>
        <w:t xml:space="preserve"> </w:t>
      </w:r>
      <w:r w:rsidR="00054645" w:rsidRPr="00F51D84">
        <w:rPr>
          <w:bCs/>
          <w:szCs w:val="20"/>
        </w:rPr>
        <w:t>cereals (</w:t>
      </w:r>
      <w:r w:rsidR="003736FB">
        <w:rPr>
          <w:bCs/>
          <w:szCs w:val="20"/>
        </w:rPr>
        <w:t>+</w:t>
      </w:r>
      <w:r w:rsidR="00135D89">
        <w:rPr>
          <w:bCs/>
          <w:szCs w:val="20"/>
        </w:rPr>
        <w:t>3</w:t>
      </w:r>
      <w:r w:rsidR="002F0830">
        <w:rPr>
          <w:bCs/>
          <w:szCs w:val="20"/>
        </w:rPr>
        <w:t>.</w:t>
      </w:r>
      <w:r w:rsidR="00135D89">
        <w:rPr>
          <w:bCs/>
          <w:szCs w:val="20"/>
        </w:rPr>
        <w:t>9</w:t>
      </w:r>
      <w:r w:rsidR="00054645">
        <w:rPr>
          <w:bCs/>
          <w:szCs w:val="20"/>
        </w:rPr>
        <w:t>%)</w:t>
      </w:r>
      <w:r w:rsidR="00135D89">
        <w:rPr>
          <w:bCs/>
          <w:szCs w:val="20"/>
        </w:rPr>
        <w:t xml:space="preserve"> and fresh vegetables (+3.4%)</w:t>
      </w:r>
      <w:r w:rsidR="00480A7A">
        <w:rPr>
          <w:bCs/>
          <w:szCs w:val="20"/>
        </w:rPr>
        <w:t xml:space="preserve">, </w:t>
      </w:r>
      <w:r w:rsidR="00F11FB1" w:rsidRPr="00A522F3">
        <w:rPr>
          <w:bCs/>
          <w:szCs w:val="20"/>
        </w:rPr>
        <w:t>while prices of</w:t>
      </w:r>
      <w:r w:rsidR="00F11FB1">
        <w:rPr>
          <w:bCs/>
          <w:szCs w:val="20"/>
        </w:rPr>
        <w:t xml:space="preserve"> </w:t>
      </w:r>
      <w:r w:rsidR="00F11FB1" w:rsidRPr="00F51D84">
        <w:rPr>
          <w:bCs/>
          <w:szCs w:val="20"/>
        </w:rPr>
        <w:t>potatoes</w:t>
      </w:r>
      <w:r w:rsidR="00135D89">
        <w:rPr>
          <w:bCs/>
          <w:szCs w:val="20"/>
        </w:rPr>
        <w:t xml:space="preserve"> fell</w:t>
      </w:r>
      <w:r w:rsidR="00F11FB1" w:rsidRPr="00F51D84">
        <w:rPr>
          <w:bCs/>
          <w:szCs w:val="20"/>
        </w:rPr>
        <w:t xml:space="preserve"> (</w:t>
      </w:r>
      <w:r w:rsidR="00135D89">
        <w:rPr>
          <w:bCs/>
          <w:szCs w:val="20"/>
        </w:rPr>
        <w:noBreakHyphen/>
        <w:t>36.0</w:t>
      </w:r>
      <w:r w:rsidR="00F11FB1">
        <w:rPr>
          <w:bCs/>
          <w:szCs w:val="20"/>
        </w:rPr>
        <w:t>%)</w:t>
      </w:r>
      <w:r w:rsidR="00F11FB1" w:rsidRPr="00A522F3">
        <w:rPr>
          <w:bCs/>
          <w:szCs w:val="20"/>
        </w:rPr>
        <w:t>.</w:t>
      </w:r>
      <w:r w:rsidR="00F11FB1">
        <w:rPr>
          <w:bCs/>
          <w:szCs w:val="20"/>
        </w:rPr>
        <w:t xml:space="preserve"> </w:t>
      </w:r>
      <w:r w:rsidR="00BC1C7C" w:rsidRPr="00D12A91">
        <w:rPr>
          <w:bCs/>
          <w:szCs w:val="20"/>
        </w:rPr>
        <w:t xml:space="preserve">In </w:t>
      </w:r>
      <w:r w:rsidR="00BC1C7C">
        <w:rPr>
          <w:bCs/>
          <w:szCs w:val="20"/>
        </w:rPr>
        <w:t>animal</w:t>
      </w:r>
      <w:r w:rsidR="00BC1C7C" w:rsidRPr="00D12A91">
        <w:rPr>
          <w:bCs/>
          <w:szCs w:val="20"/>
        </w:rPr>
        <w:t xml:space="preserve"> production, prices we</w:t>
      </w:r>
      <w:r w:rsidR="00BC1C7C">
        <w:rPr>
          <w:bCs/>
          <w:szCs w:val="20"/>
        </w:rPr>
        <w:t xml:space="preserve">nt </w:t>
      </w:r>
      <w:r w:rsidR="00A522F3">
        <w:rPr>
          <w:bCs/>
          <w:szCs w:val="20"/>
        </w:rPr>
        <w:t>up</w:t>
      </w:r>
      <w:r w:rsidR="00BC1C7C">
        <w:rPr>
          <w:bCs/>
          <w:szCs w:val="20"/>
        </w:rPr>
        <w:t xml:space="preserve"> by </w:t>
      </w:r>
      <w:r w:rsidR="00F11FB1">
        <w:rPr>
          <w:bCs/>
          <w:szCs w:val="20"/>
        </w:rPr>
        <w:t>1</w:t>
      </w:r>
      <w:r w:rsidR="00135D89">
        <w:rPr>
          <w:bCs/>
          <w:szCs w:val="20"/>
        </w:rPr>
        <w:t>8</w:t>
      </w:r>
      <w:r w:rsidR="00232828">
        <w:rPr>
          <w:bCs/>
          <w:szCs w:val="20"/>
        </w:rPr>
        <w:t>.</w:t>
      </w:r>
      <w:r w:rsidR="00135D89">
        <w:rPr>
          <w:bCs/>
          <w:szCs w:val="20"/>
        </w:rPr>
        <w:t>9</w:t>
      </w:r>
      <w:r w:rsidR="00BC1C7C" w:rsidRPr="00F6053C">
        <w:rPr>
          <w:bCs/>
          <w:szCs w:val="20"/>
        </w:rPr>
        <w:t xml:space="preserve">%. </w:t>
      </w:r>
      <w:r w:rsidR="00337AC4" w:rsidRPr="00F6053C">
        <w:rPr>
          <w:bCs/>
          <w:szCs w:val="20"/>
        </w:rPr>
        <w:t xml:space="preserve">Prices increased for </w:t>
      </w:r>
      <w:r w:rsidR="00F11FB1">
        <w:rPr>
          <w:bCs/>
          <w:szCs w:val="20"/>
        </w:rPr>
        <w:t>eggs (+</w:t>
      </w:r>
      <w:r w:rsidR="002F0830">
        <w:rPr>
          <w:bCs/>
          <w:szCs w:val="20"/>
        </w:rPr>
        <w:t>4</w:t>
      </w:r>
      <w:r w:rsidR="00135D89">
        <w:rPr>
          <w:bCs/>
          <w:szCs w:val="20"/>
        </w:rPr>
        <w:t>4</w:t>
      </w:r>
      <w:r w:rsidR="00F11FB1">
        <w:rPr>
          <w:bCs/>
          <w:szCs w:val="20"/>
        </w:rPr>
        <w:t>.</w:t>
      </w:r>
      <w:r w:rsidR="00135D89">
        <w:rPr>
          <w:bCs/>
          <w:szCs w:val="20"/>
        </w:rPr>
        <w:t>9</w:t>
      </w:r>
      <w:r w:rsidR="00F11FB1">
        <w:rPr>
          <w:bCs/>
          <w:szCs w:val="20"/>
        </w:rPr>
        <w:t>%),</w:t>
      </w:r>
      <w:r w:rsidR="00F11FB1" w:rsidRPr="00F11FB1">
        <w:rPr>
          <w:bCs/>
          <w:szCs w:val="20"/>
        </w:rPr>
        <w:t xml:space="preserve"> </w:t>
      </w:r>
      <w:r w:rsidR="00F11FB1" w:rsidRPr="00F6053C">
        <w:rPr>
          <w:bCs/>
          <w:szCs w:val="20"/>
        </w:rPr>
        <w:t xml:space="preserve">cattle </w:t>
      </w:r>
      <w:r w:rsidR="00F11FB1" w:rsidRPr="00F6053C">
        <w:rPr>
          <w:szCs w:val="20"/>
        </w:rPr>
        <w:t>for slaughter</w:t>
      </w:r>
      <w:r w:rsidR="00F11FB1" w:rsidRPr="00F6053C">
        <w:rPr>
          <w:bCs/>
          <w:szCs w:val="20"/>
        </w:rPr>
        <w:t xml:space="preserve"> (+</w:t>
      </w:r>
      <w:r w:rsidR="00135D89">
        <w:rPr>
          <w:bCs/>
          <w:szCs w:val="20"/>
        </w:rPr>
        <w:t>40</w:t>
      </w:r>
      <w:r w:rsidR="00D462EC">
        <w:rPr>
          <w:bCs/>
          <w:szCs w:val="20"/>
        </w:rPr>
        <w:t>.</w:t>
      </w:r>
      <w:r w:rsidR="00135D89">
        <w:rPr>
          <w:bCs/>
          <w:szCs w:val="20"/>
        </w:rPr>
        <w:t>1</w:t>
      </w:r>
      <w:r w:rsidR="00F11FB1" w:rsidRPr="00F6053C">
        <w:rPr>
          <w:bCs/>
          <w:szCs w:val="20"/>
        </w:rPr>
        <w:t>%)</w:t>
      </w:r>
      <w:r w:rsidR="00D462EC">
        <w:rPr>
          <w:bCs/>
          <w:szCs w:val="20"/>
        </w:rPr>
        <w:t>,</w:t>
      </w:r>
      <w:r w:rsidR="00F11FB1">
        <w:rPr>
          <w:bCs/>
          <w:szCs w:val="20"/>
        </w:rPr>
        <w:t xml:space="preserve"> </w:t>
      </w:r>
      <w:r w:rsidR="00DE3637" w:rsidRPr="00F6053C">
        <w:rPr>
          <w:bCs/>
          <w:szCs w:val="20"/>
        </w:rPr>
        <w:t>milk (+</w:t>
      </w:r>
      <w:r w:rsidR="00DE3637">
        <w:rPr>
          <w:bCs/>
          <w:szCs w:val="20"/>
        </w:rPr>
        <w:t>1</w:t>
      </w:r>
      <w:r w:rsidR="00B53CDF">
        <w:rPr>
          <w:bCs/>
          <w:szCs w:val="20"/>
        </w:rPr>
        <w:t>9</w:t>
      </w:r>
      <w:r w:rsidR="00232828">
        <w:rPr>
          <w:bCs/>
          <w:szCs w:val="20"/>
        </w:rPr>
        <w:t>.</w:t>
      </w:r>
      <w:r w:rsidR="00135D89">
        <w:rPr>
          <w:bCs/>
          <w:szCs w:val="20"/>
        </w:rPr>
        <w:t>9</w:t>
      </w:r>
      <w:r w:rsidR="00DE3637" w:rsidRPr="00F6053C">
        <w:rPr>
          <w:bCs/>
          <w:szCs w:val="20"/>
        </w:rPr>
        <w:t>%)</w:t>
      </w:r>
      <w:r w:rsidR="00D462EC">
        <w:rPr>
          <w:bCs/>
          <w:szCs w:val="20"/>
        </w:rPr>
        <w:t xml:space="preserve"> and poultry (+</w:t>
      </w:r>
      <w:r w:rsidR="002F0830">
        <w:rPr>
          <w:bCs/>
          <w:szCs w:val="20"/>
        </w:rPr>
        <w:t>1</w:t>
      </w:r>
      <w:r w:rsidR="00135D89">
        <w:rPr>
          <w:bCs/>
          <w:szCs w:val="20"/>
        </w:rPr>
        <w:t>1</w:t>
      </w:r>
      <w:r w:rsidR="00232828">
        <w:rPr>
          <w:bCs/>
          <w:szCs w:val="20"/>
        </w:rPr>
        <w:t>.</w:t>
      </w:r>
      <w:r w:rsidR="00135D89">
        <w:rPr>
          <w:bCs/>
          <w:szCs w:val="20"/>
        </w:rPr>
        <w:t>3</w:t>
      </w:r>
      <w:r w:rsidR="00D462EC">
        <w:rPr>
          <w:bCs/>
          <w:szCs w:val="20"/>
        </w:rPr>
        <w:t>%)</w:t>
      </w:r>
      <w:r w:rsidR="004939B5">
        <w:rPr>
          <w:bCs/>
          <w:szCs w:val="20"/>
        </w:rPr>
        <w:t xml:space="preserve">. </w:t>
      </w:r>
      <w:r w:rsidR="00BC1C7C" w:rsidRPr="00F6053C">
        <w:rPr>
          <w:rStyle w:val="hps"/>
          <w:szCs w:val="20"/>
        </w:rPr>
        <w:t xml:space="preserve">Decrease occurred in prices of </w:t>
      </w:r>
      <w:r w:rsidR="00367EEB" w:rsidRPr="00F6053C">
        <w:rPr>
          <w:szCs w:val="20"/>
        </w:rPr>
        <w:t xml:space="preserve">pigs for slaughter </w:t>
      </w:r>
      <w:r w:rsidR="00367EEB" w:rsidRPr="00B53CDF">
        <w:rPr>
          <w:bCs/>
          <w:szCs w:val="20"/>
        </w:rPr>
        <w:t>(</w:t>
      </w:r>
      <w:r w:rsidR="00F11FB1" w:rsidRPr="00B53CDF">
        <w:rPr>
          <w:bCs/>
          <w:szCs w:val="20"/>
        </w:rPr>
        <w:noBreakHyphen/>
      </w:r>
      <w:r w:rsidR="002F0830">
        <w:rPr>
          <w:bCs/>
          <w:szCs w:val="20"/>
        </w:rPr>
        <w:t>5</w:t>
      </w:r>
      <w:r w:rsidR="00B53CDF">
        <w:rPr>
          <w:bCs/>
          <w:szCs w:val="20"/>
        </w:rPr>
        <w:t>.</w:t>
      </w:r>
      <w:r w:rsidR="002F0830">
        <w:rPr>
          <w:bCs/>
          <w:szCs w:val="20"/>
        </w:rPr>
        <w:t>7</w:t>
      </w:r>
      <w:r w:rsidR="00367EEB" w:rsidRPr="00B53CDF">
        <w:rPr>
          <w:bCs/>
          <w:szCs w:val="20"/>
        </w:rPr>
        <w:t>%)</w:t>
      </w:r>
      <w:r w:rsidR="009F15E5" w:rsidRPr="00B53CDF">
        <w:rPr>
          <w:bCs/>
          <w:szCs w:val="20"/>
        </w:rPr>
        <w:t>.</w:t>
      </w:r>
      <w:r w:rsidR="00BC1C7C" w:rsidRPr="00F6053C">
        <w:rPr>
          <w:szCs w:val="20"/>
        </w:rPr>
        <w:t xml:space="preserve"> </w:t>
      </w:r>
    </w:p>
    <w:p w14:paraId="2DA15FC4" w14:textId="6861298A" w:rsidR="006A7D03" w:rsidRDefault="006A7D03" w:rsidP="00BC1C7C">
      <w:pPr>
        <w:rPr>
          <w:szCs w:val="20"/>
        </w:rPr>
      </w:pPr>
    </w:p>
    <w:p w14:paraId="581C88C0" w14:textId="4EFEBEDB" w:rsidR="00C934D6" w:rsidRPr="00476B1D" w:rsidRDefault="00C934D6" w:rsidP="00C934D6">
      <w:pPr>
        <w:rPr>
          <w:szCs w:val="20"/>
        </w:rPr>
      </w:pPr>
      <w:r w:rsidRPr="00476B1D">
        <w:rPr>
          <w:szCs w:val="20"/>
        </w:rPr>
        <w:t xml:space="preserve">Prices of </w:t>
      </w:r>
      <w:r w:rsidRPr="00476B1D">
        <w:rPr>
          <w:b/>
          <w:szCs w:val="20"/>
        </w:rPr>
        <w:t xml:space="preserve">industrial producers </w:t>
      </w:r>
      <w:r w:rsidRPr="00476B1D">
        <w:rPr>
          <w:szCs w:val="20"/>
        </w:rPr>
        <w:t xml:space="preserve">remained stable </w:t>
      </w:r>
      <w:r w:rsidRPr="00476B1D">
        <w:rPr>
          <w:b/>
          <w:szCs w:val="20"/>
        </w:rPr>
        <w:t xml:space="preserve">m-o-m. </w:t>
      </w:r>
      <w:r w:rsidRPr="00476B1D">
        <w:rPr>
          <w:szCs w:val="20"/>
        </w:rPr>
        <w:t>Prices grew in ‘electricity, gas, steam and air conditioning’ (+1.4%). Higher were prices also in ‘other non-metallic mineral products’ (+0.4%). Prices fell particularly in ‘coke, refined petroleum products’. Prices were lower in ‘food ‘products’ (-0.2%), thereof ‘preserved meat and meat products’ (-0.4%) and ‘processed and preserv</w:t>
      </w:r>
      <w:r w:rsidR="007A50B0">
        <w:rPr>
          <w:szCs w:val="20"/>
        </w:rPr>
        <w:t xml:space="preserve">ed fruit and vegetables’ (-1.5%). </w:t>
      </w:r>
      <w:r w:rsidRPr="00476B1D">
        <w:rPr>
          <w:szCs w:val="20"/>
        </w:rPr>
        <w:t>Prices of</w:t>
      </w:r>
      <w:r w:rsidRPr="00476B1D">
        <w:rPr>
          <w:b/>
          <w:szCs w:val="20"/>
        </w:rPr>
        <w:t xml:space="preserve"> industrial producers </w:t>
      </w:r>
      <w:r w:rsidRPr="00476B1D">
        <w:rPr>
          <w:szCs w:val="20"/>
        </w:rPr>
        <w:t xml:space="preserve">decreased by 0.8% </w:t>
      </w:r>
      <w:r w:rsidRPr="00476B1D">
        <w:rPr>
          <w:b/>
          <w:szCs w:val="20"/>
        </w:rPr>
        <w:t>y</w:t>
      </w:r>
      <w:r w:rsidR="007A50B0">
        <w:rPr>
          <w:b/>
          <w:szCs w:val="20"/>
        </w:rPr>
        <w:noBreakHyphen/>
      </w:r>
      <w:r w:rsidRPr="00476B1D">
        <w:rPr>
          <w:b/>
          <w:szCs w:val="20"/>
        </w:rPr>
        <w:t>o</w:t>
      </w:r>
      <w:r w:rsidR="007A50B0">
        <w:rPr>
          <w:b/>
          <w:szCs w:val="20"/>
        </w:rPr>
        <w:noBreakHyphen/>
      </w:r>
      <w:r w:rsidRPr="00476B1D">
        <w:rPr>
          <w:b/>
          <w:szCs w:val="20"/>
        </w:rPr>
        <w:t xml:space="preserve">y </w:t>
      </w:r>
      <w:r w:rsidRPr="00476B1D">
        <w:rPr>
          <w:szCs w:val="20"/>
        </w:rPr>
        <w:t>(-1.2% in July). Prices went down particularly in ‘coke, refined petroleum products’. Lower were prices in ‘electricity, gas, steam and air conditioning’ (-2.0%), ‘chemicals and chemical products’ (-6.6%) and ‘coal and lignite’ (-10.9%). Prices increased in ‘food products’ (+3.4%), especially in ‘dairy products’ (+10.0%) and ‘preserved meat and meat products’ (+4.6). Prices went down in ‘other food products’ (-5.4%). Higher were prices in ‘wood and products of wood and cork, except furniture’ (+5.4%), ‘repair and installation services of machinery and equipment’ (+4.0%) and ‘other non-metallic mineral products’ (+2.2%).</w:t>
      </w:r>
      <w:r>
        <w:rPr>
          <w:szCs w:val="20"/>
        </w:rPr>
        <w:t xml:space="preserve"> </w:t>
      </w:r>
      <w:r w:rsidRPr="00476B1D">
        <w:rPr>
          <w:szCs w:val="20"/>
        </w:rPr>
        <w:t xml:space="preserve">Among </w:t>
      </w:r>
      <w:r w:rsidRPr="00476B1D">
        <w:rPr>
          <w:b/>
          <w:szCs w:val="20"/>
        </w:rPr>
        <w:t>the</w:t>
      </w:r>
      <w:r w:rsidRPr="00476B1D">
        <w:rPr>
          <w:szCs w:val="20"/>
        </w:rPr>
        <w:t xml:space="preserve"> </w:t>
      </w:r>
      <w:r w:rsidRPr="00476B1D">
        <w:rPr>
          <w:b/>
          <w:szCs w:val="20"/>
        </w:rPr>
        <w:t>main industrial groupings</w:t>
      </w:r>
      <w:r w:rsidRPr="00476B1D">
        <w:rPr>
          <w:szCs w:val="20"/>
        </w:rPr>
        <w:t xml:space="preserve">, prices of ‘energy’ (-3.6%) went down </w:t>
      </w:r>
      <w:r w:rsidRPr="00476B1D">
        <w:rPr>
          <w:b/>
          <w:szCs w:val="20"/>
        </w:rPr>
        <w:t>y-o-y</w:t>
      </w:r>
      <w:r w:rsidRPr="00476B1D">
        <w:rPr>
          <w:szCs w:val="20"/>
        </w:rPr>
        <w:t>, prices of ‘durable consumer goods’ (+2.7%) and ‘non-durable consumer goods’ (+1.7%) went up.</w:t>
      </w:r>
      <w:r>
        <w:rPr>
          <w:szCs w:val="20"/>
        </w:rPr>
        <w:t xml:space="preserve"> </w:t>
      </w:r>
      <w:r w:rsidRPr="00476B1D">
        <w:rPr>
          <w:szCs w:val="20"/>
        </w:rPr>
        <w:t>Prices of</w:t>
      </w:r>
      <w:r w:rsidRPr="00476B1D">
        <w:rPr>
          <w:b/>
          <w:szCs w:val="20"/>
        </w:rPr>
        <w:t xml:space="preserve"> industrial producers excluding energy</w:t>
      </w:r>
      <w:r w:rsidRPr="00476B1D">
        <w:rPr>
          <w:szCs w:val="20"/>
        </w:rPr>
        <w:t xml:space="preserve"> were higher by 0.5% (+0.6% in July).</w:t>
      </w:r>
    </w:p>
    <w:p w14:paraId="72838C4A" w14:textId="77777777" w:rsidR="00232828" w:rsidRDefault="00232828" w:rsidP="00BC1C7C">
      <w:pPr>
        <w:rPr>
          <w:szCs w:val="20"/>
        </w:rPr>
      </w:pPr>
    </w:p>
    <w:p w14:paraId="18B658A3" w14:textId="0D95A0BF" w:rsidR="00BC1C7C" w:rsidRPr="00B62721" w:rsidRDefault="00BC1C7C" w:rsidP="00BC1C7C">
      <w:pPr>
        <w:rPr>
          <w:szCs w:val="20"/>
        </w:rPr>
      </w:pPr>
      <w:r w:rsidRPr="004B0C7A">
        <w:rPr>
          <w:b/>
          <w:bCs/>
          <w:szCs w:val="20"/>
        </w:rPr>
        <w:lastRenderedPageBreak/>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2F0830">
        <w:rPr>
          <w:szCs w:val="20"/>
        </w:rPr>
        <w:t>in</w:t>
      </w:r>
      <w:r w:rsidR="002B23B6" w:rsidRPr="00876F68">
        <w:rPr>
          <w:szCs w:val="20"/>
        </w:rPr>
        <w:t xml:space="preserve">creased </w:t>
      </w:r>
      <w:r w:rsidR="002B23B6" w:rsidRPr="00E75234">
        <w:rPr>
          <w:szCs w:val="20"/>
        </w:rPr>
        <w:t xml:space="preserve">by </w:t>
      </w:r>
      <w:r w:rsidR="002B23B6">
        <w:rPr>
          <w:szCs w:val="20"/>
        </w:rPr>
        <w:t>0.</w:t>
      </w:r>
      <w:r w:rsidR="0041246B">
        <w:rPr>
          <w:szCs w:val="20"/>
        </w:rPr>
        <w:t>3</w:t>
      </w:r>
      <w:r w:rsidR="002B23B6">
        <w:rPr>
          <w:szCs w:val="20"/>
        </w:rPr>
        <w:t xml:space="preserve">% </w:t>
      </w:r>
      <w:r w:rsidR="003863F9">
        <w:rPr>
          <w:szCs w:val="20"/>
        </w:rPr>
        <w:t>and</w:t>
      </w:r>
      <w:r w:rsidR="003863F9" w:rsidRPr="00A522F3">
        <w:rPr>
          <w:szCs w:val="20"/>
        </w:rPr>
        <w:t xml:space="preserve"> prices</w:t>
      </w:r>
      <w:r w:rsidR="003863F9" w:rsidRPr="00B62721">
        <w:rPr>
          <w:szCs w:val="20"/>
        </w:rPr>
        <w:t xml:space="preserve"> of materials and products used in construction</w:t>
      </w:r>
      <w:r w:rsidR="003863F9">
        <w:rPr>
          <w:szCs w:val="20"/>
        </w:rPr>
        <w:t xml:space="preserve"> </w:t>
      </w:r>
      <w:r w:rsidR="002B23B6">
        <w:rPr>
          <w:szCs w:val="20"/>
        </w:rPr>
        <w:t xml:space="preserve">were </w:t>
      </w:r>
      <w:r w:rsidR="002F0830">
        <w:rPr>
          <w:szCs w:val="20"/>
        </w:rPr>
        <w:t>lower</w:t>
      </w:r>
      <w:r w:rsidR="002B23B6" w:rsidRPr="00C73D5C">
        <w:rPr>
          <w:szCs w:val="20"/>
        </w:rPr>
        <w:t xml:space="preserve"> </w:t>
      </w:r>
      <w:r w:rsidR="002B23B6">
        <w:rPr>
          <w:szCs w:val="20"/>
        </w:rPr>
        <w:t xml:space="preserve">by </w:t>
      </w:r>
      <w:r w:rsidR="00E70B65">
        <w:rPr>
          <w:szCs w:val="20"/>
        </w:rPr>
        <w:t>0.</w:t>
      </w:r>
      <w:r w:rsidR="002B23B6">
        <w:rPr>
          <w:szCs w:val="20"/>
        </w:rPr>
        <w:t>1</w:t>
      </w:r>
      <w:r w:rsidR="00E70B65">
        <w:rPr>
          <w:szCs w:val="20"/>
        </w:rPr>
        <w:t xml:space="preserve">%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construction </w:t>
      </w:r>
      <w:r w:rsidR="00D05DCB" w:rsidRPr="00882902">
        <w:rPr>
          <w:b/>
          <w:bCs/>
          <w:szCs w:val="20"/>
        </w:rPr>
        <w:t>work</w:t>
      </w:r>
      <w:r w:rsidR="00D05DCB" w:rsidRPr="00882902">
        <w:rPr>
          <w:b/>
          <w:szCs w:val="20"/>
        </w:rPr>
        <w:t xml:space="preserve"> </w:t>
      </w:r>
      <w:r w:rsidR="00D05DCB" w:rsidRPr="00882902">
        <w:rPr>
          <w:szCs w:val="20"/>
        </w:rPr>
        <w:t>prices</w:t>
      </w:r>
      <w:r w:rsidRPr="00546663">
        <w:rPr>
          <w:szCs w:val="20"/>
        </w:rPr>
        <w:t xml:space="preserve"> </w:t>
      </w:r>
      <w:r w:rsidR="00876F68">
        <w:rPr>
          <w:szCs w:val="20"/>
        </w:rPr>
        <w:t>rose</w:t>
      </w:r>
      <w:r w:rsidRPr="00546663">
        <w:rPr>
          <w:szCs w:val="20"/>
        </w:rPr>
        <w:t xml:space="preserve"> by </w:t>
      </w:r>
      <w:r w:rsidR="0041246B">
        <w:rPr>
          <w:szCs w:val="20"/>
        </w:rPr>
        <w:t>2</w:t>
      </w:r>
      <w:r w:rsidR="00870341">
        <w:rPr>
          <w:szCs w:val="20"/>
        </w:rPr>
        <w:t>.</w:t>
      </w:r>
      <w:r w:rsidR="002F0830">
        <w:rPr>
          <w:szCs w:val="20"/>
        </w:rPr>
        <w:t>6</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Pr="00546663">
        <w:rPr>
          <w:szCs w:val="20"/>
        </w:rPr>
        <w:t>(</w:t>
      </w:r>
      <w:r w:rsidR="002F0830" w:rsidRPr="002F0830">
        <w:rPr>
          <w:szCs w:val="20"/>
        </w:rPr>
        <w:t xml:space="preserve">same as in </w:t>
      </w:r>
      <w:r w:rsidR="00F04D97">
        <w:rPr>
          <w:szCs w:val="20"/>
        </w:rPr>
        <w:t>July</w:t>
      </w:r>
      <w:r w:rsidRPr="00546663">
        <w:rPr>
          <w:szCs w:val="20"/>
        </w:rPr>
        <w:t xml:space="preserve">). Prices of materials and products </w:t>
      </w:r>
      <w:r>
        <w:rPr>
          <w:szCs w:val="20"/>
        </w:rPr>
        <w:t>used</w:t>
      </w:r>
      <w:r w:rsidRPr="00546663">
        <w:rPr>
          <w:szCs w:val="20"/>
        </w:rPr>
        <w:t xml:space="preserve"> in the construction </w:t>
      </w:r>
      <w:r w:rsidR="009F15E5" w:rsidRPr="009F15E5">
        <w:rPr>
          <w:szCs w:val="20"/>
        </w:rPr>
        <w:t xml:space="preserve">were </w:t>
      </w:r>
      <w:r w:rsidR="00D05DCB">
        <w:rPr>
          <w:szCs w:val="20"/>
        </w:rPr>
        <w:t xml:space="preserve">higher by </w:t>
      </w:r>
      <w:r w:rsidR="009E5456">
        <w:rPr>
          <w:szCs w:val="20"/>
        </w:rPr>
        <w:t>1</w:t>
      </w:r>
      <w:r w:rsidR="002B23B6">
        <w:rPr>
          <w:szCs w:val="20"/>
        </w:rPr>
        <w:t>.</w:t>
      </w:r>
      <w:r w:rsidR="009E5456">
        <w:rPr>
          <w:szCs w:val="20"/>
        </w:rPr>
        <w:t>1</w:t>
      </w:r>
      <w:r w:rsidR="00D05DCB">
        <w:rPr>
          <w:szCs w:val="20"/>
        </w:rPr>
        <w:t>%</w:t>
      </w:r>
      <w:r w:rsidR="00503E76">
        <w:rPr>
          <w:szCs w:val="20"/>
        </w:rPr>
        <w:t xml:space="preserve"> y-o-y</w:t>
      </w:r>
      <w:r w:rsidR="009F15E5" w:rsidRPr="009F15E5">
        <w:rPr>
          <w:szCs w:val="20"/>
        </w:rPr>
        <w:t xml:space="preserve"> </w:t>
      </w:r>
      <w:r w:rsidRPr="00546663">
        <w:rPr>
          <w:szCs w:val="20"/>
        </w:rPr>
        <w:t>(</w:t>
      </w:r>
      <w:r w:rsidR="00E70B65">
        <w:rPr>
          <w:szCs w:val="20"/>
        </w:rPr>
        <w:t>+</w:t>
      </w:r>
      <w:r w:rsidR="009E5456">
        <w:rPr>
          <w:szCs w:val="20"/>
        </w:rPr>
        <w:t>0</w:t>
      </w:r>
      <w:r w:rsidR="0041246B">
        <w:rPr>
          <w:szCs w:val="20"/>
        </w:rPr>
        <w:t>.</w:t>
      </w:r>
      <w:r w:rsidR="009E5456">
        <w:rPr>
          <w:szCs w:val="20"/>
        </w:rPr>
        <w:t>9</w:t>
      </w:r>
      <w:r w:rsidR="00E70B65">
        <w:rPr>
          <w:szCs w:val="20"/>
        </w:rPr>
        <w:t>%</w:t>
      </w:r>
      <w:r w:rsidR="003B1502" w:rsidRPr="003B1502">
        <w:rPr>
          <w:szCs w:val="20"/>
        </w:rPr>
        <w:t xml:space="preserve"> in </w:t>
      </w:r>
      <w:r w:rsidR="00F04D97">
        <w:rPr>
          <w:szCs w:val="20"/>
        </w:rPr>
        <w:t>July</w:t>
      </w:r>
      <w:r w:rsidRPr="00546663">
        <w:rPr>
          <w:szCs w:val="20"/>
        </w:rPr>
        <w:t>).</w:t>
      </w:r>
    </w:p>
    <w:p w14:paraId="16577034" w14:textId="77777777" w:rsidR="0016503B" w:rsidRDefault="0016503B" w:rsidP="0016503B">
      <w:pPr>
        <w:rPr>
          <w:rFonts w:cs="Arial"/>
          <w:szCs w:val="20"/>
        </w:rPr>
      </w:pPr>
    </w:p>
    <w:p w14:paraId="2CF900C9" w14:textId="2E2CE220" w:rsidR="00BC1C7C" w:rsidRDefault="00BC1C7C" w:rsidP="00244036">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082806">
        <w:rPr>
          <w:szCs w:val="20"/>
        </w:rPr>
        <w:t>increased</w:t>
      </w:r>
      <w:r w:rsidRPr="000F57B3">
        <w:rPr>
          <w:szCs w:val="20"/>
        </w:rPr>
        <w:t xml:space="preserve"> by </w:t>
      </w:r>
      <w:r w:rsidR="00FA0279">
        <w:rPr>
          <w:szCs w:val="20"/>
        </w:rPr>
        <w:t>0</w:t>
      </w:r>
      <w:r w:rsidR="003E7901">
        <w:rPr>
          <w:szCs w:val="20"/>
        </w:rPr>
        <w:t>.</w:t>
      </w:r>
      <w:r w:rsidR="00FA0279">
        <w:rPr>
          <w:szCs w:val="20"/>
        </w:rPr>
        <w:t>8</w:t>
      </w:r>
      <w:r w:rsidRPr="000F57B3">
        <w:rPr>
          <w:szCs w:val="20"/>
        </w:rPr>
        <w:t xml:space="preserve">% </w:t>
      </w:r>
      <w:r w:rsidRPr="000F57B3">
        <w:rPr>
          <w:b/>
          <w:szCs w:val="20"/>
        </w:rPr>
        <w:t>m-o-m</w:t>
      </w:r>
      <w:r>
        <w:rPr>
          <w:szCs w:val="20"/>
        </w:rPr>
        <w:t>.</w:t>
      </w:r>
      <w:r w:rsidRPr="000F57B3">
        <w:rPr>
          <w:b/>
          <w:szCs w:val="20"/>
        </w:rPr>
        <w:t xml:space="preserve"> </w:t>
      </w:r>
      <w:r w:rsidR="000A7F55" w:rsidRPr="000A7F55">
        <w:t xml:space="preserve">Prices </w:t>
      </w:r>
      <w:r w:rsidR="00CE29DE">
        <w:t xml:space="preserve">went </w:t>
      </w:r>
      <w:r w:rsidR="00FA0279">
        <w:t>up</w:t>
      </w:r>
      <w:r w:rsidR="00A85CCA">
        <w:t xml:space="preserve"> for</w:t>
      </w:r>
      <w:r w:rsidR="00B23C71">
        <w:t xml:space="preserve"> </w:t>
      </w:r>
      <w:r w:rsidR="00B23C71" w:rsidRPr="000F57B3">
        <w:rPr>
          <w:rFonts w:cs="Arial"/>
          <w:szCs w:val="20"/>
        </w:rPr>
        <w:t>‘advertising and market research services’</w:t>
      </w:r>
      <w:r w:rsidR="00B23C71">
        <w:rPr>
          <w:rFonts w:cs="Arial"/>
          <w:szCs w:val="20"/>
        </w:rPr>
        <w:t xml:space="preserve"> (</w:t>
      </w:r>
      <w:r w:rsidR="00FA0279">
        <w:rPr>
          <w:rFonts w:cs="Arial"/>
          <w:szCs w:val="20"/>
        </w:rPr>
        <w:t>+9</w:t>
      </w:r>
      <w:r w:rsidR="00B23C71">
        <w:rPr>
          <w:rFonts w:cs="Arial"/>
          <w:szCs w:val="20"/>
        </w:rPr>
        <w:t>.</w:t>
      </w:r>
      <w:r w:rsidR="00FA0279">
        <w:rPr>
          <w:rFonts w:cs="Arial"/>
          <w:szCs w:val="20"/>
        </w:rPr>
        <w:t>7</w:t>
      </w:r>
      <w:r w:rsidR="00B23C71">
        <w:rPr>
          <w:rFonts w:cs="Arial"/>
          <w:szCs w:val="20"/>
        </w:rPr>
        <w:t>%),</w:t>
      </w:r>
      <w:r w:rsidR="00466B83">
        <w:t xml:space="preserve"> </w:t>
      </w:r>
      <w:r w:rsidR="00FA0279" w:rsidRPr="00D52E78">
        <w:t>'motion picture, video and television programme production services, sound recording and music publishing'</w:t>
      </w:r>
      <w:r w:rsidR="00FA0279">
        <w:t xml:space="preserve"> (+8.8%), </w:t>
      </w:r>
      <w:r w:rsidR="003E7901" w:rsidRPr="00CE29DE">
        <w:t>‘programming and broadcasting services’</w:t>
      </w:r>
      <w:r w:rsidR="00FA0279">
        <w:t xml:space="preserve"> (+</w:t>
      </w:r>
      <w:r w:rsidR="003E7901">
        <w:t>7.</w:t>
      </w:r>
      <w:r w:rsidR="00FA0279">
        <w:t>8</w:t>
      </w:r>
      <w:r w:rsidR="003E7901">
        <w:t>%)</w:t>
      </w:r>
      <w:r w:rsidR="00FA0279">
        <w:t xml:space="preserve">, </w:t>
      </w:r>
      <w:r w:rsidR="00FA0279" w:rsidRPr="00FA0279">
        <w:t>'information services'</w:t>
      </w:r>
      <w:r w:rsidR="00FA0279">
        <w:t xml:space="preserve"> (+2.1%), </w:t>
      </w:r>
      <w:r w:rsidR="00FA0279" w:rsidRPr="00FA0279">
        <w:t>'employment services'</w:t>
      </w:r>
      <w:r w:rsidR="00FA0279">
        <w:t xml:space="preserve"> (+1.5%) and </w:t>
      </w:r>
      <w:r w:rsidR="00FA0279" w:rsidRPr="00FA0279">
        <w:t>'insurance, reinsurance and pension funding services, except compulsory social security'</w:t>
      </w:r>
      <w:r w:rsidR="00FA0279">
        <w:t xml:space="preserve"> (+1.3%)</w:t>
      </w:r>
      <w:r w:rsidR="003E7901">
        <w:t xml:space="preserve">. </w:t>
      </w:r>
      <w:r w:rsidRPr="000F57B3">
        <w:t xml:space="preserve">Service producer prices in the business sphere, excluding advertising services </w:t>
      </w:r>
      <w:r w:rsidR="00244036">
        <w:t>rose by 0.</w:t>
      </w:r>
      <w:r w:rsidR="00FA0279">
        <w:t>2</w:t>
      </w:r>
      <w:r w:rsidR="00244036">
        <w:t>%</w:t>
      </w:r>
      <w:r w:rsidR="00FF160D" w:rsidRPr="00FF160D">
        <w:t>.</w:t>
      </w:r>
      <w:r w:rsidR="00A32C0E">
        <w:rPr>
          <w:szCs w:val="20"/>
        </w:rPr>
        <w:t xml:space="preserve"> </w:t>
      </w: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rFonts w:cs="Arial"/>
          <w:b/>
          <w:bCs/>
          <w:i/>
          <w:iCs/>
          <w:szCs w:val="20"/>
        </w:rPr>
        <w:t xml:space="preserve"> </w:t>
      </w:r>
      <w:r w:rsidR="00E6766E">
        <w:rPr>
          <w:rFonts w:cs="Arial"/>
          <w:szCs w:val="20"/>
        </w:rPr>
        <w:t>grew</w:t>
      </w:r>
      <w:r w:rsidRPr="000F57B3">
        <w:rPr>
          <w:rFonts w:cs="Arial"/>
          <w:szCs w:val="20"/>
        </w:rPr>
        <w:t xml:space="preserve"> by </w:t>
      </w:r>
      <w:r w:rsidR="00910BE8">
        <w:rPr>
          <w:rFonts w:cs="Arial"/>
          <w:szCs w:val="20"/>
        </w:rPr>
        <w:t>4</w:t>
      </w:r>
      <w:r>
        <w:rPr>
          <w:rFonts w:cs="Arial"/>
          <w:szCs w:val="20"/>
        </w:rPr>
        <w:t>.</w:t>
      </w:r>
      <w:r w:rsidR="00082806">
        <w:rPr>
          <w:rFonts w:cs="Arial"/>
          <w:szCs w:val="20"/>
        </w:rPr>
        <w:t>4</w:t>
      </w:r>
      <w:r w:rsidRPr="000F57B3">
        <w:rPr>
          <w:rFonts w:cs="Arial"/>
          <w:szCs w:val="20"/>
        </w:rPr>
        <w:t xml:space="preserve">% </w:t>
      </w:r>
      <w:r w:rsidRPr="000F57B3">
        <w:rPr>
          <w:rFonts w:cs="Arial"/>
          <w:b/>
          <w:szCs w:val="20"/>
        </w:rPr>
        <w:t>y-o</w:t>
      </w:r>
      <w:r w:rsidRPr="000F57B3">
        <w:rPr>
          <w:rFonts w:cs="Arial"/>
          <w:b/>
          <w:szCs w:val="20"/>
        </w:rPr>
        <w:noBreakHyphen/>
        <w:t>y</w:t>
      </w:r>
      <w:r w:rsidR="001072A1">
        <w:rPr>
          <w:rFonts w:cs="Arial"/>
          <w:szCs w:val="20"/>
        </w:rPr>
        <w:t xml:space="preserve"> </w:t>
      </w:r>
      <w:r w:rsidR="00285C88" w:rsidRPr="00546663">
        <w:rPr>
          <w:szCs w:val="20"/>
        </w:rPr>
        <w:t>(</w:t>
      </w:r>
      <w:r w:rsidR="00DF3219">
        <w:rPr>
          <w:szCs w:val="20"/>
        </w:rPr>
        <w:t>+</w:t>
      </w:r>
      <w:r w:rsidR="000B4EC2">
        <w:rPr>
          <w:rFonts w:cs="Arial"/>
          <w:szCs w:val="20"/>
        </w:rPr>
        <w:t>4</w:t>
      </w:r>
      <w:r w:rsidR="00DF3219">
        <w:rPr>
          <w:rFonts w:cs="Arial"/>
          <w:szCs w:val="20"/>
        </w:rPr>
        <w:t>.</w:t>
      </w:r>
      <w:r w:rsidR="00082806">
        <w:rPr>
          <w:rFonts w:cs="Arial"/>
          <w:szCs w:val="20"/>
        </w:rPr>
        <w:t>1</w:t>
      </w:r>
      <w:r w:rsidR="00DF3219" w:rsidRPr="000F57B3">
        <w:rPr>
          <w:rFonts w:cs="Arial"/>
          <w:szCs w:val="20"/>
        </w:rPr>
        <w:t xml:space="preserve">% </w:t>
      </w:r>
      <w:r w:rsidR="00285C88">
        <w:rPr>
          <w:szCs w:val="20"/>
        </w:rPr>
        <w:t xml:space="preserve">in </w:t>
      </w:r>
      <w:r w:rsidR="00F04D97">
        <w:rPr>
          <w:szCs w:val="20"/>
        </w:rPr>
        <w:t>July</w:t>
      </w:r>
      <w:r w:rsidR="00285C88">
        <w:rPr>
          <w:szCs w:val="20"/>
        </w:rPr>
        <w:t>)</w:t>
      </w:r>
      <w:r w:rsidRPr="000F57B3">
        <w:rPr>
          <w:rFonts w:cs="Arial"/>
          <w:szCs w:val="20"/>
        </w:rPr>
        <w:t xml:space="preserve">. </w:t>
      </w:r>
      <w:r w:rsidR="00082806">
        <w:t xml:space="preserve">Rising were prices of </w:t>
      </w:r>
      <w:r w:rsidR="00910BE8" w:rsidRPr="00CE29DE">
        <w:t>‘programming and broadcasting services’</w:t>
      </w:r>
      <w:r w:rsidR="00BF3F1D">
        <w:t xml:space="preserve"> (+2</w:t>
      </w:r>
      <w:r w:rsidR="00244036">
        <w:t>1</w:t>
      </w:r>
      <w:r w:rsidR="00910BE8">
        <w:t>.</w:t>
      </w:r>
      <w:r w:rsidR="00082806">
        <w:t>5</w:t>
      </w:r>
      <w:r w:rsidR="00910BE8">
        <w:t xml:space="preserve">%), </w:t>
      </w:r>
      <w:r w:rsidR="00910BE8" w:rsidRPr="000F57B3">
        <w:rPr>
          <w:rFonts w:cs="Arial"/>
          <w:szCs w:val="20"/>
        </w:rPr>
        <w:t>‘advertising and market research services’ (+</w:t>
      </w:r>
      <w:r w:rsidR="00910BE8">
        <w:rPr>
          <w:rFonts w:cs="Arial"/>
          <w:szCs w:val="20"/>
        </w:rPr>
        <w:t>1</w:t>
      </w:r>
      <w:r w:rsidR="00082806">
        <w:rPr>
          <w:rFonts w:cs="Arial"/>
          <w:szCs w:val="20"/>
        </w:rPr>
        <w:t>8</w:t>
      </w:r>
      <w:r w:rsidR="00910BE8">
        <w:rPr>
          <w:rFonts w:cs="Arial"/>
          <w:szCs w:val="20"/>
        </w:rPr>
        <w:t>.</w:t>
      </w:r>
      <w:r w:rsidR="00082806">
        <w:rPr>
          <w:rFonts w:cs="Arial"/>
          <w:szCs w:val="20"/>
        </w:rPr>
        <w:t>3</w:t>
      </w:r>
      <w:r w:rsidR="00910BE8">
        <w:rPr>
          <w:rFonts w:cs="Arial"/>
          <w:szCs w:val="20"/>
        </w:rPr>
        <w:t xml:space="preserve">%), </w:t>
      </w:r>
      <w:r w:rsidR="00C322C4" w:rsidRPr="00CE29DE">
        <w:t>‘</w:t>
      </w:r>
      <w:r w:rsidR="00C322C4">
        <w:rPr>
          <w:szCs w:val="20"/>
        </w:rPr>
        <w:t>se</w:t>
      </w:r>
      <w:r w:rsidR="00C322C4" w:rsidRPr="00A85CCA">
        <w:rPr>
          <w:szCs w:val="20"/>
        </w:rPr>
        <w:t>curity and investigation services</w:t>
      </w:r>
      <w:r w:rsidR="00157D70">
        <w:rPr>
          <w:szCs w:val="20"/>
        </w:rPr>
        <w:t>’ (+12.</w:t>
      </w:r>
      <w:r w:rsidR="00082806">
        <w:rPr>
          <w:szCs w:val="20"/>
        </w:rPr>
        <w:t>0</w:t>
      </w:r>
      <w:r w:rsidR="00244036">
        <w:rPr>
          <w:szCs w:val="20"/>
        </w:rPr>
        <w:t>%)</w:t>
      </w:r>
      <w:r w:rsidR="00082806">
        <w:rPr>
          <w:szCs w:val="20"/>
        </w:rPr>
        <w:t>,</w:t>
      </w:r>
      <w:r w:rsidR="00BF3F1D" w:rsidRPr="00BF3F1D">
        <w:rPr>
          <w:szCs w:val="20"/>
        </w:rPr>
        <w:t xml:space="preserve"> </w:t>
      </w:r>
      <w:r w:rsidR="00082806" w:rsidRPr="00FA0279">
        <w:t>'employment services'</w:t>
      </w:r>
      <w:r w:rsidR="00082806">
        <w:t xml:space="preserve"> (+9.8%),</w:t>
      </w:r>
      <w:r w:rsidR="00BF3F1D">
        <w:rPr>
          <w:szCs w:val="20"/>
        </w:rPr>
        <w:t xml:space="preserve"> </w:t>
      </w:r>
      <w:r w:rsidR="00BF3F1D" w:rsidRPr="00910BE8">
        <w:rPr>
          <w:szCs w:val="20"/>
        </w:rPr>
        <w:t>'warehousing and support services for transportation'</w:t>
      </w:r>
      <w:r w:rsidR="00BF3F1D">
        <w:rPr>
          <w:szCs w:val="20"/>
        </w:rPr>
        <w:t xml:space="preserve"> (+</w:t>
      </w:r>
      <w:r w:rsidR="00082806">
        <w:rPr>
          <w:szCs w:val="20"/>
        </w:rPr>
        <w:t>6.2</w:t>
      </w:r>
      <w:r w:rsidR="00BF3F1D">
        <w:rPr>
          <w:szCs w:val="20"/>
        </w:rPr>
        <w:t>%)</w:t>
      </w:r>
      <w:r w:rsidR="00082806">
        <w:rPr>
          <w:szCs w:val="20"/>
        </w:rPr>
        <w:t xml:space="preserve"> and </w:t>
      </w:r>
      <w:r w:rsidR="00082806" w:rsidRPr="00FA0279">
        <w:t>'insurance, reinsurance and pension funding services, except compulsory social security'</w:t>
      </w:r>
      <w:r w:rsidR="00082806">
        <w:t xml:space="preserve"> (+5.2%)</w:t>
      </w:r>
      <w:r w:rsidR="00BF3F1D">
        <w:rPr>
          <w:szCs w:val="20"/>
        </w:rPr>
        <w:t xml:space="preserve">.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AA23AB">
        <w:rPr>
          <w:szCs w:val="20"/>
        </w:rPr>
        <w:t>3</w:t>
      </w:r>
      <w:r w:rsidR="00A32C0E">
        <w:rPr>
          <w:szCs w:val="20"/>
        </w:rPr>
        <w:t>.</w:t>
      </w:r>
      <w:r w:rsidR="00082806">
        <w:rPr>
          <w:szCs w:val="20"/>
        </w:rPr>
        <w:t>4</w:t>
      </w:r>
      <w:r w:rsidRPr="000F57B3">
        <w:rPr>
          <w:szCs w:val="20"/>
        </w:rPr>
        <w:t xml:space="preserve">% </w:t>
      </w:r>
      <w:r w:rsidR="00285C88">
        <w:rPr>
          <w:szCs w:val="20"/>
        </w:rPr>
        <w:t>(</w:t>
      </w:r>
      <w:r w:rsidR="00082806">
        <w:rPr>
          <w:szCs w:val="20"/>
        </w:rPr>
        <w:t xml:space="preserve">+3.3% </w:t>
      </w:r>
      <w:r w:rsidR="00285C88">
        <w:rPr>
          <w:szCs w:val="20"/>
        </w:rPr>
        <w:t xml:space="preserve">in </w:t>
      </w:r>
      <w:r w:rsidR="00F04D97">
        <w:rPr>
          <w:szCs w:val="20"/>
        </w:rPr>
        <w:t>July</w:t>
      </w:r>
      <w:r w:rsidR="00285C88">
        <w:rPr>
          <w:szCs w:val="20"/>
        </w:rPr>
        <w:t>).</w:t>
      </w:r>
      <w:r w:rsidR="00E35E8E" w:rsidRPr="00E35E8E">
        <w:t xml:space="preserve"> </w:t>
      </w:r>
    </w:p>
    <w:p w14:paraId="0AEBBAAC" w14:textId="48B4521E" w:rsidR="00D932E1" w:rsidRDefault="00D932E1" w:rsidP="00244036"/>
    <w:p w14:paraId="6D4324DE" w14:textId="77777777" w:rsidR="00D932E1" w:rsidRPr="00476B1D" w:rsidRDefault="00D932E1" w:rsidP="00DD46EA">
      <w:pPr>
        <w:pStyle w:val="Nadpis1"/>
        <w:rPr>
          <w:szCs w:val="20"/>
        </w:rPr>
      </w:pPr>
      <w:r w:rsidRPr="00476B1D">
        <w:t>Industrial producer prices in the EU – July 2025 (preliminary data)</w:t>
      </w:r>
    </w:p>
    <w:p w14:paraId="43EA3D94" w14:textId="77777777" w:rsidR="00D932E1" w:rsidRPr="00476B1D" w:rsidRDefault="00D932E1" w:rsidP="00D932E1"/>
    <w:p w14:paraId="6CF791B4" w14:textId="705FE6E4" w:rsidR="00D932E1" w:rsidRDefault="00D932E1" w:rsidP="00D932E1">
      <w:r w:rsidRPr="00476B1D">
        <w:t xml:space="preserve">According to the Eurostat News Releases, </w:t>
      </w:r>
      <w:r w:rsidRPr="00476B1D">
        <w:rPr>
          <w:b/>
        </w:rPr>
        <w:t xml:space="preserve">industrial producer </w:t>
      </w:r>
      <w:r w:rsidRPr="00476B1D">
        <w:t xml:space="preserve">prices increased in July by 0.6% in EU27 (in June they rose by 0.7%), </w:t>
      </w:r>
      <w:r w:rsidRPr="00476B1D">
        <w:rPr>
          <w:b/>
        </w:rPr>
        <w:t xml:space="preserve">m-o-m. </w:t>
      </w:r>
      <w:r w:rsidR="007A50B0">
        <w:t xml:space="preserve">The highest increases </w:t>
      </w:r>
      <w:r w:rsidRPr="00476B1D">
        <w:t>were recorded in Romania (+6.7%), Bulgaria (+5.7%) and Slovakia (+2.8%). Prices went up in Austria (+0.5%), Czechia (+0.1%), remained stable in Poland and went down in Germany (-0.1%). The largest decreases were observed in Estonia (-1.0%), Latvia (-0.7%) and Luxembourg (-0.4%).</w:t>
      </w:r>
      <w:r w:rsidR="00D82534">
        <w:t xml:space="preserve"> </w:t>
      </w:r>
      <w:r w:rsidRPr="00476B1D">
        <w:rPr>
          <w:b/>
        </w:rPr>
        <w:t xml:space="preserve">Industrial producer </w:t>
      </w:r>
      <w:r w:rsidRPr="00476B1D">
        <w:t xml:space="preserve">prices went up in July by 0.4% (in June they increased by 0.6%) in EU27, </w:t>
      </w:r>
      <w:r w:rsidRPr="00476B1D">
        <w:rPr>
          <w:b/>
        </w:rPr>
        <w:t>y-o-y</w:t>
      </w:r>
      <w:r w:rsidRPr="00476B1D">
        <w:t>. The highest increases were recorded in Bulgaria (+10.7%), Denmark (+4.5%) and Romania (+2.5%). Prices went down in Austria (-1.5%), Poland and Germany (-1.3% both) and Czechia (-1.2%) and stayed unchanged in Slovakia. The largest decreases were observed in Estonia (-6.1%), Luxembourg (</w:t>
      </w:r>
      <w:r w:rsidR="007A50B0">
        <w:noBreakHyphen/>
      </w:r>
      <w:r w:rsidRPr="00476B1D">
        <w:t>4.5%) and Portugal (-3.6%).</w:t>
      </w:r>
    </w:p>
    <w:p w14:paraId="7F05528F" w14:textId="77777777" w:rsidR="00BC1C7C" w:rsidRPr="00612AAD" w:rsidRDefault="00BC1C7C" w:rsidP="00BC1C7C">
      <w:pPr>
        <w:pStyle w:val="Poznmky"/>
        <w:rPr>
          <w:color w:val="auto"/>
          <w:lang w:val="en-GB"/>
        </w:rPr>
      </w:pPr>
      <w:r w:rsidRPr="00612AAD">
        <w:rPr>
          <w:color w:val="auto"/>
          <w:lang w:val="en-GB"/>
        </w:rPr>
        <w:t xml:space="preserve">Notes: </w:t>
      </w:r>
    </w:p>
    <w:p w14:paraId="0A3D4378" w14:textId="77777777"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14:paraId="6B520E76" w14:textId="77777777"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14:paraId="4601A3BA" w14:textId="77777777"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14:paraId="47F2EEE9" w14:textId="77777777"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t>Method of data acquisition</w:t>
      </w:r>
      <w:r w:rsidRPr="0033589F">
        <w:rPr>
          <w:i/>
          <w:color w:val="auto"/>
          <w:lang w:val="en-GB"/>
        </w:rPr>
        <w:t>:</w:t>
      </w:r>
      <w:r w:rsidRPr="0033589F">
        <w:rPr>
          <w:i/>
          <w:color w:val="auto"/>
          <w:lang w:val="en-GB"/>
        </w:rPr>
        <w:tab/>
      </w:r>
      <w:r w:rsidRPr="0033589F">
        <w:rPr>
          <w:i/>
          <w:lang w:val="en-GB"/>
        </w:rPr>
        <w:t xml:space="preserve">CZSO direct surveys </w:t>
      </w:r>
    </w:p>
    <w:p w14:paraId="4DC44067" w14:textId="77777777" w:rsidR="00BC1C7C" w:rsidRPr="0033589F" w:rsidRDefault="00BC1C7C" w:rsidP="00BC1C7C">
      <w:pPr>
        <w:spacing w:before="60"/>
        <w:jc w:val="left"/>
        <w:rPr>
          <w:i/>
          <w:sz w:val="18"/>
          <w:szCs w:val="18"/>
        </w:rPr>
      </w:pPr>
    </w:p>
    <w:p w14:paraId="7CE78E80" w14:textId="77777777" w:rsidR="00BC1C7C" w:rsidRPr="0033589F" w:rsidRDefault="00BC1C7C" w:rsidP="00BC1C7C">
      <w:pPr>
        <w:spacing w:before="60"/>
        <w:jc w:val="left"/>
        <w:rPr>
          <w:i/>
          <w:sz w:val="18"/>
          <w:szCs w:val="18"/>
        </w:rPr>
      </w:pPr>
      <w:r w:rsidRPr="0033589F">
        <w:rPr>
          <w:i/>
          <w:sz w:val="18"/>
          <w:szCs w:val="18"/>
        </w:rPr>
        <w:lastRenderedPageBreak/>
        <w:t>End of data collection / End of data processing:</w:t>
      </w:r>
    </w:p>
    <w:p w14:paraId="5A52B198" w14:textId="77777777" w:rsidR="00BC1C7C" w:rsidRPr="0033589F" w:rsidRDefault="00BC1C7C" w:rsidP="00BC1C7C">
      <w:pPr>
        <w:spacing w:before="60"/>
        <w:ind w:left="3969" w:hanging="3969"/>
        <w:jc w:val="left"/>
        <w:rPr>
          <w:i/>
          <w:sz w:val="18"/>
          <w:szCs w:val="18"/>
        </w:rPr>
      </w:pPr>
      <w:r w:rsidRPr="0033589F">
        <w:rPr>
          <w:i/>
          <w:sz w:val="18"/>
          <w:szCs w:val="18"/>
        </w:rPr>
        <w:t xml:space="preserve">Agricultural producer price indices: </w:t>
      </w:r>
      <w:r w:rsidRPr="0033589F">
        <w:rPr>
          <w:i/>
          <w:sz w:val="18"/>
          <w:szCs w:val="18"/>
        </w:rPr>
        <w:tab/>
        <w:t xml:space="preserve">26th calendar day of reference month / 8th calendar day of the following month </w:t>
      </w:r>
    </w:p>
    <w:p w14:paraId="3174000B" w14:textId="77777777" w:rsidR="00BC1C7C" w:rsidRPr="0033589F" w:rsidRDefault="00BC1C7C" w:rsidP="00BC1C7C">
      <w:pPr>
        <w:spacing w:before="60"/>
        <w:ind w:left="3969" w:hanging="3969"/>
        <w:jc w:val="left"/>
        <w:rPr>
          <w:i/>
          <w:sz w:val="18"/>
          <w:szCs w:val="18"/>
        </w:rPr>
      </w:pPr>
      <w:r w:rsidRPr="0033589F">
        <w:rPr>
          <w:i/>
          <w:sz w:val="18"/>
          <w:szCs w:val="18"/>
        </w:rPr>
        <w:t xml:space="preserve">Industrial producer price indices: </w:t>
      </w:r>
      <w:r w:rsidRPr="0033589F">
        <w:rPr>
          <w:i/>
          <w:sz w:val="18"/>
          <w:szCs w:val="18"/>
        </w:rPr>
        <w:tab/>
        <w:t xml:space="preserve">20th calendar day of reference month / 9th calendar day of the following month </w:t>
      </w:r>
    </w:p>
    <w:p w14:paraId="4A326815" w14:textId="77777777" w:rsidR="00BC1C7C" w:rsidRPr="00FD4669" w:rsidRDefault="00BC1C7C" w:rsidP="00BC1C7C">
      <w:pPr>
        <w:spacing w:before="60"/>
        <w:ind w:left="3969" w:hanging="3969"/>
        <w:jc w:val="left"/>
        <w:rPr>
          <w:i/>
          <w:sz w:val="18"/>
          <w:szCs w:val="18"/>
        </w:rPr>
      </w:pPr>
      <w:r w:rsidRPr="0033589F">
        <w:rPr>
          <w:i/>
          <w:sz w:val="18"/>
          <w:szCs w:val="18"/>
        </w:rPr>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14:paraId="0ACFCF6A" w14:textId="70CE00FC" w:rsidR="00BC1C7C" w:rsidRPr="00FD4669" w:rsidRDefault="00BC1C7C" w:rsidP="00BC1C7C">
      <w:pPr>
        <w:jc w:val="left"/>
        <w:rPr>
          <w:rFonts w:eastAsia="Times New Roman" w:cs="Arial"/>
          <w:i/>
          <w:sz w:val="18"/>
          <w:szCs w:val="18"/>
          <w:lang w:eastAsia="cs-CZ"/>
        </w:rPr>
      </w:pPr>
      <w:r w:rsidRPr="00FD4669">
        <w:rPr>
          <w:rFonts w:eastAsia="Times New Roman" w:cs="Arial"/>
          <w:i/>
          <w:sz w:val="18"/>
          <w:szCs w:val="18"/>
          <w:lang w:eastAsia="cs-CZ"/>
        </w:rPr>
        <w:t xml:space="preserve">Except for the construction work price indices, the published figures are final data. Estimates of the construction work price indices are carried out on the 9th calendar day of the following month. Then, construction work price indices are </w:t>
      </w:r>
      <w:r w:rsidR="00ED34CF">
        <w:rPr>
          <w:rFonts w:eastAsia="Times New Roman" w:cs="Arial"/>
          <w:i/>
          <w:sz w:val="18"/>
          <w:szCs w:val="18"/>
          <w:lang w:eastAsia="cs-CZ"/>
        </w:rPr>
        <w:t>updated</w:t>
      </w:r>
      <w:r w:rsidRPr="00FD4669">
        <w:rPr>
          <w:rFonts w:eastAsia="Times New Roman" w:cs="Arial"/>
          <w:i/>
          <w:sz w:val="18"/>
          <w:szCs w:val="18"/>
          <w:lang w:eastAsia="cs-CZ"/>
        </w:rPr>
        <w:t xml:space="preserve"> using results of the finished quarterly survey and the finalised data are released on the 46th calendar day of the following quarter.</w:t>
      </w:r>
    </w:p>
    <w:p w14:paraId="7152CEC8" w14:textId="77777777" w:rsidR="00ED34CF" w:rsidRDefault="00ED34CF" w:rsidP="00BC1C7C">
      <w:pPr>
        <w:ind w:left="3544" w:hanging="3544"/>
        <w:rPr>
          <w:i/>
          <w:iCs/>
          <w:sz w:val="18"/>
          <w:szCs w:val="18"/>
        </w:rPr>
      </w:pPr>
    </w:p>
    <w:p w14:paraId="0CEB9A82" w14:textId="77A0DD32" w:rsidR="00BC1C7C" w:rsidRDefault="00BC1C7C" w:rsidP="00BC1C7C">
      <w:pPr>
        <w:ind w:left="3544" w:hanging="3544"/>
        <w:rPr>
          <w:rFonts w:cs="Arial"/>
          <w:i/>
          <w:iCs/>
          <w:sz w:val="18"/>
          <w:szCs w:val="18"/>
        </w:rPr>
      </w:pPr>
      <w:r>
        <w:rPr>
          <w:i/>
          <w:iCs/>
          <w:sz w:val="18"/>
          <w:szCs w:val="18"/>
        </w:rPr>
        <w:t>Related publications and time series in the Public Database:</w:t>
      </w:r>
    </w:p>
    <w:p w14:paraId="45931670" w14:textId="77777777"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FE197E">
        <w:rPr>
          <w:i/>
          <w:sz w:val="18"/>
          <w:szCs w:val="18"/>
        </w:rPr>
        <w:t>5</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14:paraId="36D09CC8"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FE197E">
        <w:rPr>
          <w:i/>
          <w:sz w:val="18"/>
          <w:szCs w:val="18"/>
        </w:rPr>
        <w:t>5</w:t>
      </w:r>
      <w:r w:rsidRPr="00FD4669">
        <w:rPr>
          <w:i/>
          <w:sz w:val="18"/>
          <w:szCs w:val="18"/>
        </w:rPr>
        <w:tab/>
        <w:t>Industrial Producer Price Indices</w:t>
      </w:r>
    </w:p>
    <w:p w14:paraId="7C1B732E"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FE197E">
        <w:rPr>
          <w:i/>
          <w:sz w:val="18"/>
          <w:szCs w:val="18"/>
        </w:rPr>
        <w:t>5</w:t>
      </w:r>
      <w:r w:rsidRPr="00FD4669">
        <w:rPr>
          <w:i/>
          <w:sz w:val="18"/>
          <w:szCs w:val="18"/>
        </w:rPr>
        <w:tab/>
        <w:t>Agricultural Producer Price Indices</w:t>
      </w:r>
    </w:p>
    <w:p w14:paraId="441E9356"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FE197E">
        <w:rPr>
          <w:i/>
          <w:sz w:val="18"/>
          <w:szCs w:val="18"/>
        </w:rPr>
        <w:t>5</w:t>
      </w:r>
      <w:r w:rsidRPr="00FD4669">
        <w:rPr>
          <w:i/>
          <w:sz w:val="18"/>
          <w:szCs w:val="18"/>
        </w:rPr>
        <w:tab/>
        <w:t xml:space="preserve">Service Producer Prices in the Business </w:t>
      </w:r>
      <w:r w:rsidRPr="00FD4669">
        <w:rPr>
          <w:i/>
          <w:sz w:val="18"/>
          <w:szCs w:val="18"/>
        </w:rPr>
        <w:tab/>
        <w:t>Sphere</w:t>
      </w:r>
    </w:p>
    <w:p w14:paraId="64072C2C" w14:textId="77777777"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14:paraId="02367D56" w14:textId="047C3973"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r>
      <w:r w:rsidR="005C61BE">
        <w:rPr>
          <w:i/>
          <w:sz w:val="18"/>
          <w:szCs w:val="18"/>
        </w:rPr>
        <w:t>1</w:t>
      </w:r>
      <w:r w:rsidR="00C431F2">
        <w:rPr>
          <w:i/>
          <w:sz w:val="18"/>
          <w:szCs w:val="18"/>
        </w:rPr>
        <w:t xml:space="preserve">6 </w:t>
      </w:r>
      <w:r w:rsidR="00A656BB">
        <w:rPr>
          <w:i/>
          <w:sz w:val="18"/>
          <w:szCs w:val="18"/>
        </w:rPr>
        <w:t>Octob</w:t>
      </w:r>
      <w:r w:rsidR="00C431F2">
        <w:rPr>
          <w:i/>
          <w:sz w:val="18"/>
          <w:szCs w:val="18"/>
        </w:rPr>
        <w:t>er</w:t>
      </w:r>
      <w:r w:rsidR="00BC1C7C">
        <w:rPr>
          <w:i/>
          <w:sz w:val="18"/>
          <w:szCs w:val="18"/>
        </w:rPr>
        <w:t xml:space="preserve"> 202</w:t>
      </w:r>
      <w:r w:rsidR="005F4125">
        <w:rPr>
          <w:i/>
          <w:sz w:val="18"/>
          <w:szCs w:val="18"/>
        </w:rPr>
        <w:t>5</w:t>
      </w:r>
    </w:p>
    <w:p w14:paraId="7F730E8D" w14:textId="77777777" w:rsidR="00BC1C7C" w:rsidRPr="00FD4669" w:rsidRDefault="00BC1C7C" w:rsidP="00BC1C7C">
      <w:pPr>
        <w:pStyle w:val="Zkladntext2"/>
        <w:spacing w:line="276" w:lineRule="auto"/>
        <w:rPr>
          <w:rFonts w:cs="Arial"/>
          <w:b/>
          <w:bCs/>
          <w:i/>
          <w:sz w:val="16"/>
          <w:szCs w:val="16"/>
          <w:lang w:val="en-GB"/>
        </w:rPr>
      </w:pPr>
    </w:p>
    <w:p w14:paraId="7C022DE8" w14:textId="77777777" w:rsidR="00BC1C7C" w:rsidRPr="00FD4669" w:rsidRDefault="00BC1C7C" w:rsidP="00BC1C7C">
      <w:pPr>
        <w:jc w:val="left"/>
        <w:rPr>
          <w:szCs w:val="20"/>
        </w:rPr>
      </w:pPr>
      <w:r w:rsidRPr="00FD4669">
        <w:rPr>
          <w:szCs w:val="20"/>
        </w:rPr>
        <w:t>Annexes:</w:t>
      </w:r>
    </w:p>
    <w:p w14:paraId="7AA829C5" w14:textId="77777777"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14:paraId="20575A96" w14:textId="77777777"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14:paraId="523AF53F" w14:textId="77777777"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14:paraId="3ADF5A0A" w14:textId="77777777"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14:paraId="258DF78B" w14:textId="77777777"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14:paraId="525E5507" w14:textId="77777777" w:rsidR="00BC1C7C" w:rsidRPr="00FD4669" w:rsidRDefault="00BC1C7C" w:rsidP="00BC1C7C">
      <w:pPr>
        <w:tabs>
          <w:tab w:val="left" w:pos="851"/>
        </w:tabs>
        <w:spacing w:before="60"/>
        <w:ind w:left="851" w:hanging="851"/>
        <w:rPr>
          <w:szCs w:val="20"/>
        </w:rPr>
      </w:pPr>
      <w:r w:rsidRPr="00FD4669">
        <w:rPr>
          <w:szCs w:val="20"/>
        </w:rPr>
        <w:t>Graph 3</w:t>
      </w:r>
      <w:r w:rsidRPr="00FD4669">
        <w:rPr>
          <w:szCs w:val="20"/>
        </w:rPr>
        <w:tab/>
        <w:t>Service Producer Price Indices in the Business Sphere (year-on-year changes and changes to the base year 2015)</w:t>
      </w:r>
    </w:p>
    <w:p w14:paraId="07F0DCF7" w14:textId="77777777"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14:paraId="3E59A707" w14:textId="77777777"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p w14:paraId="10699355" w14:textId="77777777" w:rsidR="00D209A7" w:rsidRDefault="00D209A7" w:rsidP="00BC1C7C"/>
    <w:p w14:paraId="3D45EAE9" w14:textId="77777777" w:rsidR="004F12B1" w:rsidRDefault="004F12B1" w:rsidP="00BC1C7C"/>
    <w:sectPr w:rsidR="004F12B1"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D7118" w14:textId="77777777" w:rsidR="0083047C" w:rsidRDefault="0083047C" w:rsidP="00BA6370">
      <w:r>
        <w:separator/>
      </w:r>
    </w:p>
  </w:endnote>
  <w:endnote w:type="continuationSeparator" w:id="0">
    <w:p w14:paraId="39BB9FB8" w14:textId="77777777" w:rsidR="0083047C" w:rsidRDefault="0083047C"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504D" w14:textId="77777777" w:rsidR="003D0499" w:rsidRDefault="00F072A6">
    <w:pPr>
      <w:pStyle w:val="Zpat"/>
    </w:pPr>
    <w:r>
      <w:rPr>
        <w:noProof/>
        <w:lang w:eastAsia="en-GB"/>
      </w:rPr>
      <mc:AlternateContent>
        <mc:Choice Requires="wps">
          <w:drawing>
            <wp:anchor distT="0" distB="0" distL="114300" distR="114300" simplePos="0" relativeHeight="251657728" behindDoc="0" locked="0" layoutInCell="1" allowOverlap="1" wp14:anchorId="7987A7AD" wp14:editId="77978269">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9442C4F" w14:textId="71BAF008"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FB63F1">
                            <w:rPr>
                              <w:rFonts w:cs="Arial"/>
                              <w:noProof/>
                              <w:szCs w:val="15"/>
                            </w:rPr>
                            <w:t>1</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7A7A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9442C4F" w14:textId="71BAF008"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FB63F1">
                      <w:rPr>
                        <w:rFonts w:cs="Arial"/>
                        <w:noProof/>
                        <w:szCs w:val="15"/>
                      </w:rPr>
                      <w:t>1</w:t>
                    </w:r>
                    <w:r w:rsidR="00123849" w:rsidRPr="007E75DE">
                      <w:rPr>
                        <w:rFonts w:cs="Arial"/>
                        <w:szCs w:val="15"/>
                      </w:rPr>
                      <w:fldChar w:fldCharType="end"/>
                    </w:r>
                  </w:p>
                </w:txbxContent>
              </v:textbox>
              <w10:wrap anchorx="page" anchory="page"/>
            </v:shape>
          </w:pict>
        </mc:Fallback>
      </mc:AlternateContent>
    </w:r>
    <w:r>
      <w:rPr>
        <w:noProof/>
        <w:lang w:eastAsia="en-GB"/>
      </w:rPr>
      <mc:AlternateContent>
        <mc:Choice Requires="wps">
          <w:drawing>
            <wp:anchor distT="4294967295" distB="4294967295" distL="114300" distR="114300" simplePos="0" relativeHeight="251656704" behindDoc="0" locked="0" layoutInCell="1" allowOverlap="1" wp14:anchorId="6438A11D" wp14:editId="00BA3795">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C47FD" w14:textId="77777777" w:rsidR="0083047C" w:rsidRDefault="0083047C" w:rsidP="00BA6370">
      <w:r>
        <w:separator/>
      </w:r>
    </w:p>
  </w:footnote>
  <w:footnote w:type="continuationSeparator" w:id="0">
    <w:p w14:paraId="42FED023" w14:textId="77777777" w:rsidR="0083047C" w:rsidRDefault="0083047C"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C7C9" w14:textId="77777777" w:rsidR="003D0499" w:rsidRDefault="00F072A6">
    <w:pPr>
      <w:pStyle w:val="Zhlav"/>
    </w:pPr>
    <w:r>
      <w:rPr>
        <w:noProof/>
        <w:lang w:eastAsia="en-GB"/>
      </w:rPr>
      <w:drawing>
        <wp:anchor distT="0" distB="0" distL="114300" distR="114300" simplePos="0" relativeHeight="251659776" behindDoc="0" locked="0" layoutInCell="1" allowOverlap="1" wp14:anchorId="25DF1079" wp14:editId="7641E65E">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8193">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A6"/>
    <w:rsid w:val="00014091"/>
    <w:rsid w:val="00017524"/>
    <w:rsid w:val="0002202A"/>
    <w:rsid w:val="00036394"/>
    <w:rsid w:val="00043BF4"/>
    <w:rsid w:val="000503A1"/>
    <w:rsid w:val="00054645"/>
    <w:rsid w:val="000560A0"/>
    <w:rsid w:val="00065570"/>
    <w:rsid w:val="00082806"/>
    <w:rsid w:val="000843A5"/>
    <w:rsid w:val="00091722"/>
    <w:rsid w:val="000A423A"/>
    <w:rsid w:val="000A7F55"/>
    <w:rsid w:val="000B4EC2"/>
    <w:rsid w:val="000B6773"/>
    <w:rsid w:val="000B6BC1"/>
    <w:rsid w:val="000B6F2C"/>
    <w:rsid w:val="000B6F63"/>
    <w:rsid w:val="000C2C7A"/>
    <w:rsid w:val="000D3326"/>
    <w:rsid w:val="000E0031"/>
    <w:rsid w:val="00104328"/>
    <w:rsid w:val="0010486A"/>
    <w:rsid w:val="00105043"/>
    <w:rsid w:val="00107217"/>
    <w:rsid w:val="001072A1"/>
    <w:rsid w:val="00116ED1"/>
    <w:rsid w:val="00121942"/>
    <w:rsid w:val="00123849"/>
    <w:rsid w:val="0012600A"/>
    <w:rsid w:val="001271B5"/>
    <w:rsid w:val="0012721A"/>
    <w:rsid w:val="0013242C"/>
    <w:rsid w:val="0013264B"/>
    <w:rsid w:val="00135D89"/>
    <w:rsid w:val="00136A94"/>
    <w:rsid w:val="001404AB"/>
    <w:rsid w:val="00140CA8"/>
    <w:rsid w:val="00157D70"/>
    <w:rsid w:val="0016226C"/>
    <w:rsid w:val="0016434B"/>
    <w:rsid w:val="0016503B"/>
    <w:rsid w:val="00165DF3"/>
    <w:rsid w:val="001711FD"/>
    <w:rsid w:val="00171571"/>
    <w:rsid w:val="0017231D"/>
    <w:rsid w:val="00176E26"/>
    <w:rsid w:val="00177046"/>
    <w:rsid w:val="0018061F"/>
    <w:rsid w:val="001810DC"/>
    <w:rsid w:val="001824FF"/>
    <w:rsid w:val="00182CCE"/>
    <w:rsid w:val="00187998"/>
    <w:rsid w:val="001908D3"/>
    <w:rsid w:val="00190D7B"/>
    <w:rsid w:val="001955A6"/>
    <w:rsid w:val="00197F25"/>
    <w:rsid w:val="001A7C48"/>
    <w:rsid w:val="001B607F"/>
    <w:rsid w:val="001C381B"/>
    <w:rsid w:val="001C71FD"/>
    <w:rsid w:val="001D369A"/>
    <w:rsid w:val="001D7A56"/>
    <w:rsid w:val="001E7AE6"/>
    <w:rsid w:val="001F08B3"/>
    <w:rsid w:val="00202FCD"/>
    <w:rsid w:val="00203B0D"/>
    <w:rsid w:val="00205007"/>
    <w:rsid w:val="002070FB"/>
    <w:rsid w:val="00210D8F"/>
    <w:rsid w:val="00213729"/>
    <w:rsid w:val="00224F79"/>
    <w:rsid w:val="00227772"/>
    <w:rsid w:val="00232828"/>
    <w:rsid w:val="0023718F"/>
    <w:rsid w:val="002406FA"/>
    <w:rsid w:val="00244036"/>
    <w:rsid w:val="0024485A"/>
    <w:rsid w:val="00247015"/>
    <w:rsid w:val="002574C3"/>
    <w:rsid w:val="002604CD"/>
    <w:rsid w:val="00282C67"/>
    <w:rsid w:val="002835E6"/>
    <w:rsid w:val="00285C88"/>
    <w:rsid w:val="00297900"/>
    <w:rsid w:val="002B23B6"/>
    <w:rsid w:val="002B2E47"/>
    <w:rsid w:val="002B7FEE"/>
    <w:rsid w:val="002C1049"/>
    <w:rsid w:val="002C2699"/>
    <w:rsid w:val="002D37F5"/>
    <w:rsid w:val="002F0830"/>
    <w:rsid w:val="002F1F26"/>
    <w:rsid w:val="002F3110"/>
    <w:rsid w:val="0031738E"/>
    <w:rsid w:val="0032398D"/>
    <w:rsid w:val="003301A3"/>
    <w:rsid w:val="00337AC4"/>
    <w:rsid w:val="00350A58"/>
    <w:rsid w:val="0036777B"/>
    <w:rsid w:val="00367EEB"/>
    <w:rsid w:val="003736FB"/>
    <w:rsid w:val="00380178"/>
    <w:rsid w:val="0038171D"/>
    <w:rsid w:val="0038282A"/>
    <w:rsid w:val="003863F9"/>
    <w:rsid w:val="00397580"/>
    <w:rsid w:val="003A097C"/>
    <w:rsid w:val="003A0BA9"/>
    <w:rsid w:val="003A0F50"/>
    <w:rsid w:val="003A17D0"/>
    <w:rsid w:val="003A45C8"/>
    <w:rsid w:val="003B1502"/>
    <w:rsid w:val="003B1FE0"/>
    <w:rsid w:val="003B7F42"/>
    <w:rsid w:val="003C2B99"/>
    <w:rsid w:val="003C2DCF"/>
    <w:rsid w:val="003C3372"/>
    <w:rsid w:val="003C7FE7"/>
    <w:rsid w:val="003D0499"/>
    <w:rsid w:val="003D1C45"/>
    <w:rsid w:val="003D3576"/>
    <w:rsid w:val="003E5552"/>
    <w:rsid w:val="003E7901"/>
    <w:rsid w:val="003F526A"/>
    <w:rsid w:val="00404071"/>
    <w:rsid w:val="00405244"/>
    <w:rsid w:val="00410BAC"/>
    <w:rsid w:val="004111D3"/>
    <w:rsid w:val="0041246B"/>
    <w:rsid w:val="0041736E"/>
    <w:rsid w:val="00424459"/>
    <w:rsid w:val="00436D82"/>
    <w:rsid w:val="0044220E"/>
    <w:rsid w:val="004436EE"/>
    <w:rsid w:val="0044403C"/>
    <w:rsid w:val="004469BC"/>
    <w:rsid w:val="00451AB0"/>
    <w:rsid w:val="00453743"/>
    <w:rsid w:val="0045547F"/>
    <w:rsid w:val="00461A86"/>
    <w:rsid w:val="00465DCE"/>
    <w:rsid w:val="00466B83"/>
    <w:rsid w:val="0047024F"/>
    <w:rsid w:val="00480A7A"/>
    <w:rsid w:val="00481E08"/>
    <w:rsid w:val="0048636D"/>
    <w:rsid w:val="004920AD"/>
    <w:rsid w:val="00492102"/>
    <w:rsid w:val="004939B5"/>
    <w:rsid w:val="004A028A"/>
    <w:rsid w:val="004C3F82"/>
    <w:rsid w:val="004C44A1"/>
    <w:rsid w:val="004D05B3"/>
    <w:rsid w:val="004D7919"/>
    <w:rsid w:val="004E479E"/>
    <w:rsid w:val="004E5955"/>
    <w:rsid w:val="004E7CD6"/>
    <w:rsid w:val="004F12B1"/>
    <w:rsid w:val="004F5D63"/>
    <w:rsid w:val="004F78E6"/>
    <w:rsid w:val="0050010C"/>
    <w:rsid w:val="00503209"/>
    <w:rsid w:val="00503E76"/>
    <w:rsid w:val="00505518"/>
    <w:rsid w:val="00505C1C"/>
    <w:rsid w:val="00507BB9"/>
    <w:rsid w:val="00512D99"/>
    <w:rsid w:val="00514AE2"/>
    <w:rsid w:val="00517D39"/>
    <w:rsid w:val="00521B84"/>
    <w:rsid w:val="00531DBB"/>
    <w:rsid w:val="005473B2"/>
    <w:rsid w:val="00556F7B"/>
    <w:rsid w:val="00557016"/>
    <w:rsid w:val="00564110"/>
    <w:rsid w:val="00564213"/>
    <w:rsid w:val="00575F9F"/>
    <w:rsid w:val="005961A5"/>
    <w:rsid w:val="005A7B6E"/>
    <w:rsid w:val="005B2B14"/>
    <w:rsid w:val="005C47F5"/>
    <w:rsid w:val="005C5A0E"/>
    <w:rsid w:val="005C61BE"/>
    <w:rsid w:val="005F4125"/>
    <w:rsid w:val="005F6870"/>
    <w:rsid w:val="005F79FB"/>
    <w:rsid w:val="00604406"/>
    <w:rsid w:val="00605F4A"/>
    <w:rsid w:val="00607822"/>
    <w:rsid w:val="006103AA"/>
    <w:rsid w:val="00613BBF"/>
    <w:rsid w:val="00622B80"/>
    <w:rsid w:val="00622E1F"/>
    <w:rsid w:val="0064139A"/>
    <w:rsid w:val="006475B1"/>
    <w:rsid w:val="00661B6F"/>
    <w:rsid w:val="00663236"/>
    <w:rsid w:val="00670D87"/>
    <w:rsid w:val="00671416"/>
    <w:rsid w:val="00684B27"/>
    <w:rsid w:val="006A2FF0"/>
    <w:rsid w:val="006A5F7F"/>
    <w:rsid w:val="006A7D03"/>
    <w:rsid w:val="006B2A11"/>
    <w:rsid w:val="006B4E60"/>
    <w:rsid w:val="006B697B"/>
    <w:rsid w:val="006C4FC0"/>
    <w:rsid w:val="006C6803"/>
    <w:rsid w:val="006D14E8"/>
    <w:rsid w:val="006D5C60"/>
    <w:rsid w:val="006E024F"/>
    <w:rsid w:val="006E3C77"/>
    <w:rsid w:val="006E4E81"/>
    <w:rsid w:val="006F60E9"/>
    <w:rsid w:val="00707F7D"/>
    <w:rsid w:val="00712367"/>
    <w:rsid w:val="00717EC5"/>
    <w:rsid w:val="00720AC4"/>
    <w:rsid w:val="00722929"/>
    <w:rsid w:val="00730D18"/>
    <w:rsid w:val="007328EA"/>
    <w:rsid w:val="00742834"/>
    <w:rsid w:val="00746537"/>
    <w:rsid w:val="007541C0"/>
    <w:rsid w:val="00755808"/>
    <w:rsid w:val="00755D8B"/>
    <w:rsid w:val="0075740D"/>
    <w:rsid w:val="00763787"/>
    <w:rsid w:val="00765008"/>
    <w:rsid w:val="00784615"/>
    <w:rsid w:val="00785291"/>
    <w:rsid w:val="007918DE"/>
    <w:rsid w:val="00793D5F"/>
    <w:rsid w:val="007A0CA5"/>
    <w:rsid w:val="007A2383"/>
    <w:rsid w:val="007A50B0"/>
    <w:rsid w:val="007A57F2"/>
    <w:rsid w:val="007B1333"/>
    <w:rsid w:val="007B1CDA"/>
    <w:rsid w:val="007B1D39"/>
    <w:rsid w:val="007C1CFB"/>
    <w:rsid w:val="007D268C"/>
    <w:rsid w:val="007E3C0C"/>
    <w:rsid w:val="007F4AEB"/>
    <w:rsid w:val="007F682E"/>
    <w:rsid w:val="007F75B2"/>
    <w:rsid w:val="00801457"/>
    <w:rsid w:val="008043C4"/>
    <w:rsid w:val="008267A2"/>
    <w:rsid w:val="0083047C"/>
    <w:rsid w:val="00831B1B"/>
    <w:rsid w:val="00855FB3"/>
    <w:rsid w:val="00861D0E"/>
    <w:rsid w:val="00863067"/>
    <w:rsid w:val="00865CA1"/>
    <w:rsid w:val="00867569"/>
    <w:rsid w:val="00870341"/>
    <w:rsid w:val="00871DB7"/>
    <w:rsid w:val="00875AE2"/>
    <w:rsid w:val="00876F68"/>
    <w:rsid w:val="00883EF3"/>
    <w:rsid w:val="00884351"/>
    <w:rsid w:val="00885C0D"/>
    <w:rsid w:val="00893C61"/>
    <w:rsid w:val="008A0A00"/>
    <w:rsid w:val="008A375F"/>
    <w:rsid w:val="008A4C5F"/>
    <w:rsid w:val="008A750A"/>
    <w:rsid w:val="008B3901"/>
    <w:rsid w:val="008B3970"/>
    <w:rsid w:val="008B541A"/>
    <w:rsid w:val="008B7971"/>
    <w:rsid w:val="008C2A6D"/>
    <w:rsid w:val="008C384C"/>
    <w:rsid w:val="008C4CBE"/>
    <w:rsid w:val="008C4D5F"/>
    <w:rsid w:val="008D0F11"/>
    <w:rsid w:val="008D54BA"/>
    <w:rsid w:val="008E1898"/>
    <w:rsid w:val="008F18CD"/>
    <w:rsid w:val="008F69BC"/>
    <w:rsid w:val="008F73B4"/>
    <w:rsid w:val="00902648"/>
    <w:rsid w:val="009035E8"/>
    <w:rsid w:val="00910BE8"/>
    <w:rsid w:val="00912495"/>
    <w:rsid w:val="00941EC5"/>
    <w:rsid w:val="009442EB"/>
    <w:rsid w:val="00953416"/>
    <w:rsid w:val="0095428C"/>
    <w:rsid w:val="009550C0"/>
    <w:rsid w:val="00971374"/>
    <w:rsid w:val="00996140"/>
    <w:rsid w:val="009B55B1"/>
    <w:rsid w:val="009B6B28"/>
    <w:rsid w:val="009C4D55"/>
    <w:rsid w:val="009D7A28"/>
    <w:rsid w:val="009E1052"/>
    <w:rsid w:val="009E39C5"/>
    <w:rsid w:val="009E5456"/>
    <w:rsid w:val="009F15E5"/>
    <w:rsid w:val="009F355B"/>
    <w:rsid w:val="009F6F3B"/>
    <w:rsid w:val="009F7F43"/>
    <w:rsid w:val="00A07BA7"/>
    <w:rsid w:val="00A07E9E"/>
    <w:rsid w:val="00A105F5"/>
    <w:rsid w:val="00A16D62"/>
    <w:rsid w:val="00A17409"/>
    <w:rsid w:val="00A2354F"/>
    <w:rsid w:val="00A267DA"/>
    <w:rsid w:val="00A32C0E"/>
    <w:rsid w:val="00A4343D"/>
    <w:rsid w:val="00A46C85"/>
    <w:rsid w:val="00A502F1"/>
    <w:rsid w:val="00A522F3"/>
    <w:rsid w:val="00A656BB"/>
    <w:rsid w:val="00A70A83"/>
    <w:rsid w:val="00A817C5"/>
    <w:rsid w:val="00A81EB3"/>
    <w:rsid w:val="00A81FED"/>
    <w:rsid w:val="00A845D3"/>
    <w:rsid w:val="00A8571B"/>
    <w:rsid w:val="00A85CCA"/>
    <w:rsid w:val="00A86F97"/>
    <w:rsid w:val="00A9111A"/>
    <w:rsid w:val="00A91FAF"/>
    <w:rsid w:val="00A95095"/>
    <w:rsid w:val="00AA23AB"/>
    <w:rsid w:val="00AA56C6"/>
    <w:rsid w:val="00AA6671"/>
    <w:rsid w:val="00AB26FC"/>
    <w:rsid w:val="00AB6196"/>
    <w:rsid w:val="00AC2D17"/>
    <w:rsid w:val="00AC3140"/>
    <w:rsid w:val="00AD670B"/>
    <w:rsid w:val="00AE5F3A"/>
    <w:rsid w:val="00AE677A"/>
    <w:rsid w:val="00B00C1D"/>
    <w:rsid w:val="00B01936"/>
    <w:rsid w:val="00B23C71"/>
    <w:rsid w:val="00B355F4"/>
    <w:rsid w:val="00B40517"/>
    <w:rsid w:val="00B42663"/>
    <w:rsid w:val="00B53CDF"/>
    <w:rsid w:val="00B557A6"/>
    <w:rsid w:val="00B632CC"/>
    <w:rsid w:val="00B66B24"/>
    <w:rsid w:val="00B77038"/>
    <w:rsid w:val="00B815AC"/>
    <w:rsid w:val="00B823D0"/>
    <w:rsid w:val="00B851EF"/>
    <w:rsid w:val="00B87BA8"/>
    <w:rsid w:val="00B93964"/>
    <w:rsid w:val="00BA12F1"/>
    <w:rsid w:val="00BA3959"/>
    <w:rsid w:val="00BA439F"/>
    <w:rsid w:val="00BA6370"/>
    <w:rsid w:val="00BB25E5"/>
    <w:rsid w:val="00BB2677"/>
    <w:rsid w:val="00BC1C7C"/>
    <w:rsid w:val="00BD31BB"/>
    <w:rsid w:val="00BD6129"/>
    <w:rsid w:val="00BF3F1D"/>
    <w:rsid w:val="00BF4197"/>
    <w:rsid w:val="00C237E2"/>
    <w:rsid w:val="00C269D4"/>
    <w:rsid w:val="00C277F0"/>
    <w:rsid w:val="00C322C4"/>
    <w:rsid w:val="00C4160D"/>
    <w:rsid w:val="00C41E70"/>
    <w:rsid w:val="00C431F2"/>
    <w:rsid w:val="00C43F6C"/>
    <w:rsid w:val="00C51FD2"/>
    <w:rsid w:val="00C657B0"/>
    <w:rsid w:val="00C70ABD"/>
    <w:rsid w:val="00C73D5C"/>
    <w:rsid w:val="00C7491D"/>
    <w:rsid w:val="00C8406E"/>
    <w:rsid w:val="00C85A29"/>
    <w:rsid w:val="00C85E7C"/>
    <w:rsid w:val="00C87CB2"/>
    <w:rsid w:val="00C934D6"/>
    <w:rsid w:val="00C96381"/>
    <w:rsid w:val="00CA56EF"/>
    <w:rsid w:val="00CA612E"/>
    <w:rsid w:val="00CB2709"/>
    <w:rsid w:val="00CB6F89"/>
    <w:rsid w:val="00CC026F"/>
    <w:rsid w:val="00CD13C6"/>
    <w:rsid w:val="00CD355F"/>
    <w:rsid w:val="00CE228C"/>
    <w:rsid w:val="00CE29DE"/>
    <w:rsid w:val="00CE4854"/>
    <w:rsid w:val="00CE71D9"/>
    <w:rsid w:val="00CF0E7D"/>
    <w:rsid w:val="00CF3BEB"/>
    <w:rsid w:val="00CF545B"/>
    <w:rsid w:val="00CF6B3F"/>
    <w:rsid w:val="00D05DCB"/>
    <w:rsid w:val="00D16E04"/>
    <w:rsid w:val="00D209A7"/>
    <w:rsid w:val="00D27D69"/>
    <w:rsid w:val="00D35301"/>
    <w:rsid w:val="00D42C3A"/>
    <w:rsid w:val="00D448C2"/>
    <w:rsid w:val="00D462EC"/>
    <w:rsid w:val="00D52E78"/>
    <w:rsid w:val="00D53011"/>
    <w:rsid w:val="00D57A20"/>
    <w:rsid w:val="00D63A94"/>
    <w:rsid w:val="00D666C3"/>
    <w:rsid w:val="00D811AB"/>
    <w:rsid w:val="00D82534"/>
    <w:rsid w:val="00D8715D"/>
    <w:rsid w:val="00D932E1"/>
    <w:rsid w:val="00D95843"/>
    <w:rsid w:val="00DB3C15"/>
    <w:rsid w:val="00DB58D0"/>
    <w:rsid w:val="00DD1F97"/>
    <w:rsid w:val="00DD46EA"/>
    <w:rsid w:val="00DE2D3A"/>
    <w:rsid w:val="00DE3637"/>
    <w:rsid w:val="00DE6CF8"/>
    <w:rsid w:val="00DE73E3"/>
    <w:rsid w:val="00DF3219"/>
    <w:rsid w:val="00DF47FE"/>
    <w:rsid w:val="00E0156A"/>
    <w:rsid w:val="00E11668"/>
    <w:rsid w:val="00E1630A"/>
    <w:rsid w:val="00E20E16"/>
    <w:rsid w:val="00E26704"/>
    <w:rsid w:val="00E31980"/>
    <w:rsid w:val="00E358AA"/>
    <w:rsid w:val="00E35E8E"/>
    <w:rsid w:val="00E40C77"/>
    <w:rsid w:val="00E45638"/>
    <w:rsid w:val="00E60257"/>
    <w:rsid w:val="00E63DBF"/>
    <w:rsid w:val="00E6423C"/>
    <w:rsid w:val="00E6766E"/>
    <w:rsid w:val="00E70B65"/>
    <w:rsid w:val="00E71483"/>
    <w:rsid w:val="00E75234"/>
    <w:rsid w:val="00E76B35"/>
    <w:rsid w:val="00E8544D"/>
    <w:rsid w:val="00E90B6E"/>
    <w:rsid w:val="00E911F5"/>
    <w:rsid w:val="00E92101"/>
    <w:rsid w:val="00E93830"/>
    <w:rsid w:val="00E93E0E"/>
    <w:rsid w:val="00E944E6"/>
    <w:rsid w:val="00EA4798"/>
    <w:rsid w:val="00EA5D31"/>
    <w:rsid w:val="00EB1A25"/>
    <w:rsid w:val="00EB1ED3"/>
    <w:rsid w:val="00ED34CF"/>
    <w:rsid w:val="00EE70B7"/>
    <w:rsid w:val="00F006D8"/>
    <w:rsid w:val="00F04D97"/>
    <w:rsid w:val="00F072A6"/>
    <w:rsid w:val="00F11FB1"/>
    <w:rsid w:val="00F13DF4"/>
    <w:rsid w:val="00F22E6D"/>
    <w:rsid w:val="00F310F8"/>
    <w:rsid w:val="00F314B7"/>
    <w:rsid w:val="00F3328F"/>
    <w:rsid w:val="00F6053C"/>
    <w:rsid w:val="00F750B4"/>
    <w:rsid w:val="00F757BE"/>
    <w:rsid w:val="00F75FA7"/>
    <w:rsid w:val="00F83C49"/>
    <w:rsid w:val="00F91571"/>
    <w:rsid w:val="00FA0279"/>
    <w:rsid w:val="00FB63F1"/>
    <w:rsid w:val="00FB687C"/>
    <w:rsid w:val="00FB7AC3"/>
    <w:rsid w:val="00FC5E19"/>
    <w:rsid w:val="00FD01D9"/>
    <w:rsid w:val="00FE114D"/>
    <w:rsid w:val="00FE15FA"/>
    <w:rsid w:val="00FE197E"/>
    <w:rsid w:val="00FE3862"/>
    <w:rsid w:val="00FE6E30"/>
    <w:rsid w:val="00FE7092"/>
    <w:rsid w:val="00FF160D"/>
    <w:rsid w:val="00FF2C2D"/>
    <w:rsid w:val="00FF40A5"/>
    <w:rsid w:val="00FF4A7A"/>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0071bc"/>
    </o:shapedefaults>
    <o:shapelayout v:ext="edit">
      <o:idmap v:ext="edit" data="1"/>
    </o:shapelayout>
  </w:shapeDefaults>
  <w:decimalSymbol w:val=","/>
  <w:listSeparator w:val=";"/>
  <w14:docId w14:val="2EA3F2EC"/>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 w:type="paragraph" w:styleId="Normlnweb">
    <w:name w:val="Normal (Web)"/>
    <w:basedOn w:val="Normln"/>
    <w:uiPriority w:val="99"/>
    <w:semiHidden/>
    <w:unhideWhenUsed/>
    <w:rsid w:val="0041246B"/>
    <w:pPr>
      <w:spacing w:before="100" w:beforeAutospacing="1" w:after="100" w:afterAutospacing="1" w:line="240" w:lineRule="auto"/>
      <w:jc w:val="left"/>
    </w:pPr>
    <w:rPr>
      <w:rFonts w:ascii="Times New Roman" w:eastAsia="Times New Roman" w:hAnsi="Times New Roman"/>
      <w:sz w:val="24"/>
      <w:szCs w:val="24"/>
      <w:lang w:val="cs-CZ" w:eastAsia="cs-CZ"/>
    </w:rPr>
  </w:style>
  <w:style w:type="character" w:customStyle="1" w:styleId="rynqvb">
    <w:name w:val="rynqvb"/>
    <w:basedOn w:val="Standardnpsmoodstavce"/>
    <w:rsid w:val="009F7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885064626">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68095074">
      <w:bodyDiv w:val="1"/>
      <w:marLeft w:val="0"/>
      <w:marRight w:val="0"/>
      <w:marTop w:val="0"/>
      <w:marBottom w:val="0"/>
      <w:divBdr>
        <w:top w:val="none" w:sz="0" w:space="0" w:color="auto"/>
        <w:left w:val="none" w:sz="0" w:space="0" w:color="auto"/>
        <w:bottom w:val="none" w:sz="0" w:space="0" w:color="auto"/>
        <w:right w:val="none" w:sz="0" w:space="0" w:color="auto"/>
      </w:divBdr>
    </w:div>
    <w:div w:id="1404138904">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991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27B604C2-90F1-443B-9B76-272619FAE4D4}">
  <ds:schemaRefs>
    <ds:schemaRef ds:uri="http://schemas.microsoft.com/office/infopath/2007/PartnerControls"/>
    <ds:schemaRef ds:uri="b8c0c86d-151e-4fca-b0d5-747e6692fa1d"/>
    <ds:schemaRef ds:uri="http://www.w3.org/XML/1998/namespace"/>
    <ds:schemaRef ds:uri="http://schemas.openxmlformats.org/package/2006/metadata/core-properties"/>
    <ds:schemaRef ds:uri="http://schemas.microsoft.com/office/2006/metadata/properties"/>
    <ds:schemaRef ds:uri="c2dae8f7-f558-46f4-890f-7386b76adb5f"/>
    <ds:schemaRef ds:uri="http://schemas.microsoft.com/office/2006/documentManagement/types"/>
    <ds:schemaRef ds:uri="http://purl.org/dc/terms/"/>
    <ds:schemaRef ds:uri="http://purl.org/dc/elements/1.1/"/>
    <ds:schemaRef ds:uri="http://purl.org/dc/dcmitype/"/>
  </ds:schemaRefs>
</ds:datastoreItem>
</file>

<file path=customXml/itemProps3.xml><?xml version="1.0" encoding="utf-8"?>
<ds:datastoreItem xmlns:ds="http://schemas.openxmlformats.org/officeDocument/2006/customXml" ds:itemID="{B417280C-C0FA-4CAB-8472-940C05BE8424}"/>
</file>

<file path=customXml/itemProps4.xml><?xml version="1.0" encoding="utf-8"?>
<ds:datastoreItem xmlns:ds="http://schemas.openxmlformats.org/officeDocument/2006/customXml" ds:itemID="{74C299B3-5FCE-4F3E-96DF-F33F9651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1</TotalTime>
  <Pages>3</Pages>
  <Words>1206</Words>
  <Characters>6879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8069</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Šulc Jiří</cp:lastModifiedBy>
  <cp:revision>2</cp:revision>
  <cp:lastPrinted>2025-08-14T09:00:00Z</cp:lastPrinted>
  <dcterms:created xsi:type="dcterms:W3CDTF">2025-09-15T08:33:00Z</dcterms:created>
  <dcterms:modified xsi:type="dcterms:W3CDTF">2025-09-15T08:33:00Z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