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375B" w14:textId="5592FBD9" w:rsidR="00F21B6A" w:rsidRDefault="002B1BA1" w:rsidP="00F21B6A">
      <w:pPr>
        <w:pStyle w:val="Nadpis1"/>
      </w:pPr>
      <w:r>
        <w:t>Hospodaření vládních institucí skončilo v</w:t>
      </w:r>
      <w:r w:rsidR="000A4DA9">
        <w:t> </w:t>
      </w:r>
      <w:r>
        <w:t>deficitu</w:t>
      </w:r>
      <w:r w:rsidR="000A4DA9">
        <w:t xml:space="preserve"> 2,2</w:t>
      </w:r>
      <w:r w:rsidR="00E64F18">
        <w:t xml:space="preserve"> </w:t>
      </w:r>
      <w:r w:rsidR="000A4DA9">
        <w:t>% HDP</w:t>
      </w:r>
    </w:p>
    <w:p w14:paraId="117F53DC" w14:textId="5FBD9A23" w:rsidR="00F21B6A" w:rsidRDefault="004974D3" w:rsidP="00200551">
      <w:pPr>
        <w:jc w:val="left"/>
      </w:pPr>
      <w:sdt>
        <w:sdtPr>
          <w:id w:val="902409853"/>
          <w:placeholder>
            <w:docPart w:val="A75872B8E9CF4C04BE3F32A742F7ED24"/>
          </w:placeholder>
          <w:date w:fullDate="2026-10-21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CF3775">
            <w:t>21. 10. 2026</w:t>
          </w:r>
        </w:sdtContent>
      </w:sdt>
      <w:r w:rsidR="00C744B6" w:rsidRPr="00C744B6">
        <w:t xml:space="preserve"> </w:t>
      </w:r>
    </w:p>
    <w:p w14:paraId="5CC0E26E" w14:textId="02573DF6" w:rsidR="00773B0B" w:rsidRDefault="00B3112C" w:rsidP="00773B0B">
      <w:pPr>
        <w:pStyle w:val="Nadpis2"/>
      </w:pPr>
      <w:r>
        <w:t>Notifikace deficitu a dluhu vládních institucí - 2025</w:t>
      </w:r>
    </w:p>
    <w:p w14:paraId="7C29F16B" w14:textId="1498C20B" w:rsidR="00164BC6" w:rsidRDefault="00164BC6" w:rsidP="004D273A">
      <w:pPr>
        <w:jc w:val="left"/>
        <w:rPr>
          <w:b/>
          <w:color w:val="545860" w:themeColor="accent6"/>
        </w:rPr>
      </w:pPr>
      <w:r w:rsidRPr="00164BC6">
        <w:rPr>
          <w:b/>
          <w:color w:val="545860" w:themeColor="accent6"/>
        </w:rPr>
        <w:t xml:space="preserve">Na základě pravidelných konzultací Eurostat ověřil výsledek hospodaření a dluh vládních institucí, jež byly publikovány v rámci Rychlých informací 1. </w:t>
      </w:r>
      <w:r w:rsidRPr="002959F5">
        <w:rPr>
          <w:b/>
          <w:color w:val="545860" w:themeColor="accent6"/>
        </w:rPr>
        <w:t xml:space="preserve">října 2026. </w:t>
      </w:r>
      <w:proofErr w:type="spellStart"/>
      <w:r w:rsidR="00063267">
        <w:rPr>
          <w:b/>
          <w:color w:val="545860" w:themeColor="accent6"/>
        </w:rPr>
        <w:t>Eurostat</w:t>
      </w:r>
      <w:proofErr w:type="spellEnd"/>
      <w:r w:rsidR="00063267" w:rsidRPr="002959F5">
        <w:rPr>
          <w:b/>
          <w:color w:val="545860" w:themeColor="accent6"/>
        </w:rPr>
        <w:t xml:space="preserve"> </w:t>
      </w:r>
      <w:r w:rsidRPr="002959F5">
        <w:rPr>
          <w:b/>
          <w:color w:val="545860" w:themeColor="accent6"/>
        </w:rPr>
        <w:t>potvr</w:t>
      </w:r>
      <w:r w:rsidR="00727B91">
        <w:rPr>
          <w:b/>
          <w:color w:val="545860" w:themeColor="accent6"/>
        </w:rPr>
        <w:t>dil</w:t>
      </w:r>
      <w:r w:rsidRPr="002959F5">
        <w:rPr>
          <w:b/>
          <w:color w:val="545860" w:themeColor="accent6"/>
        </w:rPr>
        <w:t>, že saldo hospodaření sektoru vládních institucí skončilo v roce 2025 schodkem ve výši 2,2 % HDP, a zadlužení sektoru dosáhlo na konci roku 2025 úrovně 44,2 % HDP.</w:t>
      </w:r>
    </w:p>
    <w:p w14:paraId="44E2FEFC" w14:textId="4358EED2" w:rsidR="001C30C2" w:rsidRPr="001C30C2" w:rsidRDefault="001C30C2" w:rsidP="00773B0B">
      <w:pPr>
        <w:jc w:val="left"/>
        <w:rPr>
          <w:iCs/>
        </w:rPr>
      </w:pPr>
      <w:r w:rsidRPr="001C30C2">
        <w:rPr>
          <w:i/>
        </w:rPr>
        <w:t>„Eurostat na základě pravidelných konzultací ověřil a potvrdil schodek hospodaření vládních institucí za rok 2025 ve výši 18</w:t>
      </w:r>
      <w:r>
        <w:rPr>
          <w:i/>
        </w:rPr>
        <w:t>5</w:t>
      </w:r>
      <w:r w:rsidRPr="001C30C2">
        <w:rPr>
          <w:i/>
        </w:rPr>
        <w:t>,</w:t>
      </w:r>
      <w:r>
        <w:rPr>
          <w:i/>
        </w:rPr>
        <w:t>5</w:t>
      </w:r>
      <w:r w:rsidRPr="001C30C2">
        <w:rPr>
          <w:i/>
        </w:rPr>
        <w:t xml:space="preserve"> mld. Kč</w:t>
      </w:r>
      <w:r w:rsidR="00D25509">
        <w:rPr>
          <w:i/>
        </w:rPr>
        <w:t>, tedy 2,2 % HDP,</w:t>
      </w:r>
      <w:r w:rsidRPr="001C30C2">
        <w:rPr>
          <w:i/>
        </w:rPr>
        <w:t xml:space="preserve"> a </w:t>
      </w:r>
      <w:r w:rsidR="00672ED6">
        <w:rPr>
          <w:i/>
        </w:rPr>
        <w:t xml:space="preserve">jejich </w:t>
      </w:r>
      <w:r w:rsidRPr="001C30C2">
        <w:rPr>
          <w:i/>
        </w:rPr>
        <w:t>zadlužení na úrovni 44,</w:t>
      </w:r>
      <w:r>
        <w:rPr>
          <w:i/>
        </w:rPr>
        <w:t>2</w:t>
      </w:r>
      <w:r w:rsidRPr="001C30C2">
        <w:rPr>
          <w:i/>
        </w:rPr>
        <w:t xml:space="preserve"> % HDP,“ </w:t>
      </w:r>
      <w:r w:rsidRPr="001C30C2">
        <w:rPr>
          <w:iCs/>
        </w:rPr>
        <w:t xml:space="preserve">uvedl </w:t>
      </w:r>
      <w:r>
        <w:rPr>
          <w:iCs/>
        </w:rPr>
        <w:t>Petr Musil</w:t>
      </w:r>
      <w:r w:rsidRPr="001C30C2">
        <w:rPr>
          <w:iCs/>
        </w:rPr>
        <w:t xml:space="preserve">, ředitel </w:t>
      </w:r>
      <w:r>
        <w:rPr>
          <w:iCs/>
        </w:rPr>
        <w:t>odboru vládních a finančních účtů</w:t>
      </w:r>
      <w:r w:rsidRPr="001C30C2">
        <w:rPr>
          <w:iCs/>
        </w:rPr>
        <w:t xml:space="preserve"> ČSÚ</w:t>
      </w:r>
      <w:r>
        <w:rPr>
          <w:iCs/>
        </w:rPr>
        <w:t>.</w:t>
      </w:r>
    </w:p>
    <w:p w14:paraId="3177FD4E" w14:textId="0F3D7CA2" w:rsidR="00773B0B" w:rsidRDefault="00D67C2A" w:rsidP="00773B0B">
      <w:pPr>
        <w:jc w:val="left"/>
        <w:rPr>
          <w:b/>
          <w:bCs/>
        </w:rPr>
      </w:pPr>
      <w:r>
        <w:rPr>
          <w:b/>
          <w:bCs/>
        </w:rPr>
        <w:t>Notifikační tabulka deficitu a dluhu vládních institucí</w:t>
      </w:r>
    </w:p>
    <w:tbl>
      <w:tblPr>
        <w:tblStyle w:val="TabulkaJVS2-modr"/>
        <w:tblW w:w="9067" w:type="dxa"/>
        <w:tblLayout w:type="fixed"/>
        <w:tblLook w:val="04A0" w:firstRow="1" w:lastRow="0" w:firstColumn="1" w:lastColumn="0" w:noHBand="0" w:noVBand="1"/>
      </w:tblPr>
      <w:tblGrid>
        <w:gridCol w:w="3473"/>
        <w:gridCol w:w="1398"/>
        <w:gridCol w:w="1399"/>
        <w:gridCol w:w="1398"/>
        <w:gridCol w:w="1399"/>
      </w:tblGrid>
      <w:tr w:rsidR="00D67C2A" w14:paraId="7B2B6D50" w14:textId="77777777" w:rsidTr="00A76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73" w:type="dxa"/>
          </w:tcPr>
          <w:p w14:paraId="47185610" w14:textId="1343DB3E" w:rsidR="00D67C2A" w:rsidRPr="00260DCA" w:rsidRDefault="00D67C2A">
            <w:r>
              <w:t>Ukazatel</w:t>
            </w:r>
          </w:p>
        </w:tc>
        <w:tc>
          <w:tcPr>
            <w:tcW w:w="1398" w:type="dxa"/>
          </w:tcPr>
          <w:p w14:paraId="0BAA8FF0" w14:textId="7D7AB2CB" w:rsidR="00D67C2A" w:rsidRDefault="00D67C2A" w:rsidP="00BD57E3">
            <w:pPr>
              <w:jc w:val="right"/>
            </w:pPr>
            <w:r>
              <w:t>2022</w:t>
            </w:r>
          </w:p>
        </w:tc>
        <w:tc>
          <w:tcPr>
            <w:tcW w:w="1399" w:type="dxa"/>
          </w:tcPr>
          <w:p w14:paraId="30F99E51" w14:textId="5591D117" w:rsidR="00D67C2A" w:rsidRDefault="00D67C2A" w:rsidP="00BD57E3">
            <w:pPr>
              <w:jc w:val="right"/>
            </w:pPr>
            <w:r>
              <w:t>2023</w:t>
            </w:r>
          </w:p>
        </w:tc>
        <w:tc>
          <w:tcPr>
            <w:tcW w:w="1398" w:type="dxa"/>
          </w:tcPr>
          <w:p w14:paraId="419BC22B" w14:textId="77BCA250" w:rsidR="00D67C2A" w:rsidRDefault="00D67C2A" w:rsidP="00BD57E3">
            <w:pPr>
              <w:jc w:val="right"/>
            </w:pPr>
            <w:r>
              <w:t>2024</w:t>
            </w:r>
          </w:p>
        </w:tc>
        <w:tc>
          <w:tcPr>
            <w:tcW w:w="1399" w:type="dxa"/>
          </w:tcPr>
          <w:p w14:paraId="2960A1C9" w14:textId="4A2C82F4" w:rsidR="00D67C2A" w:rsidRDefault="00D67C2A" w:rsidP="00BD57E3">
            <w:pPr>
              <w:jc w:val="right"/>
            </w:pPr>
            <w:r>
              <w:t>2025</w:t>
            </w:r>
          </w:p>
        </w:tc>
      </w:tr>
      <w:tr w:rsidR="009F2A49" w14:paraId="011B233F" w14:textId="77777777">
        <w:tc>
          <w:tcPr>
            <w:tcW w:w="3473" w:type="dxa"/>
          </w:tcPr>
          <w:p w14:paraId="4C0D9956" w14:textId="76C6FC50" w:rsidR="009F2A49" w:rsidRDefault="009F2A49" w:rsidP="009F2A49">
            <w:r>
              <w:t>Saldo hospodaření v mil. Kč.</w:t>
            </w:r>
          </w:p>
        </w:tc>
        <w:tc>
          <w:tcPr>
            <w:tcW w:w="1398" w:type="dxa"/>
            <w:vAlign w:val="center"/>
          </w:tcPr>
          <w:p w14:paraId="40C05B13" w14:textId="55FE85F9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-213 884</w:t>
            </w:r>
          </w:p>
        </w:tc>
        <w:tc>
          <w:tcPr>
            <w:tcW w:w="1399" w:type="dxa"/>
            <w:vAlign w:val="center"/>
          </w:tcPr>
          <w:p w14:paraId="45623BA5" w14:textId="1A0D1C52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-282 814</w:t>
            </w:r>
          </w:p>
        </w:tc>
        <w:tc>
          <w:tcPr>
            <w:tcW w:w="1398" w:type="dxa"/>
            <w:vAlign w:val="center"/>
          </w:tcPr>
          <w:p w14:paraId="0E12CE2E" w14:textId="3341D2BE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-159 222</w:t>
            </w:r>
          </w:p>
        </w:tc>
        <w:tc>
          <w:tcPr>
            <w:tcW w:w="1399" w:type="dxa"/>
            <w:vAlign w:val="center"/>
          </w:tcPr>
          <w:p w14:paraId="2E72B1C8" w14:textId="1BDEAC75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-185 469</w:t>
            </w:r>
          </w:p>
        </w:tc>
      </w:tr>
      <w:tr w:rsidR="009F2A49" w14:paraId="55A86AF1" w14:textId="77777777">
        <w:tc>
          <w:tcPr>
            <w:tcW w:w="3473" w:type="dxa"/>
          </w:tcPr>
          <w:p w14:paraId="0923D659" w14:textId="0626A96B" w:rsidR="009F2A49" w:rsidRDefault="009F2A49" w:rsidP="009F2A49">
            <w:r>
              <w:t>Saldo hospodaření v % HDP</w:t>
            </w:r>
          </w:p>
        </w:tc>
        <w:tc>
          <w:tcPr>
            <w:tcW w:w="1398" w:type="dxa"/>
            <w:vAlign w:val="center"/>
          </w:tcPr>
          <w:p w14:paraId="3EE2B920" w14:textId="0E5357C1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-3,0</w:t>
            </w:r>
          </w:p>
        </w:tc>
        <w:tc>
          <w:tcPr>
            <w:tcW w:w="1399" w:type="dxa"/>
            <w:vAlign w:val="center"/>
          </w:tcPr>
          <w:p w14:paraId="12F32612" w14:textId="563BC7E4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-3,7</w:t>
            </w:r>
          </w:p>
        </w:tc>
        <w:tc>
          <w:tcPr>
            <w:tcW w:w="1398" w:type="dxa"/>
            <w:vAlign w:val="center"/>
          </w:tcPr>
          <w:p w14:paraId="7BBB6C2C" w14:textId="446B3347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-2,0</w:t>
            </w:r>
          </w:p>
        </w:tc>
        <w:tc>
          <w:tcPr>
            <w:tcW w:w="1399" w:type="dxa"/>
            <w:vAlign w:val="center"/>
          </w:tcPr>
          <w:p w14:paraId="1AE4C6B9" w14:textId="592A4B3B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-2,2</w:t>
            </w:r>
          </w:p>
        </w:tc>
      </w:tr>
      <w:tr w:rsidR="009F2A49" w14:paraId="7EF94FB6" w14:textId="77777777">
        <w:tc>
          <w:tcPr>
            <w:tcW w:w="3473" w:type="dxa"/>
          </w:tcPr>
          <w:p w14:paraId="391B812F" w14:textId="2F278B17" w:rsidR="009F2A49" w:rsidRDefault="009F2A49" w:rsidP="009F2A49">
            <w:r>
              <w:t>Konsolidovaný hrubý dluh v mil. Kč.</w:t>
            </w:r>
          </w:p>
        </w:tc>
        <w:tc>
          <w:tcPr>
            <w:tcW w:w="1398" w:type="dxa"/>
            <w:vAlign w:val="center"/>
          </w:tcPr>
          <w:p w14:paraId="6F37B58C" w14:textId="5A5404CA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2 997 632</w:t>
            </w:r>
          </w:p>
        </w:tc>
        <w:tc>
          <w:tcPr>
            <w:tcW w:w="1399" w:type="dxa"/>
            <w:vAlign w:val="center"/>
          </w:tcPr>
          <w:p w14:paraId="75E5D8F3" w14:textId="5360D40B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3 234 102</w:t>
            </w:r>
          </w:p>
        </w:tc>
        <w:tc>
          <w:tcPr>
            <w:tcW w:w="1398" w:type="dxa"/>
            <w:vAlign w:val="center"/>
          </w:tcPr>
          <w:p w14:paraId="74104DD0" w14:textId="39B24DED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3 488 500</w:t>
            </w:r>
          </w:p>
        </w:tc>
        <w:tc>
          <w:tcPr>
            <w:tcW w:w="1399" w:type="dxa"/>
            <w:vAlign w:val="center"/>
          </w:tcPr>
          <w:p w14:paraId="473CB505" w14:textId="0C9BC489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3 787 253</w:t>
            </w:r>
          </w:p>
        </w:tc>
      </w:tr>
      <w:tr w:rsidR="009F2A49" w14:paraId="6DC5E6DA" w14:textId="77777777">
        <w:tc>
          <w:tcPr>
            <w:tcW w:w="3473" w:type="dxa"/>
          </w:tcPr>
          <w:p w14:paraId="3F940C1F" w14:textId="7DE1499C" w:rsidR="009F2A49" w:rsidRDefault="009F2A49" w:rsidP="009F2A49">
            <w:r>
              <w:t>Konsolidovaný hrubý dluh v % HDP</w:t>
            </w:r>
          </w:p>
        </w:tc>
        <w:tc>
          <w:tcPr>
            <w:tcW w:w="1398" w:type="dxa"/>
            <w:vAlign w:val="center"/>
          </w:tcPr>
          <w:p w14:paraId="2DA1E033" w14:textId="073C11F1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42,5</w:t>
            </w:r>
          </w:p>
        </w:tc>
        <w:tc>
          <w:tcPr>
            <w:tcW w:w="1399" w:type="dxa"/>
            <w:vAlign w:val="center"/>
          </w:tcPr>
          <w:p w14:paraId="3C9D9058" w14:textId="70696581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42,2</w:t>
            </w:r>
          </w:p>
        </w:tc>
        <w:tc>
          <w:tcPr>
            <w:tcW w:w="1398" w:type="dxa"/>
            <w:vAlign w:val="center"/>
          </w:tcPr>
          <w:p w14:paraId="267C56AC" w14:textId="301987C9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43,2</w:t>
            </w:r>
          </w:p>
        </w:tc>
        <w:tc>
          <w:tcPr>
            <w:tcW w:w="1399" w:type="dxa"/>
            <w:vAlign w:val="center"/>
          </w:tcPr>
          <w:p w14:paraId="3622BD53" w14:textId="2EC61250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44,2</w:t>
            </w:r>
          </w:p>
        </w:tc>
      </w:tr>
    </w:tbl>
    <w:p w14:paraId="0EE21F7B" w14:textId="77777777" w:rsidR="00E54023" w:rsidRDefault="00E54023" w:rsidP="001B5603">
      <w:pPr>
        <w:jc w:val="left"/>
      </w:pPr>
    </w:p>
    <w:p w14:paraId="7871D52C" w14:textId="2F40F13C" w:rsidR="00E54023" w:rsidRDefault="00E54023" w:rsidP="00E54023">
      <w:pPr>
        <w:pStyle w:val="Zkladntext2"/>
        <w:spacing w:line="276" w:lineRule="auto"/>
        <w:jc w:val="left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Údaje za všechny členské státy Evropské unie budou publikovány na stránkách </w:t>
      </w:r>
      <w:proofErr w:type="spellStart"/>
      <w:r>
        <w:rPr>
          <w:rFonts w:ascii="Arial" w:hAnsi="Arial" w:cs="Arial"/>
          <w:szCs w:val="20"/>
        </w:rPr>
        <w:t>Eurostatu</w:t>
      </w:r>
      <w:proofErr w:type="spellEnd"/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br/>
        <w:t>ve středu 21. října 2026 v 11:00 hodin.</w:t>
      </w:r>
    </w:p>
    <w:p w14:paraId="4F91AE4C" w14:textId="497A93AA" w:rsidR="00985B76" w:rsidRPr="00CA15B7" w:rsidRDefault="002C4C20" w:rsidP="00820D78">
      <w:pPr>
        <w:pStyle w:val="Poznmky0"/>
        <w:jc w:val="left"/>
        <w:rPr>
          <w:rFonts w:cs="Arial"/>
          <w:i w:val="0"/>
        </w:rPr>
      </w:pPr>
      <w:r>
        <w:t xml:space="preserve">Poznámky: </w:t>
      </w:r>
      <w:r w:rsidR="00985B76" w:rsidRPr="00CA15B7">
        <w:rPr>
          <w:rFonts w:cs="Arial"/>
        </w:rPr>
        <w:t xml:space="preserve">Notifikaci deficitu a dluhu vládních institucí sestavuje a předkládá Evropské komisi každá členská země Evropské unie vždy za čtyři uplynulé roky a formou projekce </w:t>
      </w:r>
      <w:r w:rsidR="00985B76">
        <w:rPr>
          <w:rFonts w:cs="Arial"/>
        </w:rPr>
        <w:t>za</w:t>
      </w:r>
      <w:r w:rsidR="00985B76" w:rsidRPr="00CA15B7">
        <w:rPr>
          <w:rFonts w:cs="Arial"/>
        </w:rPr>
        <w:t xml:space="preserve"> běžný rok, a to vždy ke konci března a září. Projekci běžného roku sestavuje a publikuje Ministerstvo financí. Kvantifikace fiskálních ukazatelů je založena na metodice Evropského systému národních účtů (ESA 2010)</w:t>
      </w:r>
      <w:r w:rsidR="00985B76">
        <w:rPr>
          <w:rFonts w:cs="Arial"/>
        </w:rPr>
        <w:t xml:space="preserve"> a slouží </w:t>
      </w:r>
      <w:r w:rsidR="002B1BA1">
        <w:rPr>
          <w:rFonts w:cs="Arial"/>
        </w:rPr>
        <w:t>k hodnocení</w:t>
      </w:r>
      <w:r w:rsidR="00985B76">
        <w:rPr>
          <w:rFonts w:cs="Arial"/>
        </w:rPr>
        <w:t xml:space="preserve"> plnění maastrichtských konvergenčních kritérií</w:t>
      </w:r>
      <w:r w:rsidR="00985B76" w:rsidRPr="00CA15B7">
        <w:rPr>
          <w:rFonts w:cs="Arial"/>
        </w:rPr>
        <w:t xml:space="preserve">. Podle maastrichtských kritérií výše deficitu </w:t>
      </w:r>
      <w:r w:rsidR="00985B76">
        <w:rPr>
          <w:rFonts w:cs="Arial"/>
        </w:rPr>
        <w:t>nesmí</w:t>
      </w:r>
      <w:r w:rsidR="00985B76" w:rsidRPr="00CA15B7">
        <w:rPr>
          <w:rFonts w:cs="Arial"/>
        </w:rPr>
        <w:t xml:space="preserve"> překročit 3 % a úroveň kumulovaného dluhu 60 % HDP.</w:t>
      </w:r>
    </w:p>
    <w:p w14:paraId="22D876BF" w14:textId="77777777" w:rsidR="00985B76" w:rsidRPr="00CA15B7" w:rsidRDefault="00985B76" w:rsidP="00820D78">
      <w:pPr>
        <w:pStyle w:val="Zkladntext2"/>
        <w:spacing w:line="276" w:lineRule="auto"/>
        <w:jc w:val="left"/>
        <w:rPr>
          <w:rFonts w:ascii="Arial" w:hAnsi="Arial" w:cs="Arial"/>
          <w:i/>
          <w:sz w:val="18"/>
          <w:szCs w:val="18"/>
        </w:rPr>
      </w:pPr>
    </w:p>
    <w:p w14:paraId="65504EC2" w14:textId="77777777" w:rsidR="00985B76" w:rsidRPr="00CA15B7" w:rsidRDefault="00985B76" w:rsidP="00820D78">
      <w:pPr>
        <w:jc w:val="left"/>
        <w:rPr>
          <w:rFonts w:cs="Arial"/>
          <w:i/>
          <w:sz w:val="18"/>
          <w:szCs w:val="18"/>
        </w:rPr>
      </w:pPr>
      <w:r w:rsidRPr="007071D6">
        <w:rPr>
          <w:rFonts w:cs="Arial"/>
          <w:i/>
          <w:sz w:val="18"/>
          <w:szCs w:val="18"/>
        </w:rPr>
        <w:t>Přebytek/deficit vládních institucí</w:t>
      </w:r>
      <w:r w:rsidRPr="00CA15B7">
        <w:rPr>
          <w:rFonts w:cs="Arial"/>
          <w:i/>
          <w:sz w:val="18"/>
          <w:szCs w:val="18"/>
        </w:rPr>
        <w:t xml:space="preserve"> je výše čistých půjček (+) nebo výpůjček (</w:t>
      </w:r>
      <w:r>
        <w:rPr>
          <w:rFonts w:cs="Arial"/>
          <w:i/>
          <w:sz w:val="18"/>
          <w:szCs w:val="18"/>
        </w:rPr>
        <w:t>−</w:t>
      </w:r>
      <w:r w:rsidRPr="00CA15B7">
        <w:rPr>
          <w:rFonts w:cs="Arial"/>
          <w:i/>
          <w:sz w:val="18"/>
          <w:szCs w:val="18"/>
        </w:rPr>
        <w:t>) v systému národního účetnictví. Ukazatel vyjadřuje schopnost sektoru v daném roce financovat (+) jiné sektory ekonomiky nebo potřebu tohoto sektoru být ostatními sektory financován (</w:t>
      </w:r>
      <w:r>
        <w:rPr>
          <w:rFonts w:cs="Arial"/>
          <w:i/>
          <w:sz w:val="18"/>
          <w:szCs w:val="18"/>
        </w:rPr>
        <w:t>−</w:t>
      </w:r>
      <w:r w:rsidRPr="00CA15B7">
        <w:rPr>
          <w:rFonts w:cs="Arial"/>
          <w:i/>
          <w:sz w:val="18"/>
          <w:szCs w:val="18"/>
        </w:rPr>
        <w:t>).</w:t>
      </w:r>
    </w:p>
    <w:p w14:paraId="3B801DC5" w14:textId="77777777" w:rsidR="00985B76" w:rsidRDefault="00985B76" w:rsidP="00820D78">
      <w:pPr>
        <w:jc w:val="left"/>
        <w:rPr>
          <w:rFonts w:cs="Arial"/>
          <w:i/>
          <w:sz w:val="18"/>
          <w:szCs w:val="18"/>
        </w:rPr>
      </w:pPr>
      <w:r w:rsidRPr="007071D6">
        <w:rPr>
          <w:rFonts w:cs="Arial"/>
          <w:i/>
          <w:sz w:val="18"/>
          <w:szCs w:val="18"/>
        </w:rPr>
        <w:t>Dluh vládních institucí</w:t>
      </w:r>
      <w:r w:rsidRPr="00CA15B7">
        <w:rPr>
          <w:rFonts w:cs="Arial"/>
          <w:i/>
          <w:sz w:val="18"/>
          <w:szCs w:val="18"/>
        </w:rPr>
        <w:t xml:space="preserve"> představuje nominální výši konsolidovaných závazků sektoru vládních institucí vyplývající z emitovaného oběživa, přijatých vkladů, emitovaných dluhových cenných papírů a přijatých půjček. U </w:t>
      </w:r>
      <w:proofErr w:type="spellStart"/>
      <w:r w:rsidRPr="00CA15B7">
        <w:rPr>
          <w:rFonts w:cs="Arial"/>
          <w:i/>
          <w:sz w:val="18"/>
          <w:szCs w:val="18"/>
        </w:rPr>
        <w:t>cizoměnových</w:t>
      </w:r>
      <w:proofErr w:type="spellEnd"/>
      <w:r w:rsidRPr="00CA15B7">
        <w:rPr>
          <w:rFonts w:cs="Arial"/>
          <w:i/>
          <w:sz w:val="18"/>
          <w:szCs w:val="18"/>
        </w:rPr>
        <w:t xml:space="preserve"> dluhových nástrojů zajištěných proti měnovému riziku je ocenění provedeno na bázi smluvního kurzu.</w:t>
      </w:r>
    </w:p>
    <w:p w14:paraId="1F83A004" w14:textId="052E91FE" w:rsidR="00B600BD" w:rsidRDefault="00B600BD" w:rsidP="00820D78">
      <w:pPr>
        <w:jc w:val="lef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Dílčí </w:t>
      </w:r>
      <w:r w:rsidRPr="00B600BD">
        <w:rPr>
          <w:rFonts w:cs="Arial"/>
          <w:i/>
          <w:sz w:val="18"/>
          <w:szCs w:val="18"/>
        </w:rPr>
        <w:t xml:space="preserve">rozdíly na </w:t>
      </w:r>
      <w:r>
        <w:rPr>
          <w:rFonts w:cs="Arial"/>
          <w:i/>
          <w:sz w:val="18"/>
          <w:szCs w:val="18"/>
        </w:rPr>
        <w:t>posledním desetinném</w:t>
      </w:r>
      <w:r w:rsidRPr="00B600BD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>místě vznikají z důvodu zaokrouhlování.</w:t>
      </w:r>
    </w:p>
    <w:p w14:paraId="67410F68" w14:textId="77777777" w:rsidR="002959F5" w:rsidRDefault="002959F5" w:rsidP="00820D78">
      <w:pPr>
        <w:jc w:val="left"/>
        <w:rPr>
          <w:rFonts w:cs="Arial"/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275"/>
      </w:tblGrid>
      <w:tr w:rsidR="00985B76" w:rsidRPr="00A3199C" w14:paraId="6CFA635B" w14:textId="77777777">
        <w:tc>
          <w:tcPr>
            <w:tcW w:w="3369" w:type="dxa"/>
          </w:tcPr>
          <w:p w14:paraId="4B52D20B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lastRenderedPageBreak/>
              <w:t>Zodpovědný vedoucí pracovník ČSÚ:</w:t>
            </w:r>
          </w:p>
        </w:tc>
        <w:tc>
          <w:tcPr>
            <w:tcW w:w="5275" w:type="dxa"/>
          </w:tcPr>
          <w:p w14:paraId="4350BC7F" w14:textId="72FBF8CD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Ing. </w:t>
            </w:r>
            <w:r>
              <w:rPr>
                <w:i/>
                <w:iCs/>
                <w:sz w:val="18"/>
                <w:szCs w:val="18"/>
              </w:rPr>
              <w:t>Petr Musil, Ph.D.</w:t>
            </w:r>
            <w:r w:rsidRPr="00A3199C">
              <w:rPr>
                <w:i/>
                <w:iCs/>
                <w:sz w:val="18"/>
                <w:szCs w:val="18"/>
              </w:rPr>
              <w:t xml:space="preserve">, ředitel </w:t>
            </w:r>
            <w:r>
              <w:rPr>
                <w:i/>
                <w:iCs/>
                <w:sz w:val="18"/>
                <w:szCs w:val="18"/>
              </w:rPr>
              <w:t>odboru vládních a finančních účtů</w:t>
            </w:r>
            <w:r w:rsidRPr="00A3199C">
              <w:rPr>
                <w:i/>
                <w:iCs/>
                <w:sz w:val="18"/>
                <w:szCs w:val="18"/>
              </w:rPr>
              <w:t xml:space="preserve">, </w:t>
            </w:r>
          </w:p>
          <w:p w14:paraId="0B5C3F70" w14:textId="3557D435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tel.: </w:t>
            </w:r>
            <w:r w:rsidR="00FF347B" w:rsidRPr="00FF347B">
              <w:rPr>
                <w:i/>
                <w:iCs/>
                <w:sz w:val="18"/>
                <w:szCs w:val="18"/>
              </w:rPr>
              <w:t>734</w:t>
            </w:r>
            <w:r w:rsidR="00FF347B">
              <w:rPr>
                <w:i/>
                <w:iCs/>
                <w:sz w:val="18"/>
                <w:szCs w:val="18"/>
              </w:rPr>
              <w:t> </w:t>
            </w:r>
            <w:r w:rsidR="00FF347B" w:rsidRPr="00FF347B">
              <w:rPr>
                <w:i/>
                <w:iCs/>
                <w:sz w:val="18"/>
                <w:szCs w:val="18"/>
              </w:rPr>
              <w:t>352</w:t>
            </w:r>
            <w:r w:rsidR="00FF347B">
              <w:rPr>
                <w:i/>
                <w:iCs/>
                <w:sz w:val="18"/>
                <w:szCs w:val="18"/>
              </w:rPr>
              <w:t xml:space="preserve"> </w:t>
            </w:r>
            <w:r w:rsidR="00FF347B" w:rsidRPr="00FF347B">
              <w:rPr>
                <w:i/>
                <w:iCs/>
                <w:sz w:val="18"/>
                <w:szCs w:val="18"/>
              </w:rPr>
              <w:t>286</w:t>
            </w:r>
            <w:r w:rsidRPr="00A3199C">
              <w:rPr>
                <w:i/>
                <w:iCs/>
                <w:sz w:val="18"/>
                <w:szCs w:val="18"/>
              </w:rPr>
              <w:t xml:space="preserve">, e-mail: </w:t>
            </w:r>
            <w:hyperlink r:id="rId11" w:history="1">
              <w:r w:rsidRPr="00FF347B">
                <w:rPr>
                  <w:rStyle w:val="Hypertextovodkaz"/>
                  <w:sz w:val="18"/>
                  <w:szCs w:val="18"/>
                </w:rPr>
                <w:t>petr.musil@csu.gov.cz</w:t>
              </w:r>
            </w:hyperlink>
            <w:r w:rsidRPr="00A3199C">
              <w:rPr>
                <w:sz w:val="18"/>
              </w:rPr>
              <w:t xml:space="preserve"> </w:t>
            </w:r>
          </w:p>
        </w:tc>
      </w:tr>
      <w:tr w:rsidR="00985B76" w:rsidRPr="00A3199C" w14:paraId="548C2A0D" w14:textId="77777777">
        <w:tc>
          <w:tcPr>
            <w:tcW w:w="3369" w:type="dxa"/>
          </w:tcPr>
          <w:p w14:paraId="6F7FFB4B" w14:textId="77777777" w:rsidR="00985B76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Kontaktní osoba:</w:t>
            </w:r>
          </w:p>
          <w:p w14:paraId="58D688BF" w14:textId="77777777" w:rsidR="00456191" w:rsidRDefault="00456191" w:rsidP="00985B76">
            <w:pPr>
              <w:spacing w:after="0"/>
              <w:rPr>
                <w:i/>
                <w:iCs/>
                <w:sz w:val="18"/>
                <w:szCs w:val="18"/>
              </w:rPr>
            </w:pPr>
          </w:p>
          <w:p w14:paraId="5CC298B0" w14:textId="6A2E6148" w:rsidR="00456191" w:rsidRPr="00A3199C" w:rsidRDefault="00456191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Navazující informace:</w:t>
            </w:r>
          </w:p>
        </w:tc>
        <w:tc>
          <w:tcPr>
            <w:tcW w:w="5275" w:type="dxa"/>
          </w:tcPr>
          <w:p w14:paraId="306870E1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Ing. Jaroslav Kahoun, vedoucí oddělení vládních účtů, </w:t>
            </w:r>
          </w:p>
          <w:p w14:paraId="31BF3285" w14:textId="77777777" w:rsidR="00985B76" w:rsidRDefault="00985B76" w:rsidP="00985B76">
            <w:pPr>
              <w:spacing w:after="0"/>
              <w:rPr>
                <w:sz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tel.: 274 054 232, e-mail: </w:t>
            </w:r>
            <w:hyperlink r:id="rId12" w:history="1">
              <w:r w:rsidRPr="00E27578">
                <w:rPr>
                  <w:rStyle w:val="Hypertextovodkaz"/>
                  <w:sz w:val="18"/>
                </w:rPr>
                <w:t>jaroslav.kahoun@csu.gov.cz</w:t>
              </w:r>
            </w:hyperlink>
            <w:r w:rsidRPr="00A3199C">
              <w:rPr>
                <w:sz w:val="18"/>
              </w:rPr>
              <w:t xml:space="preserve"> </w:t>
            </w:r>
          </w:p>
          <w:p w14:paraId="7AE94D1C" w14:textId="77777777" w:rsidR="00456191" w:rsidRDefault="00456191" w:rsidP="00456191">
            <w:hyperlink r:id="rId13" w:history="1">
              <w:r w:rsidRPr="00767D28">
                <w:rPr>
                  <w:rStyle w:val="Hypertextovodkaz"/>
                </w:rPr>
                <w:t>https://csu.gov.cz/vladni-financni-statistika</w:t>
              </w:r>
            </w:hyperlink>
          </w:p>
          <w:p w14:paraId="0F01D66F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</w:p>
        </w:tc>
      </w:tr>
      <w:tr w:rsidR="00985B76" w:rsidRPr="00A3199C" w14:paraId="2DE1D2D4" w14:textId="77777777">
        <w:tc>
          <w:tcPr>
            <w:tcW w:w="3369" w:type="dxa"/>
          </w:tcPr>
          <w:p w14:paraId="20362ABD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Termín zveřejnění další RI:</w:t>
            </w:r>
          </w:p>
        </w:tc>
        <w:tc>
          <w:tcPr>
            <w:tcW w:w="5275" w:type="dxa"/>
          </w:tcPr>
          <w:p w14:paraId="59124B5B" w14:textId="28B8EE1A" w:rsidR="00985B76" w:rsidRPr="00A3199C" w:rsidRDefault="00FF347B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  <w:r w:rsidR="00985B76" w:rsidRPr="00A3199C">
              <w:rPr>
                <w:i/>
                <w:iCs/>
                <w:sz w:val="18"/>
                <w:szCs w:val="18"/>
              </w:rPr>
              <w:t xml:space="preserve">. </w:t>
            </w:r>
            <w:r w:rsidR="00A42BA2">
              <w:rPr>
                <w:i/>
                <w:iCs/>
                <w:sz w:val="18"/>
                <w:szCs w:val="18"/>
              </w:rPr>
              <w:t>4</w:t>
            </w:r>
            <w:r w:rsidR="00985B76" w:rsidRPr="00A3199C">
              <w:rPr>
                <w:i/>
                <w:iCs/>
                <w:sz w:val="18"/>
                <w:szCs w:val="18"/>
              </w:rPr>
              <w:t>. 202</w:t>
            </w:r>
            <w:r w:rsidR="00A42BA2">
              <w:rPr>
                <w:i/>
                <w:iCs/>
                <w:sz w:val="18"/>
                <w:szCs w:val="18"/>
              </w:rPr>
              <w:t>7</w:t>
            </w:r>
          </w:p>
        </w:tc>
      </w:tr>
    </w:tbl>
    <w:p w14:paraId="7E778C6B" w14:textId="77777777" w:rsidR="00985B76" w:rsidRDefault="00985B76" w:rsidP="00985B76">
      <w:pPr>
        <w:rPr>
          <w:rFonts w:cs="Arial"/>
          <w:i/>
          <w:sz w:val="18"/>
          <w:szCs w:val="18"/>
        </w:rPr>
      </w:pPr>
    </w:p>
    <w:p w14:paraId="1A598238" w14:textId="3D02D8D2" w:rsidR="00A7786D" w:rsidRDefault="00A7786D" w:rsidP="00A7786D">
      <w:pPr>
        <w:pStyle w:val="Poznmky"/>
      </w:pPr>
    </w:p>
    <w:p w14:paraId="76E54E5F" w14:textId="77777777" w:rsidR="00200551" w:rsidRDefault="00200551" w:rsidP="00A7786D">
      <w:pPr>
        <w:pStyle w:val="Poznmky"/>
      </w:pPr>
    </w:p>
    <w:p w14:paraId="00F37B61" w14:textId="77777777" w:rsidR="00200551" w:rsidRDefault="00200551" w:rsidP="00A7786D">
      <w:pPr>
        <w:pStyle w:val="Poznmky"/>
      </w:pPr>
    </w:p>
    <w:p w14:paraId="17D0E62C" w14:textId="77777777" w:rsidR="00062565" w:rsidRDefault="00062565" w:rsidP="00A7786D">
      <w:pPr>
        <w:pStyle w:val="Poznmky"/>
      </w:pPr>
    </w:p>
    <w:p w14:paraId="441AE6B9" w14:textId="77777777" w:rsidR="00062565" w:rsidRDefault="00062565" w:rsidP="00062565">
      <w:pPr>
        <w:spacing w:after="0"/>
      </w:pPr>
      <w:r>
        <w:t>Přílohy:</w:t>
      </w:r>
    </w:p>
    <w:p w14:paraId="57122A26" w14:textId="3F52B750" w:rsidR="00062565" w:rsidRDefault="00062565" w:rsidP="00062565">
      <w:pPr>
        <w:spacing w:after="0"/>
      </w:pPr>
      <w:r>
        <w:t xml:space="preserve">Tab. 1 </w:t>
      </w:r>
      <w:r w:rsidR="003F3EEC">
        <w:t xml:space="preserve">Notifikační tabulky deficitu a dluhu vládních institucí </w:t>
      </w:r>
      <w:r w:rsidR="00283783">
        <w:t>2022–2025</w:t>
      </w:r>
    </w:p>
    <w:p w14:paraId="2CBB60FF" w14:textId="0A247DFE" w:rsidR="00070445" w:rsidRDefault="00070445">
      <w:pPr>
        <w:rPr>
          <w:i/>
          <w:sz w:val="18"/>
        </w:rPr>
      </w:pPr>
    </w:p>
    <w:sectPr w:rsidR="00070445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F8B52" w14:textId="77777777" w:rsidR="004974D3" w:rsidRDefault="004974D3" w:rsidP="004A01A7">
      <w:pPr>
        <w:spacing w:after="0" w:line="240" w:lineRule="auto"/>
      </w:pPr>
      <w:r>
        <w:separator/>
      </w:r>
    </w:p>
  </w:endnote>
  <w:endnote w:type="continuationSeparator" w:id="0">
    <w:p w14:paraId="76D64CBB" w14:textId="77777777" w:rsidR="004974D3" w:rsidRDefault="004974D3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6A20" w14:textId="77777777" w:rsidR="006A57CC" w:rsidRDefault="006A57CC" w:rsidP="00F21B6A">
    <w:pPr>
      <w:pStyle w:val="Zpat"/>
    </w:pPr>
    <w:r w:rsidRPr="006A57CC">
      <w:t>Český statistický úřad</w:t>
    </w:r>
  </w:p>
  <w:p w14:paraId="46D01A6D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892A868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6D536B54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57380" w14:textId="77777777" w:rsidR="004974D3" w:rsidRDefault="004974D3" w:rsidP="004A01A7">
      <w:pPr>
        <w:spacing w:after="0" w:line="240" w:lineRule="auto"/>
      </w:pPr>
    </w:p>
  </w:footnote>
  <w:footnote w:type="continuationSeparator" w:id="0">
    <w:p w14:paraId="777358C4" w14:textId="77777777" w:rsidR="004974D3" w:rsidRDefault="004974D3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79E2A5AF" w14:textId="77777777" w:rsidTr="00F21B6A">
      <w:trPr>
        <w:jc w:val="right"/>
      </w:trPr>
      <w:tc>
        <w:tcPr>
          <w:tcW w:w="4253" w:type="dxa"/>
        </w:tcPr>
        <w:p w14:paraId="19374F1C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06FB137A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AB"/>
    <w:rsid w:val="00006160"/>
    <w:rsid w:val="00007A38"/>
    <w:rsid w:val="000106FE"/>
    <w:rsid w:val="000120B4"/>
    <w:rsid w:val="0002560E"/>
    <w:rsid w:val="00026156"/>
    <w:rsid w:val="00032CCE"/>
    <w:rsid w:val="00035F16"/>
    <w:rsid w:val="00043335"/>
    <w:rsid w:val="00054392"/>
    <w:rsid w:val="0005510C"/>
    <w:rsid w:val="00062565"/>
    <w:rsid w:val="00063267"/>
    <w:rsid w:val="00070445"/>
    <w:rsid w:val="00071F0F"/>
    <w:rsid w:val="00083A55"/>
    <w:rsid w:val="00085436"/>
    <w:rsid w:val="000968A9"/>
    <w:rsid w:val="000A4DA9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64BC6"/>
    <w:rsid w:val="001707B9"/>
    <w:rsid w:val="001712FE"/>
    <w:rsid w:val="00171B3E"/>
    <w:rsid w:val="00175680"/>
    <w:rsid w:val="001909FA"/>
    <w:rsid w:val="0019514E"/>
    <w:rsid w:val="001B5603"/>
    <w:rsid w:val="001C30C2"/>
    <w:rsid w:val="001D1470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4D1"/>
    <w:rsid w:val="002363CA"/>
    <w:rsid w:val="0024676C"/>
    <w:rsid w:val="002477BC"/>
    <w:rsid w:val="00260DCA"/>
    <w:rsid w:val="002737B1"/>
    <w:rsid w:val="00275B42"/>
    <w:rsid w:val="00280346"/>
    <w:rsid w:val="00280D21"/>
    <w:rsid w:val="0028101B"/>
    <w:rsid w:val="002826B4"/>
    <w:rsid w:val="00283783"/>
    <w:rsid w:val="00293F29"/>
    <w:rsid w:val="002959F5"/>
    <w:rsid w:val="00297C33"/>
    <w:rsid w:val="002B1BA1"/>
    <w:rsid w:val="002C4C20"/>
    <w:rsid w:val="002D11B9"/>
    <w:rsid w:val="002D53AB"/>
    <w:rsid w:val="002D796B"/>
    <w:rsid w:val="002D79EB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46435"/>
    <w:rsid w:val="003540FA"/>
    <w:rsid w:val="00356332"/>
    <w:rsid w:val="00363815"/>
    <w:rsid w:val="003654CD"/>
    <w:rsid w:val="00370110"/>
    <w:rsid w:val="00372598"/>
    <w:rsid w:val="00376F84"/>
    <w:rsid w:val="00392F53"/>
    <w:rsid w:val="00393EC0"/>
    <w:rsid w:val="003A2A49"/>
    <w:rsid w:val="003A3966"/>
    <w:rsid w:val="003A7E6A"/>
    <w:rsid w:val="003B2869"/>
    <w:rsid w:val="003C027F"/>
    <w:rsid w:val="003C3F6A"/>
    <w:rsid w:val="003D1629"/>
    <w:rsid w:val="003D2BE1"/>
    <w:rsid w:val="003D639F"/>
    <w:rsid w:val="003E0572"/>
    <w:rsid w:val="003E3910"/>
    <w:rsid w:val="003E6369"/>
    <w:rsid w:val="003F36C7"/>
    <w:rsid w:val="003F3EEC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6191"/>
    <w:rsid w:val="004573FA"/>
    <w:rsid w:val="004607B2"/>
    <w:rsid w:val="00463047"/>
    <w:rsid w:val="0046727D"/>
    <w:rsid w:val="004723B2"/>
    <w:rsid w:val="00493ED9"/>
    <w:rsid w:val="004974D3"/>
    <w:rsid w:val="004977D7"/>
    <w:rsid w:val="004A01A7"/>
    <w:rsid w:val="004A09C5"/>
    <w:rsid w:val="004A38DD"/>
    <w:rsid w:val="004B4A94"/>
    <w:rsid w:val="004C7DCA"/>
    <w:rsid w:val="004D273A"/>
    <w:rsid w:val="004D2E55"/>
    <w:rsid w:val="004D6E16"/>
    <w:rsid w:val="004E7E0E"/>
    <w:rsid w:val="00500517"/>
    <w:rsid w:val="00500A63"/>
    <w:rsid w:val="00521746"/>
    <w:rsid w:val="00534403"/>
    <w:rsid w:val="00542A56"/>
    <w:rsid w:val="00542CA8"/>
    <w:rsid w:val="00546E9A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65D1C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B7B0C"/>
    <w:rsid w:val="005C14EB"/>
    <w:rsid w:val="005C29C9"/>
    <w:rsid w:val="005C781E"/>
    <w:rsid w:val="005F3011"/>
    <w:rsid w:val="005F546A"/>
    <w:rsid w:val="00601C8A"/>
    <w:rsid w:val="00601DFE"/>
    <w:rsid w:val="006051FE"/>
    <w:rsid w:val="00606CF5"/>
    <w:rsid w:val="00607675"/>
    <w:rsid w:val="006120D2"/>
    <w:rsid w:val="006151A9"/>
    <w:rsid w:val="006239A3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72ED6"/>
    <w:rsid w:val="00692BE9"/>
    <w:rsid w:val="006950C1"/>
    <w:rsid w:val="0069631F"/>
    <w:rsid w:val="006A4940"/>
    <w:rsid w:val="006A57CC"/>
    <w:rsid w:val="006A6E64"/>
    <w:rsid w:val="006C0860"/>
    <w:rsid w:val="006D132B"/>
    <w:rsid w:val="006E7273"/>
    <w:rsid w:val="006F12B5"/>
    <w:rsid w:val="006F4755"/>
    <w:rsid w:val="006F51DB"/>
    <w:rsid w:val="00702BED"/>
    <w:rsid w:val="007049E6"/>
    <w:rsid w:val="00713213"/>
    <w:rsid w:val="007141CA"/>
    <w:rsid w:val="0071455E"/>
    <w:rsid w:val="00716F0E"/>
    <w:rsid w:val="007228DD"/>
    <w:rsid w:val="00724E67"/>
    <w:rsid w:val="00727B91"/>
    <w:rsid w:val="0073040F"/>
    <w:rsid w:val="007371E0"/>
    <w:rsid w:val="00740D46"/>
    <w:rsid w:val="00754D35"/>
    <w:rsid w:val="00765263"/>
    <w:rsid w:val="00773B0B"/>
    <w:rsid w:val="00787190"/>
    <w:rsid w:val="00791D68"/>
    <w:rsid w:val="00793BAD"/>
    <w:rsid w:val="007D6A0E"/>
    <w:rsid w:val="007D6F07"/>
    <w:rsid w:val="00800E88"/>
    <w:rsid w:val="00801CDD"/>
    <w:rsid w:val="0081159E"/>
    <w:rsid w:val="00811964"/>
    <w:rsid w:val="00820D78"/>
    <w:rsid w:val="008340C9"/>
    <w:rsid w:val="00834A49"/>
    <w:rsid w:val="008355D9"/>
    <w:rsid w:val="00837E45"/>
    <w:rsid w:val="0084277E"/>
    <w:rsid w:val="00851074"/>
    <w:rsid w:val="008541DA"/>
    <w:rsid w:val="00857ABC"/>
    <w:rsid w:val="00870D3E"/>
    <w:rsid w:val="0087655C"/>
    <w:rsid w:val="00877CF1"/>
    <w:rsid w:val="00881BA3"/>
    <w:rsid w:val="00884306"/>
    <w:rsid w:val="0088431E"/>
    <w:rsid w:val="008A4895"/>
    <w:rsid w:val="008B0E87"/>
    <w:rsid w:val="008C4A49"/>
    <w:rsid w:val="008D405D"/>
    <w:rsid w:val="008D44D8"/>
    <w:rsid w:val="008D5575"/>
    <w:rsid w:val="008D7C52"/>
    <w:rsid w:val="008F006C"/>
    <w:rsid w:val="008F125B"/>
    <w:rsid w:val="008F533C"/>
    <w:rsid w:val="009149E6"/>
    <w:rsid w:val="00916E60"/>
    <w:rsid w:val="00917C90"/>
    <w:rsid w:val="00924387"/>
    <w:rsid w:val="00945FB9"/>
    <w:rsid w:val="009475A7"/>
    <w:rsid w:val="00951930"/>
    <w:rsid w:val="00960BB2"/>
    <w:rsid w:val="009610E2"/>
    <w:rsid w:val="00963415"/>
    <w:rsid w:val="0096469E"/>
    <w:rsid w:val="0097303D"/>
    <w:rsid w:val="00983393"/>
    <w:rsid w:val="00984352"/>
    <w:rsid w:val="00985819"/>
    <w:rsid w:val="00985B76"/>
    <w:rsid w:val="00985E6B"/>
    <w:rsid w:val="009A389D"/>
    <w:rsid w:val="009B032C"/>
    <w:rsid w:val="009B0804"/>
    <w:rsid w:val="009C081A"/>
    <w:rsid w:val="009C0BC3"/>
    <w:rsid w:val="009C31A6"/>
    <w:rsid w:val="009D72AA"/>
    <w:rsid w:val="009E4B81"/>
    <w:rsid w:val="009F1533"/>
    <w:rsid w:val="009F2A49"/>
    <w:rsid w:val="009F3E9D"/>
    <w:rsid w:val="00A033C1"/>
    <w:rsid w:val="00A079CB"/>
    <w:rsid w:val="00A15A28"/>
    <w:rsid w:val="00A243C3"/>
    <w:rsid w:val="00A274A1"/>
    <w:rsid w:val="00A3283F"/>
    <w:rsid w:val="00A42BA2"/>
    <w:rsid w:val="00A47859"/>
    <w:rsid w:val="00A55A71"/>
    <w:rsid w:val="00A76EA3"/>
    <w:rsid w:val="00A7786D"/>
    <w:rsid w:val="00A81466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B7FF3"/>
    <w:rsid w:val="00AC0BF4"/>
    <w:rsid w:val="00AC74B0"/>
    <w:rsid w:val="00AD00F9"/>
    <w:rsid w:val="00AD40DD"/>
    <w:rsid w:val="00AD6299"/>
    <w:rsid w:val="00AE1317"/>
    <w:rsid w:val="00AE23A0"/>
    <w:rsid w:val="00AE6440"/>
    <w:rsid w:val="00AF05E0"/>
    <w:rsid w:val="00AF06B0"/>
    <w:rsid w:val="00AF3319"/>
    <w:rsid w:val="00AF39AC"/>
    <w:rsid w:val="00AF6E9E"/>
    <w:rsid w:val="00B0330A"/>
    <w:rsid w:val="00B07208"/>
    <w:rsid w:val="00B2195A"/>
    <w:rsid w:val="00B3112C"/>
    <w:rsid w:val="00B31BB1"/>
    <w:rsid w:val="00B40D87"/>
    <w:rsid w:val="00B43D9B"/>
    <w:rsid w:val="00B47092"/>
    <w:rsid w:val="00B51C8F"/>
    <w:rsid w:val="00B600BD"/>
    <w:rsid w:val="00B6024F"/>
    <w:rsid w:val="00B602D0"/>
    <w:rsid w:val="00B62344"/>
    <w:rsid w:val="00B65670"/>
    <w:rsid w:val="00B668F1"/>
    <w:rsid w:val="00B70022"/>
    <w:rsid w:val="00B703E1"/>
    <w:rsid w:val="00B7165F"/>
    <w:rsid w:val="00B733E5"/>
    <w:rsid w:val="00B759AD"/>
    <w:rsid w:val="00B8724F"/>
    <w:rsid w:val="00B90BD8"/>
    <w:rsid w:val="00B96F18"/>
    <w:rsid w:val="00BA2E49"/>
    <w:rsid w:val="00BA64C3"/>
    <w:rsid w:val="00BA6934"/>
    <w:rsid w:val="00BB04F3"/>
    <w:rsid w:val="00BB2466"/>
    <w:rsid w:val="00BB2B9A"/>
    <w:rsid w:val="00BB6195"/>
    <w:rsid w:val="00BB6635"/>
    <w:rsid w:val="00BC23FF"/>
    <w:rsid w:val="00BC5C99"/>
    <w:rsid w:val="00BD0DE5"/>
    <w:rsid w:val="00BD27B2"/>
    <w:rsid w:val="00BD57E3"/>
    <w:rsid w:val="00BE2E0B"/>
    <w:rsid w:val="00BE3BE4"/>
    <w:rsid w:val="00BE5550"/>
    <w:rsid w:val="00BF58C9"/>
    <w:rsid w:val="00C03731"/>
    <w:rsid w:val="00C044C1"/>
    <w:rsid w:val="00C063DD"/>
    <w:rsid w:val="00C12B28"/>
    <w:rsid w:val="00C15C5E"/>
    <w:rsid w:val="00C206E5"/>
    <w:rsid w:val="00C21594"/>
    <w:rsid w:val="00C240F6"/>
    <w:rsid w:val="00C27B17"/>
    <w:rsid w:val="00C30639"/>
    <w:rsid w:val="00C311A5"/>
    <w:rsid w:val="00C3502B"/>
    <w:rsid w:val="00C4391D"/>
    <w:rsid w:val="00C472C6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90F2F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3775"/>
    <w:rsid w:val="00CF6697"/>
    <w:rsid w:val="00D04CD4"/>
    <w:rsid w:val="00D05A2D"/>
    <w:rsid w:val="00D066AA"/>
    <w:rsid w:val="00D12AC4"/>
    <w:rsid w:val="00D15008"/>
    <w:rsid w:val="00D15B3B"/>
    <w:rsid w:val="00D20AC3"/>
    <w:rsid w:val="00D25509"/>
    <w:rsid w:val="00D50FAD"/>
    <w:rsid w:val="00D63056"/>
    <w:rsid w:val="00D67C2A"/>
    <w:rsid w:val="00D70040"/>
    <w:rsid w:val="00D7143F"/>
    <w:rsid w:val="00D74036"/>
    <w:rsid w:val="00DA10DB"/>
    <w:rsid w:val="00DC6321"/>
    <w:rsid w:val="00DD3D93"/>
    <w:rsid w:val="00DD4E3E"/>
    <w:rsid w:val="00DD6689"/>
    <w:rsid w:val="00DF0CB8"/>
    <w:rsid w:val="00DF3F66"/>
    <w:rsid w:val="00E12747"/>
    <w:rsid w:val="00E14659"/>
    <w:rsid w:val="00E24FEA"/>
    <w:rsid w:val="00E314D0"/>
    <w:rsid w:val="00E34849"/>
    <w:rsid w:val="00E4075E"/>
    <w:rsid w:val="00E414DB"/>
    <w:rsid w:val="00E456D4"/>
    <w:rsid w:val="00E47767"/>
    <w:rsid w:val="00E54023"/>
    <w:rsid w:val="00E62893"/>
    <w:rsid w:val="00E64F18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04EC6"/>
    <w:rsid w:val="00F1217C"/>
    <w:rsid w:val="00F126E5"/>
    <w:rsid w:val="00F152C4"/>
    <w:rsid w:val="00F21784"/>
    <w:rsid w:val="00F21B6A"/>
    <w:rsid w:val="00F26AB3"/>
    <w:rsid w:val="00F30E1E"/>
    <w:rsid w:val="00F32286"/>
    <w:rsid w:val="00F34410"/>
    <w:rsid w:val="00F40BA4"/>
    <w:rsid w:val="00F46D75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  <w:rsid w:val="00FF347B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5B84B"/>
  <w15:chartTrackingRefBased/>
  <w15:docId w15:val="{1C65A0CB-ED80-4E3B-B15D-FF64FA68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6E9A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qFormat/>
    <w:rsid w:val="00985B76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14:ligatures w14:val="none"/>
    </w:rPr>
  </w:style>
  <w:style w:type="paragraph" w:styleId="Zkladntext2">
    <w:name w:val="Body Text 2"/>
    <w:basedOn w:val="Normln"/>
    <w:link w:val="Zkladntext2Char"/>
    <w:semiHidden/>
    <w:rsid w:val="00985B76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semiHidden/>
    <w:rsid w:val="00985B76"/>
    <w:rPr>
      <w:rFonts w:ascii="Times New Roman" w:eastAsia="Times New Roman" w:hAnsi="Times New Roman" w:cs="Times New Roman"/>
      <w:kern w:val="0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456191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DF0CB8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5005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00517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50051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05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05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su.gov.cz/vladni-financni-statistik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aroslav.kahoun@csu.gov.cz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tr.musil@csu.gov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5872B8E9CF4C04BE3F32A742F7ED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531E22-8245-4D26-831B-2AE7BCA0D57A}"/>
      </w:docPartPr>
      <w:docPartBody>
        <w:p w:rsidR="00FB1BC5" w:rsidRDefault="00FB1BC5">
          <w:pPr>
            <w:pStyle w:val="A75872B8E9CF4C04BE3F32A742F7ED24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C5"/>
    <w:rsid w:val="000A6BAC"/>
    <w:rsid w:val="001657E3"/>
    <w:rsid w:val="001B0311"/>
    <w:rsid w:val="001D1470"/>
    <w:rsid w:val="0024442C"/>
    <w:rsid w:val="002737B1"/>
    <w:rsid w:val="002D79EB"/>
    <w:rsid w:val="003D1629"/>
    <w:rsid w:val="005F546A"/>
    <w:rsid w:val="005F6667"/>
    <w:rsid w:val="00754D35"/>
    <w:rsid w:val="00771842"/>
    <w:rsid w:val="008355D9"/>
    <w:rsid w:val="0087655C"/>
    <w:rsid w:val="00880155"/>
    <w:rsid w:val="008C5085"/>
    <w:rsid w:val="008D7C52"/>
    <w:rsid w:val="008F006C"/>
    <w:rsid w:val="00960BB2"/>
    <w:rsid w:val="009F5DE4"/>
    <w:rsid w:val="00A55DE4"/>
    <w:rsid w:val="00A81D67"/>
    <w:rsid w:val="00AF3C86"/>
    <w:rsid w:val="00B5684C"/>
    <w:rsid w:val="00C03731"/>
    <w:rsid w:val="00D15008"/>
    <w:rsid w:val="00DD100E"/>
    <w:rsid w:val="00E00CB7"/>
    <w:rsid w:val="00F126E5"/>
    <w:rsid w:val="00F32286"/>
    <w:rsid w:val="00F46D75"/>
    <w:rsid w:val="00FB1BC5"/>
    <w:rsid w:val="00FE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A75872B8E9CF4C04BE3F32A742F7ED24">
    <w:name w:val="A75872B8E9CF4C04BE3F32A742F7ED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65FD82-1A4C-407D-984E-714961002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2</Pages>
  <Words>443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Rychlá informace CZ</vt:lpstr>
    </vt:vector>
  </TitlesOfParts>
  <Company/>
  <LinksUpToDate>false</LinksUpToDate>
  <CharactersWithSpaces>3056</CharactersWithSpaces>
  <SharedDoc>false</SharedDoc>
  <HLinks>
    <vt:vector size="24" baseType="variant">
      <vt:variant>
        <vt:i4>4522069</vt:i4>
      </vt:variant>
      <vt:variant>
        <vt:i4>6</vt:i4>
      </vt:variant>
      <vt:variant>
        <vt:i4>0</vt:i4>
      </vt:variant>
      <vt:variant>
        <vt:i4>5</vt:i4>
      </vt:variant>
      <vt:variant>
        <vt:lpwstr>https://csu.gov.cz/vladni-financni-statistika</vt:lpwstr>
      </vt:variant>
      <vt:variant>
        <vt:lpwstr/>
      </vt:variant>
      <vt:variant>
        <vt:i4>4325492</vt:i4>
      </vt:variant>
      <vt:variant>
        <vt:i4>3</vt:i4>
      </vt:variant>
      <vt:variant>
        <vt:i4>0</vt:i4>
      </vt:variant>
      <vt:variant>
        <vt:i4>5</vt:i4>
      </vt:variant>
      <vt:variant>
        <vt:lpwstr>mailto:jaroslav.kahoun@csu.gov.cz</vt:lpwstr>
      </vt:variant>
      <vt:variant>
        <vt:lpwstr/>
      </vt:variant>
      <vt:variant>
        <vt:i4>7471179</vt:i4>
      </vt:variant>
      <vt:variant>
        <vt:i4>0</vt:i4>
      </vt:variant>
      <vt:variant>
        <vt:i4>0</vt:i4>
      </vt:variant>
      <vt:variant>
        <vt:i4>5</vt:i4>
      </vt:variant>
      <vt:variant>
        <vt:lpwstr>mailto:petr.musil@csu.gov.cz</vt:lpwstr>
      </vt:variant>
      <vt:variant>
        <vt:lpwstr/>
      </vt:variant>
      <vt:variant>
        <vt:i4>7798820</vt:i4>
      </vt:variant>
      <vt:variant>
        <vt:i4>6</vt:i4>
      </vt:variant>
      <vt:variant>
        <vt:i4>0</vt:i4>
      </vt:variant>
      <vt:variant>
        <vt:i4>5</vt:i4>
      </vt:variant>
      <vt:variant>
        <vt:lpwstr>https://csu.gov.cz/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Musil Petr</dc:creator>
  <cp:keywords/>
  <dc:description/>
  <cp:lastModifiedBy>Musil Petr</cp:lastModifiedBy>
  <cp:revision>59</cp:revision>
  <cp:lastPrinted>2026-09-30T15:18:00Z</cp:lastPrinted>
  <dcterms:created xsi:type="dcterms:W3CDTF">2026-09-10T18:54:00Z</dcterms:created>
  <dcterms:modified xsi:type="dcterms:W3CDTF">2026-10-20T07:18:00Z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