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740C" w14:textId="4E6ED0BB" w:rsidR="00D136C8" w:rsidRPr="008627D6" w:rsidRDefault="00F557B3" w:rsidP="00D136C8">
      <w:pPr>
        <w:pStyle w:val="Datum"/>
      </w:pPr>
      <w:r w:rsidRPr="008627D6">
        <w:t>3</w:t>
      </w:r>
      <w:r w:rsidR="0096186D" w:rsidRPr="008627D6">
        <w:t>0 </w:t>
      </w:r>
      <w:r w:rsidR="00F07D9F" w:rsidRPr="008627D6">
        <w:t>April </w:t>
      </w:r>
      <w:r w:rsidR="0096186D" w:rsidRPr="008627D6">
        <w:t>2024</w:t>
      </w:r>
    </w:p>
    <w:p w14:paraId="33A3E4F3" w14:textId="484B0B33" w:rsidR="00D136C8" w:rsidRPr="008627D6" w:rsidRDefault="0058156C" w:rsidP="00D136C8">
      <w:pPr>
        <w:pStyle w:val="Nzev"/>
      </w:pPr>
      <w:r w:rsidRPr="008627D6">
        <w:t xml:space="preserve">GDP </w:t>
      </w:r>
      <w:r w:rsidR="00CD03F8" w:rsidRPr="008627D6">
        <w:t>in</w:t>
      </w:r>
      <w:r w:rsidR="005322C8" w:rsidRPr="008627D6">
        <w:t xml:space="preserve">creased by </w:t>
      </w:r>
      <w:r w:rsidR="00CD03F8" w:rsidRPr="008627D6">
        <w:t>0.5</w:t>
      </w:r>
      <w:r w:rsidRPr="008627D6">
        <w:t>%</w:t>
      </w:r>
      <w:r w:rsidR="00CD03F8" w:rsidRPr="008627D6">
        <w:t>, quarter-on-quarter</w:t>
      </w:r>
    </w:p>
    <w:p w14:paraId="31930A08" w14:textId="6E7F0A82" w:rsidR="00D136C8" w:rsidRPr="008627D6" w:rsidRDefault="00D136C8" w:rsidP="00D136C8">
      <w:pPr>
        <w:pStyle w:val="Podtitulek"/>
      </w:pPr>
      <w:r w:rsidRPr="008627D6">
        <w:t xml:space="preserve">GDP preliminary estimate – the </w:t>
      </w:r>
      <w:r w:rsidR="00F07D9F" w:rsidRPr="008627D6">
        <w:t>first quarter of 2024</w:t>
      </w:r>
    </w:p>
    <w:p w14:paraId="1956E776" w14:textId="44BEF812" w:rsidR="00453ED8" w:rsidRPr="008627D6" w:rsidRDefault="00453ED8" w:rsidP="00453ED8">
      <w:pPr>
        <w:rPr>
          <w:rFonts w:cs="Arial"/>
          <w:b/>
          <w:szCs w:val="18"/>
        </w:rPr>
      </w:pPr>
      <w:r w:rsidRPr="008627D6">
        <w:rPr>
          <w:rFonts w:cs="Arial"/>
          <w:b/>
          <w:szCs w:val="18"/>
        </w:rPr>
        <w:t>According to a preliminary estimate, the gross d</w:t>
      </w:r>
      <w:r w:rsidR="00CD03F8" w:rsidRPr="008627D6">
        <w:rPr>
          <w:rFonts w:cs="Arial"/>
          <w:b/>
          <w:szCs w:val="18"/>
        </w:rPr>
        <w:t>omestic product increased by 0.5</w:t>
      </w:r>
      <w:r w:rsidRPr="008627D6">
        <w:rPr>
          <w:rFonts w:cs="Arial"/>
          <w:b/>
          <w:szCs w:val="18"/>
        </w:rPr>
        <w:t>%, quarter-on-quarter, in the Q1 2024. In th</w:t>
      </w:r>
      <w:r w:rsidR="00CD03F8" w:rsidRPr="008627D6">
        <w:rPr>
          <w:rFonts w:cs="Arial"/>
          <w:b/>
          <w:szCs w:val="18"/>
        </w:rPr>
        <w:t>e year-on-year comparison, it increased by 0.4</w:t>
      </w:r>
      <w:r w:rsidRPr="008627D6">
        <w:rPr>
          <w:rFonts w:cs="Arial"/>
          <w:b/>
          <w:szCs w:val="18"/>
        </w:rPr>
        <w:t>%.</w:t>
      </w:r>
    </w:p>
    <w:p w14:paraId="089CD24A" w14:textId="0D5C410D" w:rsidR="00EC3ACD" w:rsidRPr="008627D6" w:rsidRDefault="00EC3ACD" w:rsidP="00D136C8">
      <w:pPr>
        <w:rPr>
          <w:bCs/>
        </w:rPr>
      </w:pPr>
    </w:p>
    <w:p w14:paraId="4E8A2EA6" w14:textId="37BD977A" w:rsidR="00EC3ACD" w:rsidRPr="008627D6" w:rsidRDefault="00EC3ACD" w:rsidP="00D136C8">
      <w:r w:rsidRPr="008627D6">
        <w:t xml:space="preserve">The gross domestic product (GDP) </w:t>
      </w:r>
      <w:r w:rsidRPr="008627D6">
        <w:rPr>
          <w:rFonts w:cs="Arial"/>
          <w:bCs/>
          <w:szCs w:val="20"/>
        </w:rPr>
        <w:t>adjusted for price effects and seasonally adjusted</w:t>
      </w:r>
      <w:r w:rsidRPr="008627D6">
        <w:rPr>
          <w:rStyle w:val="Znakapoznpodarou"/>
        </w:rPr>
        <w:footnoteReference w:id="1"/>
      </w:r>
      <w:r w:rsidRPr="008627D6">
        <w:rPr>
          <w:rFonts w:cs="Arial"/>
          <w:bCs/>
          <w:szCs w:val="20"/>
        </w:rPr>
        <w:t xml:space="preserve"> </w:t>
      </w:r>
      <w:r w:rsidR="00ED417F">
        <w:rPr>
          <w:bCs/>
        </w:rPr>
        <w:t>increased in the Q1 2024</w:t>
      </w:r>
      <w:r w:rsidRPr="008627D6">
        <w:rPr>
          <w:bCs/>
        </w:rPr>
        <w:t>, according to </w:t>
      </w:r>
      <w:r w:rsidR="00CD03F8" w:rsidRPr="008627D6">
        <w:rPr>
          <w:bCs/>
        </w:rPr>
        <w:t>the preliminary estimate, by 0.5</w:t>
      </w:r>
      <w:r w:rsidRPr="008627D6">
        <w:rPr>
          <w:bCs/>
        </w:rPr>
        <w:t>% compared to the previous quarter. When compared to the corresponding qua</w:t>
      </w:r>
      <w:r w:rsidR="00CD03F8" w:rsidRPr="008627D6">
        <w:rPr>
          <w:bCs/>
        </w:rPr>
        <w:t>rter of the previous year, it increased by 0.4</w:t>
      </w:r>
      <w:r w:rsidRPr="008627D6">
        <w:rPr>
          <w:bCs/>
        </w:rPr>
        <w:t>%.</w:t>
      </w:r>
    </w:p>
    <w:p w14:paraId="300BC4E8" w14:textId="50761746" w:rsidR="00F92E53" w:rsidRPr="008627D6" w:rsidRDefault="00D43791" w:rsidP="00F92E53">
      <w:pPr>
        <w:spacing w:before="240" w:after="240"/>
      </w:pPr>
      <w:r>
        <w:rPr>
          <w:noProof/>
          <w:lang w:val="cs-CZ" w:eastAsia="cs-CZ"/>
        </w:rPr>
        <w:drawing>
          <wp:inline distT="0" distB="0" distL="0" distR="0" wp14:anchorId="64187F75" wp14:editId="37C73A4D">
            <wp:extent cx="5400040" cy="2747010"/>
            <wp:effectExtent l="0" t="0" r="10160" b="1524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4B2FB9" w14:textId="36FB8790" w:rsidR="00713F69" w:rsidRPr="008627D6" w:rsidRDefault="00713F69" w:rsidP="005C7DD3">
      <w:pPr>
        <w:rPr>
          <w:rFonts w:cs="Arial"/>
          <w:bCs/>
          <w:szCs w:val="20"/>
        </w:rPr>
      </w:pPr>
      <w:r w:rsidRPr="008627D6">
        <w:rPr>
          <w:rFonts w:cs="Arial"/>
          <w:bCs/>
          <w:szCs w:val="20"/>
        </w:rPr>
        <w:t xml:space="preserve">The quarter-on-quarter growth of GDP was positively influenced by an increasing domestic demand, especially by higher final consumption expenditure of households and gross capital formation. External demand had a negative influence. </w:t>
      </w:r>
    </w:p>
    <w:p w14:paraId="69804606" w14:textId="00459453" w:rsidR="00EC3ACD" w:rsidRPr="008627D6" w:rsidRDefault="00EC3ACD" w:rsidP="005C7DD3">
      <w:pPr>
        <w:rPr>
          <w:bCs/>
        </w:rPr>
      </w:pPr>
    </w:p>
    <w:p w14:paraId="0C223725" w14:textId="61C0ED09" w:rsidR="00EC3ACD" w:rsidRPr="008627D6" w:rsidRDefault="00EC3ACD" w:rsidP="005C7DD3">
      <w:pPr>
        <w:rPr>
          <w:bCs/>
          <w:i/>
        </w:rPr>
      </w:pPr>
      <w:r w:rsidRPr="008627D6">
        <w:rPr>
          <w:bCs/>
          <w:i/>
        </w:rPr>
        <w:t>“</w:t>
      </w:r>
      <w:r w:rsidR="003F4E07" w:rsidRPr="008627D6">
        <w:rPr>
          <w:bCs/>
          <w:i/>
        </w:rPr>
        <w:t xml:space="preserve">The total final consumption expenditure and an increasing external trade balance contributed to </w:t>
      </w:r>
      <w:proofErr w:type="gramStart"/>
      <w:r w:rsidR="003F4E07" w:rsidRPr="008627D6">
        <w:rPr>
          <w:bCs/>
          <w:i/>
        </w:rPr>
        <w:t>the</w:t>
      </w:r>
      <w:proofErr w:type="gramEnd"/>
      <w:r w:rsidR="003F4E07" w:rsidRPr="008627D6">
        <w:rPr>
          <w:bCs/>
          <w:i/>
        </w:rPr>
        <w:t xml:space="preserve"> year-on-year growth. Conversely, a decr</w:t>
      </w:r>
      <w:bookmarkStart w:id="0" w:name="_GoBack"/>
      <w:bookmarkEnd w:id="0"/>
      <w:r w:rsidR="003F4E07" w:rsidRPr="008627D6">
        <w:rPr>
          <w:bCs/>
          <w:i/>
        </w:rPr>
        <w:t xml:space="preserve">ease in gross capital formation continued,” </w:t>
      </w:r>
      <w:r w:rsidRPr="008627D6">
        <w:rPr>
          <w:bCs/>
        </w:rPr>
        <w:t xml:space="preserve">Vladimír Kermiet, Director of the National Accounts Department of the Czech Statistical Office (CZSO), </w:t>
      </w:r>
      <w:r w:rsidR="00AF5B29" w:rsidRPr="008627D6">
        <w:rPr>
          <w:bCs/>
        </w:rPr>
        <w:t>informed</w:t>
      </w:r>
      <w:r w:rsidRPr="008627D6">
        <w:rPr>
          <w:bCs/>
        </w:rPr>
        <w:t>.</w:t>
      </w:r>
    </w:p>
    <w:p w14:paraId="65768D6B" w14:textId="45D0A2E4" w:rsidR="00A64285" w:rsidRPr="008627D6" w:rsidRDefault="00A64285" w:rsidP="002D0C77">
      <w:pPr>
        <w:rPr>
          <w:lang w:val="cs-CZ"/>
        </w:rPr>
      </w:pPr>
    </w:p>
    <w:p w14:paraId="5ABD6160" w14:textId="493B4303" w:rsidR="00D22636" w:rsidRPr="008627D6" w:rsidRDefault="00D22636" w:rsidP="002D0C77">
      <w:pPr>
        <w:rPr>
          <w:bCs/>
        </w:rPr>
      </w:pPr>
      <w:r w:rsidRPr="008627D6">
        <w:rPr>
          <w:bCs/>
        </w:rPr>
        <w:t xml:space="preserve">The </w:t>
      </w:r>
      <w:r w:rsidR="00713F69" w:rsidRPr="008627D6">
        <w:rPr>
          <w:bCs/>
        </w:rPr>
        <w:t>quarter-on-quarter development</w:t>
      </w:r>
      <w:r w:rsidRPr="008627D6">
        <w:rPr>
          <w:bCs/>
        </w:rPr>
        <w:t xml:space="preserve"> of the gross value added was </w:t>
      </w:r>
      <w:r w:rsidR="00A10126">
        <w:rPr>
          <w:bCs/>
        </w:rPr>
        <w:t>positively influenced</w:t>
      </w:r>
      <w:r w:rsidR="00713F69" w:rsidRPr="008627D6">
        <w:rPr>
          <w:bCs/>
        </w:rPr>
        <w:t xml:space="preserve"> </w:t>
      </w:r>
      <w:r w:rsidR="00A10126">
        <w:rPr>
          <w:bCs/>
        </w:rPr>
        <w:t>mainly</w:t>
      </w:r>
      <w:r w:rsidRPr="008627D6">
        <w:rPr>
          <w:bCs/>
        </w:rPr>
        <w:t xml:space="preserve"> by a group of economic activities of trade, transportation, and accommodation and food service activities. </w:t>
      </w:r>
      <w:r w:rsidR="00713F69" w:rsidRPr="008627D6">
        <w:rPr>
          <w:bCs/>
        </w:rPr>
        <w:t>A decrease occurred in industry,</w:t>
      </w:r>
      <w:r w:rsidRPr="008627D6">
        <w:rPr>
          <w:bCs/>
        </w:rPr>
        <w:t xml:space="preserve"> construction </w:t>
      </w:r>
      <w:r w:rsidR="00713F69" w:rsidRPr="008627D6">
        <w:rPr>
          <w:bCs/>
        </w:rPr>
        <w:t>was stagnating</w:t>
      </w:r>
      <w:r w:rsidRPr="008627D6">
        <w:rPr>
          <w:bCs/>
        </w:rPr>
        <w:t>.</w:t>
      </w:r>
    </w:p>
    <w:p w14:paraId="46EFCDD4" w14:textId="7FB84234" w:rsidR="00DA0B11" w:rsidRPr="008627D6" w:rsidRDefault="00DA0B11" w:rsidP="00D136C8"/>
    <w:p w14:paraId="13BCB266" w14:textId="20BF5A1E" w:rsidR="00DA0B11" w:rsidRPr="008627D6" w:rsidRDefault="00DA0B11" w:rsidP="00D136C8">
      <w:r w:rsidRPr="008627D6">
        <w:t>Employment</w:t>
      </w:r>
      <w:r w:rsidRPr="008627D6">
        <w:rPr>
          <w:rStyle w:val="Znakapoznpodarou"/>
        </w:rPr>
        <w:footnoteReference w:id="2"/>
      </w:r>
      <w:r w:rsidR="005537E5" w:rsidRPr="008627D6">
        <w:t xml:space="preserve"> increased by 0.2</w:t>
      </w:r>
      <w:r w:rsidRPr="008627D6">
        <w:t xml:space="preserve">%, quarter-on-quarter; compared to the corresponding quarter of the </w:t>
      </w:r>
      <w:r w:rsidR="005537E5" w:rsidRPr="008627D6">
        <w:t>previous year, it increased by 0</w:t>
      </w:r>
      <w:r w:rsidRPr="008627D6">
        <w:t>.4%.</w:t>
      </w:r>
    </w:p>
    <w:p w14:paraId="712A325A" w14:textId="77777777" w:rsidR="00D136C8" w:rsidRPr="008627D6" w:rsidRDefault="00D136C8" w:rsidP="00D136C8"/>
    <w:p w14:paraId="7ADA99EF" w14:textId="77777777" w:rsidR="00D136C8" w:rsidRPr="008627D6" w:rsidRDefault="00D136C8" w:rsidP="00D136C8">
      <w:pPr>
        <w:pStyle w:val="Poznmky0"/>
        <w:spacing w:before="0"/>
        <w:ind w:left="3600" w:hanging="3600"/>
        <w:rPr>
          <w:i w:val="0"/>
        </w:rPr>
      </w:pPr>
      <w:r w:rsidRPr="008627D6">
        <w:t>Responsible head at the CZSO:</w:t>
      </w:r>
      <w:r w:rsidRPr="008627D6">
        <w:tab/>
        <w:t xml:space="preserve">Vladimír Kermiet, Director of the National Accounts Department, phone number: (+420) 274 054 247, </w:t>
      </w:r>
    </w:p>
    <w:p w14:paraId="2F504DC0" w14:textId="77777777" w:rsidR="00D136C8" w:rsidRPr="008627D6" w:rsidRDefault="00D136C8" w:rsidP="00D136C8">
      <w:pPr>
        <w:tabs>
          <w:tab w:val="left" w:pos="3544"/>
        </w:tabs>
        <w:ind w:left="3540" w:hanging="3540"/>
        <w:rPr>
          <w:lang w:val="it-IT"/>
        </w:rPr>
      </w:pPr>
      <w:r w:rsidRPr="008627D6">
        <w:rPr>
          <w:i/>
          <w:sz w:val="18"/>
          <w:szCs w:val="18"/>
        </w:rPr>
        <w:tab/>
      </w:r>
      <w:r w:rsidRPr="008627D6">
        <w:rPr>
          <w:i/>
          <w:sz w:val="18"/>
          <w:szCs w:val="18"/>
        </w:rPr>
        <w:tab/>
      </w:r>
      <w:r w:rsidRPr="008627D6">
        <w:rPr>
          <w:i/>
          <w:sz w:val="18"/>
          <w:szCs w:val="18"/>
        </w:rPr>
        <w:tab/>
      </w:r>
      <w:r w:rsidRPr="008627D6">
        <w:rPr>
          <w:i/>
          <w:sz w:val="18"/>
          <w:szCs w:val="18"/>
          <w:lang w:val="it-IT"/>
        </w:rPr>
        <w:t xml:space="preserve">e-mail: </w:t>
      </w:r>
      <w:hyperlink r:id="rId8" w:history="1">
        <w:r w:rsidRPr="008627D6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14:paraId="36C39631" w14:textId="77777777" w:rsidR="00D136C8" w:rsidRPr="008627D6" w:rsidRDefault="00D136C8" w:rsidP="00D136C8">
      <w:pPr>
        <w:pStyle w:val="Poznamkytexty"/>
        <w:ind w:left="3600" w:hanging="3600"/>
        <w:rPr>
          <w:lang w:val="en-GB"/>
        </w:rPr>
      </w:pPr>
      <w:r w:rsidRPr="008627D6">
        <w:rPr>
          <w:lang w:val="en-GB"/>
        </w:rPr>
        <w:t>Contact person:</w:t>
      </w:r>
      <w:r w:rsidRPr="008627D6">
        <w:rPr>
          <w:lang w:val="en-GB"/>
        </w:rPr>
        <w:tab/>
        <w:t xml:space="preserve">Jan Benedikt, Head of the Quarterly Estimates Unit, </w:t>
      </w:r>
    </w:p>
    <w:p w14:paraId="0865AEAB" w14:textId="77777777" w:rsidR="00D136C8" w:rsidRPr="008627D6" w:rsidRDefault="00D136C8" w:rsidP="00D136C8">
      <w:pPr>
        <w:pStyle w:val="Poznamkytexty"/>
        <w:ind w:left="3600"/>
        <w:rPr>
          <w:lang w:val="en-GB"/>
        </w:rPr>
      </w:pPr>
      <w:proofErr w:type="gramStart"/>
      <w:r w:rsidRPr="008627D6">
        <w:rPr>
          <w:lang w:val="en-GB"/>
        </w:rPr>
        <w:t>phone</w:t>
      </w:r>
      <w:proofErr w:type="gramEnd"/>
      <w:r w:rsidRPr="008627D6">
        <w:rPr>
          <w:lang w:val="en-GB"/>
        </w:rPr>
        <w:t xml:space="preserve"> number: (+420) 274 052 750, </w:t>
      </w:r>
    </w:p>
    <w:p w14:paraId="3FEA99EE" w14:textId="77777777" w:rsidR="00D136C8" w:rsidRPr="008627D6" w:rsidRDefault="00D136C8" w:rsidP="00D136C8">
      <w:pPr>
        <w:pStyle w:val="Poznamkytexty"/>
        <w:ind w:left="3600"/>
        <w:rPr>
          <w:lang w:val="en-GB"/>
        </w:rPr>
      </w:pPr>
      <w:r w:rsidRPr="008627D6">
        <w:t>e</w:t>
      </w:r>
      <w:r w:rsidRPr="008627D6">
        <w:noBreakHyphen/>
        <w:t>mail: </w:t>
      </w:r>
      <w:hyperlink r:id="rId9" w:history="1">
        <w:r w:rsidRPr="008627D6">
          <w:rPr>
            <w:rStyle w:val="Hypertextovodkaz"/>
          </w:rPr>
          <w:t>jan.benedikt@czso.cz</w:t>
        </w:r>
      </w:hyperlink>
    </w:p>
    <w:p w14:paraId="26202810" w14:textId="3E6A8704" w:rsidR="00D136C8" w:rsidRPr="008627D6" w:rsidRDefault="00D136C8" w:rsidP="00D136C8">
      <w:pPr>
        <w:pStyle w:val="Poznamkytexty"/>
        <w:ind w:left="3600" w:hanging="3600"/>
        <w:rPr>
          <w:lang w:val="en-GB"/>
        </w:rPr>
      </w:pPr>
      <w:r w:rsidRPr="008627D6">
        <w:rPr>
          <w:lang w:val="en-GB"/>
        </w:rPr>
        <w:t>Used data sources updated as at:</w:t>
      </w:r>
      <w:r w:rsidRPr="008627D6">
        <w:rPr>
          <w:lang w:val="en-GB"/>
        </w:rPr>
        <w:tab/>
      </w:r>
      <w:r w:rsidR="00F557B3" w:rsidRPr="008627D6">
        <w:rPr>
          <w:lang w:val="en-GB"/>
        </w:rPr>
        <w:t>2</w:t>
      </w:r>
      <w:r w:rsidR="00ED3BBA" w:rsidRPr="008627D6">
        <w:rPr>
          <w:lang w:val="en-GB"/>
        </w:rPr>
        <w:t>2</w:t>
      </w:r>
      <w:r w:rsidR="00F557B3" w:rsidRPr="008627D6">
        <w:rPr>
          <w:lang w:val="en-GB"/>
        </w:rPr>
        <w:t> </w:t>
      </w:r>
      <w:r w:rsidR="00F07D9F" w:rsidRPr="008627D6">
        <w:rPr>
          <w:lang w:val="en-GB"/>
        </w:rPr>
        <w:t>April</w:t>
      </w:r>
      <w:r w:rsidR="0002177A" w:rsidRPr="008627D6">
        <w:rPr>
          <w:lang w:val="en-GB"/>
        </w:rPr>
        <w:t> </w:t>
      </w:r>
      <w:r w:rsidR="006B4AA0" w:rsidRPr="008627D6">
        <w:rPr>
          <w:lang w:val="en-GB"/>
        </w:rPr>
        <w:t>2024</w:t>
      </w:r>
    </w:p>
    <w:p w14:paraId="3AADB72B" w14:textId="77777777" w:rsidR="00D136C8" w:rsidRPr="008627D6" w:rsidRDefault="00D136C8" w:rsidP="00D136C8">
      <w:pPr>
        <w:pStyle w:val="Poznamkytexty"/>
        <w:ind w:left="3600" w:hanging="3600"/>
        <w:rPr>
          <w:lang w:val="en-GB"/>
        </w:rPr>
      </w:pPr>
      <w:r w:rsidRPr="008627D6">
        <w:rPr>
          <w:lang w:val="en-GB"/>
        </w:rPr>
        <w:t>Related CZSO web page:</w:t>
      </w:r>
      <w:r w:rsidRPr="008627D6">
        <w:rPr>
          <w:lang w:val="en-GB"/>
        </w:rPr>
        <w:tab/>
      </w:r>
      <w:hyperlink r:id="rId10" w:history="1">
        <w:r w:rsidRPr="008627D6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8627D6">
        <w:rPr>
          <w:color w:val="auto"/>
          <w:lang w:val="en-GB"/>
        </w:rPr>
        <w:t xml:space="preserve"> </w:t>
      </w:r>
    </w:p>
    <w:p w14:paraId="3558BFCB" w14:textId="7FC37A14" w:rsidR="00D136C8" w:rsidRPr="008627D6" w:rsidRDefault="00D136C8" w:rsidP="00D136C8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8627D6">
        <w:rPr>
          <w:i/>
          <w:sz w:val="18"/>
          <w:szCs w:val="18"/>
        </w:rPr>
        <w:t xml:space="preserve">Next </w:t>
      </w:r>
      <w:r w:rsidR="00C510E0" w:rsidRPr="008627D6">
        <w:rPr>
          <w:i/>
          <w:sz w:val="18"/>
          <w:szCs w:val="18"/>
        </w:rPr>
        <w:t>n</w:t>
      </w:r>
      <w:r w:rsidRPr="008627D6">
        <w:rPr>
          <w:i/>
          <w:sz w:val="18"/>
          <w:szCs w:val="18"/>
        </w:rPr>
        <w:t xml:space="preserve">ews </w:t>
      </w:r>
      <w:r w:rsidR="00C510E0" w:rsidRPr="008627D6">
        <w:rPr>
          <w:i/>
          <w:sz w:val="18"/>
          <w:szCs w:val="18"/>
        </w:rPr>
        <w:t>r</w:t>
      </w:r>
      <w:r w:rsidRPr="008627D6">
        <w:rPr>
          <w:i/>
          <w:sz w:val="18"/>
          <w:szCs w:val="18"/>
        </w:rPr>
        <w:t>elease will be published on:</w:t>
      </w:r>
      <w:r w:rsidRPr="008627D6">
        <w:rPr>
          <w:i/>
          <w:sz w:val="18"/>
          <w:szCs w:val="18"/>
        </w:rPr>
        <w:tab/>
      </w:r>
      <w:r w:rsidRPr="008627D6">
        <w:rPr>
          <w:i/>
          <w:sz w:val="18"/>
          <w:szCs w:val="18"/>
        </w:rPr>
        <w:tab/>
      </w:r>
      <w:r w:rsidR="00F07D9F" w:rsidRPr="008627D6">
        <w:rPr>
          <w:i/>
          <w:sz w:val="18"/>
          <w:szCs w:val="18"/>
        </w:rPr>
        <w:t>3</w:t>
      </w:r>
      <w:r w:rsidR="008877B8" w:rsidRPr="008627D6">
        <w:rPr>
          <w:i/>
          <w:sz w:val="18"/>
          <w:szCs w:val="18"/>
        </w:rPr>
        <w:t>1 </w:t>
      </w:r>
      <w:r w:rsidR="006B4AA0" w:rsidRPr="008627D6">
        <w:rPr>
          <w:i/>
          <w:sz w:val="18"/>
          <w:szCs w:val="18"/>
        </w:rPr>
        <w:t>Ma</w:t>
      </w:r>
      <w:r w:rsidR="00F07D9F" w:rsidRPr="008627D6">
        <w:rPr>
          <w:i/>
          <w:sz w:val="18"/>
          <w:szCs w:val="18"/>
        </w:rPr>
        <w:t>y</w:t>
      </w:r>
      <w:r w:rsidR="008877B8" w:rsidRPr="008627D6">
        <w:rPr>
          <w:i/>
          <w:sz w:val="18"/>
          <w:szCs w:val="18"/>
        </w:rPr>
        <w:t> </w:t>
      </w:r>
      <w:r w:rsidR="006B4AA0" w:rsidRPr="008627D6">
        <w:rPr>
          <w:i/>
          <w:sz w:val="18"/>
          <w:szCs w:val="18"/>
        </w:rPr>
        <w:t>2024</w:t>
      </w:r>
      <w:r w:rsidRPr="008627D6">
        <w:rPr>
          <w:i/>
          <w:sz w:val="18"/>
          <w:szCs w:val="18"/>
        </w:rPr>
        <w:t xml:space="preserve"> </w:t>
      </w:r>
    </w:p>
    <w:p w14:paraId="28C29A0D" w14:textId="012C8887" w:rsidR="00D209A7" w:rsidRPr="00D136C8" w:rsidRDefault="00D136C8" w:rsidP="00D136C8">
      <w:pPr>
        <w:tabs>
          <w:tab w:val="left" w:pos="3544"/>
        </w:tabs>
        <w:ind w:left="3544" w:hanging="3544"/>
      </w:pPr>
      <w:r w:rsidRPr="008627D6">
        <w:rPr>
          <w:i/>
          <w:sz w:val="18"/>
          <w:szCs w:val="18"/>
        </w:rPr>
        <w:tab/>
        <w:t xml:space="preserve">(GDP resources and uses for the </w:t>
      </w:r>
      <w:r w:rsidR="00F07D9F" w:rsidRPr="008627D6">
        <w:rPr>
          <w:i/>
          <w:sz w:val="18"/>
          <w:szCs w:val="18"/>
        </w:rPr>
        <w:t>Q1 2024</w:t>
      </w:r>
      <w:r w:rsidRPr="008627D6">
        <w:rPr>
          <w:i/>
          <w:sz w:val="18"/>
          <w:szCs w:val="18"/>
        </w:rPr>
        <w:t>)</w:t>
      </w:r>
    </w:p>
    <w:sectPr w:rsidR="00D209A7" w:rsidRPr="00D136C8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7702C" w14:textId="77777777" w:rsidR="00012B99" w:rsidRDefault="00012B99" w:rsidP="00BA6370">
      <w:r>
        <w:separator/>
      </w:r>
    </w:p>
  </w:endnote>
  <w:endnote w:type="continuationSeparator" w:id="0">
    <w:p w14:paraId="6C234001" w14:textId="77777777" w:rsidR="00012B99" w:rsidRDefault="00012B9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3717" w14:textId="77777777" w:rsidR="003D0499" w:rsidRDefault="00F37EB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FD54F" wp14:editId="448710B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9D0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CC1C59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40C55C70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6E780BD4" w14:textId="26E2F59D" w:rsidR="00380178" w:rsidRPr="00D136C8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D136C8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D136C8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136C8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43791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FD5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6119D0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CC1C59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40C55C70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6E780BD4" w14:textId="26E2F59D" w:rsidR="00380178" w:rsidRPr="00D136C8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D136C8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D136C8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136C8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43791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C990E3B" wp14:editId="66C3A76D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C57C" w14:textId="77777777" w:rsidR="00012B99" w:rsidRDefault="00012B99" w:rsidP="00BA6370">
      <w:r>
        <w:separator/>
      </w:r>
    </w:p>
  </w:footnote>
  <w:footnote w:type="continuationSeparator" w:id="0">
    <w:p w14:paraId="5266252A" w14:textId="77777777" w:rsidR="00012B99" w:rsidRDefault="00012B99" w:rsidP="00BA6370">
      <w:r>
        <w:continuationSeparator/>
      </w:r>
    </w:p>
  </w:footnote>
  <w:footnote w:id="1">
    <w:p w14:paraId="6FC02160" w14:textId="168A3405" w:rsidR="00EC3ACD" w:rsidRDefault="00EC3ACD" w:rsidP="00EC3ACD">
      <w:pPr>
        <w:pStyle w:val="Textpoznpodarou"/>
        <w:rPr>
          <w:i/>
          <w:sz w:val="18"/>
          <w:szCs w:val="18"/>
        </w:rPr>
      </w:pPr>
      <w:r w:rsidRPr="00580FA4">
        <w:rPr>
          <w:rStyle w:val="Znakapoznpodarou"/>
          <w:rFonts w:ascii="Arial" w:hAnsi="Arial" w:cs="Arial"/>
          <w:sz w:val="18"/>
          <w:szCs w:val="18"/>
        </w:rPr>
        <w:footnoteRef/>
      </w:r>
      <w:r w:rsidRPr="00580FA4">
        <w:rPr>
          <w:rFonts w:ascii="Arial" w:hAnsi="Arial" w:cs="Arial"/>
          <w:sz w:val="18"/>
          <w:szCs w:val="18"/>
        </w:rPr>
        <w:t xml:space="preserve"> </w:t>
      </w:r>
      <w:r w:rsidRPr="00580FA4">
        <w:rPr>
          <w:rFonts w:ascii="Arial" w:hAnsi="Arial" w:cs="Arial"/>
          <w:i/>
          <w:sz w:val="18"/>
          <w:szCs w:val="18"/>
        </w:rPr>
        <w:t xml:space="preserve">All data presented in this </w:t>
      </w:r>
      <w:r w:rsidR="00CF3774">
        <w:rPr>
          <w:rFonts w:ascii="Arial" w:hAnsi="Arial" w:cs="Arial"/>
          <w:i/>
          <w:sz w:val="18"/>
          <w:szCs w:val="18"/>
        </w:rPr>
        <w:t>n</w:t>
      </w:r>
      <w:r w:rsidRPr="00580FA4">
        <w:rPr>
          <w:rFonts w:ascii="Arial" w:hAnsi="Arial" w:cs="Arial"/>
          <w:i/>
          <w:sz w:val="18"/>
          <w:szCs w:val="18"/>
        </w:rPr>
        <w:t xml:space="preserve">ews </w:t>
      </w:r>
      <w:r w:rsidR="00CF3774">
        <w:rPr>
          <w:rFonts w:ascii="Arial" w:hAnsi="Arial" w:cs="Arial"/>
          <w:i/>
          <w:sz w:val="18"/>
          <w:szCs w:val="18"/>
        </w:rPr>
        <w:t>r</w:t>
      </w:r>
      <w:r w:rsidRPr="00580FA4">
        <w:rPr>
          <w:rFonts w:ascii="Arial" w:hAnsi="Arial" w:cs="Arial"/>
          <w:i/>
          <w:sz w:val="18"/>
          <w:szCs w:val="18"/>
        </w:rPr>
        <w:t>elease are adjusted for seasonal and calendar effects.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14:paraId="4089496B" w14:textId="77777777" w:rsidR="00DA0B11" w:rsidRPr="00DD693C" w:rsidRDefault="00DA0B11" w:rsidP="00DA0B11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580FA4">
        <w:rPr>
          <w:rFonts w:ascii="Arial" w:hAnsi="Arial" w:cs="Arial"/>
          <w:sz w:val="18"/>
          <w:szCs w:val="18"/>
          <w:vertAlign w:val="superscript"/>
        </w:rPr>
        <w:footnoteRef/>
      </w:r>
      <w:r w:rsidRPr="00580FA4">
        <w:rPr>
          <w:rFonts w:ascii="Arial" w:hAnsi="Arial" w:cs="Arial"/>
          <w:i/>
          <w:sz w:val="18"/>
          <w:szCs w:val="18"/>
        </w:rPr>
        <w:t xml:space="preserve"> 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858E" w14:textId="77777777" w:rsidR="003D0499" w:rsidRDefault="00F37EB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7E122FA" wp14:editId="63077D53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2B99"/>
    <w:rsid w:val="00014EC7"/>
    <w:rsid w:val="0002177A"/>
    <w:rsid w:val="00026508"/>
    <w:rsid w:val="00031DDC"/>
    <w:rsid w:val="00036AE1"/>
    <w:rsid w:val="00043BF4"/>
    <w:rsid w:val="00062670"/>
    <w:rsid w:val="00070858"/>
    <w:rsid w:val="00070875"/>
    <w:rsid w:val="00076E6D"/>
    <w:rsid w:val="000843A5"/>
    <w:rsid w:val="00091722"/>
    <w:rsid w:val="00093BA9"/>
    <w:rsid w:val="000A6010"/>
    <w:rsid w:val="000B6773"/>
    <w:rsid w:val="000B6F63"/>
    <w:rsid w:val="000F40E9"/>
    <w:rsid w:val="00116ED1"/>
    <w:rsid w:val="00123849"/>
    <w:rsid w:val="001248BF"/>
    <w:rsid w:val="001251FB"/>
    <w:rsid w:val="0013242C"/>
    <w:rsid w:val="0013629B"/>
    <w:rsid w:val="001404AB"/>
    <w:rsid w:val="001426AA"/>
    <w:rsid w:val="00146A58"/>
    <w:rsid w:val="0017231D"/>
    <w:rsid w:val="00176E26"/>
    <w:rsid w:val="0018061F"/>
    <w:rsid w:val="001810DC"/>
    <w:rsid w:val="0019402A"/>
    <w:rsid w:val="001B607F"/>
    <w:rsid w:val="001C400F"/>
    <w:rsid w:val="001C71FD"/>
    <w:rsid w:val="001D369A"/>
    <w:rsid w:val="001D7304"/>
    <w:rsid w:val="001E0ED2"/>
    <w:rsid w:val="001F08B3"/>
    <w:rsid w:val="002070FB"/>
    <w:rsid w:val="00213729"/>
    <w:rsid w:val="002258D6"/>
    <w:rsid w:val="00227F93"/>
    <w:rsid w:val="002406FA"/>
    <w:rsid w:val="00242E18"/>
    <w:rsid w:val="00266E3A"/>
    <w:rsid w:val="00276AF4"/>
    <w:rsid w:val="00291402"/>
    <w:rsid w:val="00297900"/>
    <w:rsid w:val="002A1988"/>
    <w:rsid w:val="002B2E47"/>
    <w:rsid w:val="002C41DB"/>
    <w:rsid w:val="002C5EB8"/>
    <w:rsid w:val="002D0C77"/>
    <w:rsid w:val="002D37F5"/>
    <w:rsid w:val="002D4620"/>
    <w:rsid w:val="002F2865"/>
    <w:rsid w:val="00306A35"/>
    <w:rsid w:val="00307EA9"/>
    <w:rsid w:val="0032398D"/>
    <w:rsid w:val="003301A3"/>
    <w:rsid w:val="00346ACA"/>
    <w:rsid w:val="0036777B"/>
    <w:rsid w:val="003741E2"/>
    <w:rsid w:val="003743C8"/>
    <w:rsid w:val="00380178"/>
    <w:rsid w:val="0038282A"/>
    <w:rsid w:val="00397580"/>
    <w:rsid w:val="003A0C76"/>
    <w:rsid w:val="003A45C8"/>
    <w:rsid w:val="003B0067"/>
    <w:rsid w:val="003B61AF"/>
    <w:rsid w:val="003B7F42"/>
    <w:rsid w:val="003C2DCF"/>
    <w:rsid w:val="003C3372"/>
    <w:rsid w:val="003C7FE7"/>
    <w:rsid w:val="003D0499"/>
    <w:rsid w:val="003D3576"/>
    <w:rsid w:val="003F4E07"/>
    <w:rsid w:val="003F526A"/>
    <w:rsid w:val="004008F8"/>
    <w:rsid w:val="00405244"/>
    <w:rsid w:val="004277D1"/>
    <w:rsid w:val="00436D82"/>
    <w:rsid w:val="004436EE"/>
    <w:rsid w:val="00453ED8"/>
    <w:rsid w:val="0045547F"/>
    <w:rsid w:val="004906F4"/>
    <w:rsid w:val="004920AD"/>
    <w:rsid w:val="004D05B3"/>
    <w:rsid w:val="004D2559"/>
    <w:rsid w:val="004D4169"/>
    <w:rsid w:val="004E479E"/>
    <w:rsid w:val="004E64EE"/>
    <w:rsid w:val="004F78E6"/>
    <w:rsid w:val="005006E3"/>
    <w:rsid w:val="00512562"/>
    <w:rsid w:val="00512D99"/>
    <w:rsid w:val="00531DBB"/>
    <w:rsid w:val="005322C8"/>
    <w:rsid w:val="00552295"/>
    <w:rsid w:val="005528EA"/>
    <w:rsid w:val="005537E5"/>
    <w:rsid w:val="00564213"/>
    <w:rsid w:val="005645E2"/>
    <w:rsid w:val="00580FA4"/>
    <w:rsid w:val="0058156C"/>
    <w:rsid w:val="005827B0"/>
    <w:rsid w:val="005B4177"/>
    <w:rsid w:val="005C7DD3"/>
    <w:rsid w:val="005E18B9"/>
    <w:rsid w:val="005F79FB"/>
    <w:rsid w:val="00604406"/>
    <w:rsid w:val="00605F4A"/>
    <w:rsid w:val="00607822"/>
    <w:rsid w:val="006103AA"/>
    <w:rsid w:val="00611D7E"/>
    <w:rsid w:val="00613BBF"/>
    <w:rsid w:val="00615AB6"/>
    <w:rsid w:val="00622B80"/>
    <w:rsid w:val="0064139A"/>
    <w:rsid w:val="006615D6"/>
    <w:rsid w:val="006A1077"/>
    <w:rsid w:val="006B0B11"/>
    <w:rsid w:val="006B4AA0"/>
    <w:rsid w:val="006D5C60"/>
    <w:rsid w:val="006D7B1E"/>
    <w:rsid w:val="006E024F"/>
    <w:rsid w:val="006E045F"/>
    <w:rsid w:val="006E4E81"/>
    <w:rsid w:val="007015F1"/>
    <w:rsid w:val="00702947"/>
    <w:rsid w:val="00707F7D"/>
    <w:rsid w:val="00711C36"/>
    <w:rsid w:val="00713F69"/>
    <w:rsid w:val="00717EC5"/>
    <w:rsid w:val="00747F0A"/>
    <w:rsid w:val="007525EC"/>
    <w:rsid w:val="007530F9"/>
    <w:rsid w:val="00755D8B"/>
    <w:rsid w:val="00763787"/>
    <w:rsid w:val="00767908"/>
    <w:rsid w:val="007779EF"/>
    <w:rsid w:val="00784615"/>
    <w:rsid w:val="00792881"/>
    <w:rsid w:val="00793D5F"/>
    <w:rsid w:val="007A0CA5"/>
    <w:rsid w:val="007A57F2"/>
    <w:rsid w:val="007B1333"/>
    <w:rsid w:val="007D68E3"/>
    <w:rsid w:val="007E5E0C"/>
    <w:rsid w:val="007F0705"/>
    <w:rsid w:val="007F384C"/>
    <w:rsid w:val="007F4AEB"/>
    <w:rsid w:val="007F5D7B"/>
    <w:rsid w:val="007F75B2"/>
    <w:rsid w:val="0080056A"/>
    <w:rsid w:val="00800BF0"/>
    <w:rsid w:val="008043C4"/>
    <w:rsid w:val="00831B1B"/>
    <w:rsid w:val="008326BD"/>
    <w:rsid w:val="0084324F"/>
    <w:rsid w:val="00855FB3"/>
    <w:rsid w:val="00861D0E"/>
    <w:rsid w:val="008627D6"/>
    <w:rsid w:val="008638F0"/>
    <w:rsid w:val="00864896"/>
    <w:rsid w:val="00867569"/>
    <w:rsid w:val="008728F2"/>
    <w:rsid w:val="00875EA3"/>
    <w:rsid w:val="00882859"/>
    <w:rsid w:val="00885C0D"/>
    <w:rsid w:val="008877B8"/>
    <w:rsid w:val="008A750A"/>
    <w:rsid w:val="008A7D39"/>
    <w:rsid w:val="008B3970"/>
    <w:rsid w:val="008C384C"/>
    <w:rsid w:val="008D0F11"/>
    <w:rsid w:val="008E0D55"/>
    <w:rsid w:val="008F492B"/>
    <w:rsid w:val="008F73B4"/>
    <w:rsid w:val="009019FB"/>
    <w:rsid w:val="009035E8"/>
    <w:rsid w:val="009105DC"/>
    <w:rsid w:val="009234F3"/>
    <w:rsid w:val="00926D9E"/>
    <w:rsid w:val="00927FF1"/>
    <w:rsid w:val="00951A7D"/>
    <w:rsid w:val="0095248B"/>
    <w:rsid w:val="00953416"/>
    <w:rsid w:val="00957E70"/>
    <w:rsid w:val="0096186D"/>
    <w:rsid w:val="009658AA"/>
    <w:rsid w:val="00971374"/>
    <w:rsid w:val="00976956"/>
    <w:rsid w:val="009844FC"/>
    <w:rsid w:val="00990BAE"/>
    <w:rsid w:val="009B2678"/>
    <w:rsid w:val="009B55B1"/>
    <w:rsid w:val="009C4D55"/>
    <w:rsid w:val="009C6B15"/>
    <w:rsid w:val="009E39C5"/>
    <w:rsid w:val="009E4EFC"/>
    <w:rsid w:val="009F1789"/>
    <w:rsid w:val="00A07BA7"/>
    <w:rsid w:val="00A10126"/>
    <w:rsid w:val="00A17409"/>
    <w:rsid w:val="00A424FA"/>
    <w:rsid w:val="00A4343D"/>
    <w:rsid w:val="00A443A3"/>
    <w:rsid w:val="00A502F1"/>
    <w:rsid w:val="00A64285"/>
    <w:rsid w:val="00A70A83"/>
    <w:rsid w:val="00A81EB3"/>
    <w:rsid w:val="00AB6196"/>
    <w:rsid w:val="00AC3140"/>
    <w:rsid w:val="00AD0F24"/>
    <w:rsid w:val="00AD3E7D"/>
    <w:rsid w:val="00AD6B15"/>
    <w:rsid w:val="00AE555C"/>
    <w:rsid w:val="00AF0F63"/>
    <w:rsid w:val="00AF5B29"/>
    <w:rsid w:val="00B00C1D"/>
    <w:rsid w:val="00B15A00"/>
    <w:rsid w:val="00B22CF5"/>
    <w:rsid w:val="00B22F53"/>
    <w:rsid w:val="00B335CC"/>
    <w:rsid w:val="00B4145F"/>
    <w:rsid w:val="00B632CC"/>
    <w:rsid w:val="00B87595"/>
    <w:rsid w:val="00BA12F1"/>
    <w:rsid w:val="00BA439F"/>
    <w:rsid w:val="00BA6370"/>
    <w:rsid w:val="00BB6854"/>
    <w:rsid w:val="00BC097A"/>
    <w:rsid w:val="00BC59E4"/>
    <w:rsid w:val="00BF6412"/>
    <w:rsid w:val="00C269D4"/>
    <w:rsid w:val="00C4160D"/>
    <w:rsid w:val="00C41864"/>
    <w:rsid w:val="00C510E0"/>
    <w:rsid w:val="00C558CF"/>
    <w:rsid w:val="00C62F6F"/>
    <w:rsid w:val="00C8406E"/>
    <w:rsid w:val="00C965D1"/>
    <w:rsid w:val="00CA26F6"/>
    <w:rsid w:val="00CA5601"/>
    <w:rsid w:val="00CB2709"/>
    <w:rsid w:val="00CB614B"/>
    <w:rsid w:val="00CB6F89"/>
    <w:rsid w:val="00CC034C"/>
    <w:rsid w:val="00CD03F8"/>
    <w:rsid w:val="00CE228C"/>
    <w:rsid w:val="00CE4281"/>
    <w:rsid w:val="00CE5B3A"/>
    <w:rsid w:val="00CE71D9"/>
    <w:rsid w:val="00CF3774"/>
    <w:rsid w:val="00CF545B"/>
    <w:rsid w:val="00CF6C8E"/>
    <w:rsid w:val="00CF7302"/>
    <w:rsid w:val="00D04869"/>
    <w:rsid w:val="00D136C8"/>
    <w:rsid w:val="00D14EC1"/>
    <w:rsid w:val="00D209A7"/>
    <w:rsid w:val="00D22636"/>
    <w:rsid w:val="00D27D69"/>
    <w:rsid w:val="00D32465"/>
    <w:rsid w:val="00D43791"/>
    <w:rsid w:val="00D448C2"/>
    <w:rsid w:val="00D557CA"/>
    <w:rsid w:val="00D666C3"/>
    <w:rsid w:val="00D811AB"/>
    <w:rsid w:val="00DA0B11"/>
    <w:rsid w:val="00DD7554"/>
    <w:rsid w:val="00DE2649"/>
    <w:rsid w:val="00DE6208"/>
    <w:rsid w:val="00DF47FE"/>
    <w:rsid w:val="00E0156A"/>
    <w:rsid w:val="00E037DB"/>
    <w:rsid w:val="00E1630A"/>
    <w:rsid w:val="00E26704"/>
    <w:rsid w:val="00E31072"/>
    <w:rsid w:val="00E31980"/>
    <w:rsid w:val="00E6423C"/>
    <w:rsid w:val="00E71483"/>
    <w:rsid w:val="00E93830"/>
    <w:rsid w:val="00E93E0E"/>
    <w:rsid w:val="00EB1A25"/>
    <w:rsid w:val="00EB1ED3"/>
    <w:rsid w:val="00EC08A1"/>
    <w:rsid w:val="00EC3ACD"/>
    <w:rsid w:val="00ED3BBA"/>
    <w:rsid w:val="00ED417F"/>
    <w:rsid w:val="00EE70B7"/>
    <w:rsid w:val="00F02E31"/>
    <w:rsid w:val="00F0757D"/>
    <w:rsid w:val="00F07D9F"/>
    <w:rsid w:val="00F314B7"/>
    <w:rsid w:val="00F37EB6"/>
    <w:rsid w:val="00F37F91"/>
    <w:rsid w:val="00F557B3"/>
    <w:rsid w:val="00F83C49"/>
    <w:rsid w:val="00F87CBB"/>
    <w:rsid w:val="00F92E53"/>
    <w:rsid w:val="00F974BA"/>
    <w:rsid w:val="00FB687C"/>
    <w:rsid w:val="00FC6454"/>
    <w:rsid w:val="00FC7C81"/>
    <w:rsid w:val="00FD48A4"/>
    <w:rsid w:val="00FE0CC5"/>
    <w:rsid w:val="00FE114D"/>
    <w:rsid w:val="00FF68C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332E2B1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136C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D136C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36C8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D136C8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D136C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7087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62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2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29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2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29B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4\1Q\T30\Graf_HDP_T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data!$D$6</c:f>
              <c:strCache>
                <c:ptCount val="1"/>
                <c:pt idx="0">
                  <c:v>Quarter-on-quarter real change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data!$B$83:$C$119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data!$D$83:$D$119</c:f>
              <c:numCache>
                <c:formatCode>#\ ##0.0</c:formatCode>
                <c:ptCount val="37"/>
                <c:pt idx="0">
                  <c:v>1.8888755985913832</c:v>
                </c:pt>
                <c:pt idx="1">
                  <c:v>1.3568774225193749</c:v>
                </c:pt>
                <c:pt idx="2">
                  <c:v>1.212205693605739</c:v>
                </c:pt>
                <c:pt idx="3">
                  <c:v>0.59715455076982948</c:v>
                </c:pt>
                <c:pt idx="4">
                  <c:v>0.1528358160694836</c:v>
                </c:pt>
                <c:pt idx="5">
                  <c:v>0.32306313223966754</c:v>
                </c:pt>
                <c:pt idx="6">
                  <c:v>0.90692480534380593</c:v>
                </c:pt>
                <c:pt idx="7">
                  <c:v>0.77759726062416235</c:v>
                </c:pt>
                <c:pt idx="8">
                  <c:v>1.6343481108357309</c:v>
                </c:pt>
                <c:pt idx="9">
                  <c:v>2.4820544790542982</c:v>
                </c:pt>
                <c:pt idx="10">
                  <c:v>0.84419801980197917</c:v>
                </c:pt>
                <c:pt idx="11">
                  <c:v>0.82574197389484993</c:v>
                </c:pt>
                <c:pt idx="12">
                  <c:v>0.51859772519729574</c:v>
                </c:pt>
                <c:pt idx="13">
                  <c:v>0.5912374750303826</c:v>
                </c:pt>
                <c:pt idx="14">
                  <c:v>0.73257343037091971</c:v>
                </c:pt>
                <c:pt idx="15">
                  <c:v>0.76492186562109055</c:v>
                </c:pt>
                <c:pt idx="16">
                  <c:v>0.87101711877043897</c:v>
                </c:pt>
                <c:pt idx="17">
                  <c:v>0.65493675873298685</c:v>
                </c:pt>
                <c:pt idx="18">
                  <c:v>0.69787672499455766</c:v>
                </c:pt>
                <c:pt idx="19">
                  <c:v>0.53962669151388809</c:v>
                </c:pt>
                <c:pt idx="20">
                  <c:v>-3.3149705245738517</c:v>
                </c:pt>
                <c:pt idx="21">
                  <c:v>-8.8756873103285301</c:v>
                </c:pt>
                <c:pt idx="22">
                  <c:v>7.0042605595799046</c:v>
                </c:pt>
                <c:pt idx="23">
                  <c:v>1.2293333255930037</c:v>
                </c:pt>
                <c:pt idx="24">
                  <c:v>-0.63240914714887708</c:v>
                </c:pt>
                <c:pt idx="25">
                  <c:v>1.4350510102822795</c:v>
                </c:pt>
                <c:pt idx="26">
                  <c:v>1.7526194188431674</c:v>
                </c:pt>
                <c:pt idx="27">
                  <c:v>0.83193694511574279</c:v>
                </c:pt>
                <c:pt idx="28">
                  <c:v>0.57669901096760157</c:v>
                </c:pt>
                <c:pt idx="29">
                  <c:v>0.15652394087383925</c:v>
                </c:pt>
                <c:pt idx="30">
                  <c:v>-0.2295671803200463</c:v>
                </c:pt>
                <c:pt idx="31">
                  <c:v>-0.35550891651683969</c:v>
                </c:pt>
                <c:pt idx="32">
                  <c:v>0.25521646733737668</c:v>
                </c:pt>
                <c:pt idx="33">
                  <c:v>0.2584976454351704</c:v>
                </c:pt>
                <c:pt idx="34">
                  <c:v>-0.78914813903696768</c:v>
                </c:pt>
                <c:pt idx="35">
                  <c:v>0.44982545016654285</c:v>
                </c:pt>
                <c:pt idx="36">
                  <c:v>0.52807084376773616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0-45DE-B295-A27BBBB46921}"/>
            </c:ext>
          </c:extLst>
        </c:ser>
        <c:ser>
          <c:idx val="0"/>
          <c:order val="1"/>
          <c:tx>
            <c:strRef>
              <c:f>data!$G$6</c:f>
              <c:strCache>
                <c:ptCount val="1"/>
                <c:pt idx="0">
                  <c:v>Year-on-year real change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data!$B$83:$C$119</c:f>
              <c:multiLvlStrCache>
                <c:ptCount val="3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data!$G$83:$G$119</c:f>
              <c:numCache>
                <c:formatCode>#\ ##0.0</c:formatCode>
                <c:ptCount val="37"/>
                <c:pt idx="0">
                  <c:v>5.2608887342199324</c:v>
                </c:pt>
                <c:pt idx="1">
                  <c:v>5.7028810116886746</c:v>
                </c:pt>
                <c:pt idx="2">
                  <c:v>5.7314170946015253</c:v>
                </c:pt>
                <c:pt idx="3">
                  <c:v>5.1474096393038451</c:v>
                </c:pt>
                <c:pt idx="4">
                  <c:v>3.3558491270247117</c:v>
                </c:pt>
                <c:pt idx="5">
                  <c:v>2.3016458353616258</c:v>
                </c:pt>
                <c:pt idx="6">
                  <c:v>1.9930789278700445</c:v>
                </c:pt>
                <c:pt idx="7">
                  <c:v>2.1760255293948632</c:v>
                </c:pt>
                <c:pt idx="8">
                  <c:v>3.6874658877103172</c:v>
                </c:pt>
                <c:pt idx="9">
                  <c:v>5.9188604906604354</c:v>
                </c:pt>
                <c:pt idx="10">
                  <c:v>5.8530181348493784</c:v>
                </c:pt>
                <c:pt idx="11">
                  <c:v>5.9035875406048888</c:v>
                </c:pt>
                <c:pt idx="12">
                  <c:v>4.7409690869492067</c:v>
                </c:pt>
                <c:pt idx="13">
                  <c:v>2.8084745992628513</c:v>
                </c:pt>
                <c:pt idx="14">
                  <c:v>2.6946757492296172</c:v>
                </c:pt>
                <c:pt idx="15">
                  <c:v>2.6327282626460686</c:v>
                </c:pt>
                <c:pt idx="16">
                  <c:v>2.9925598229108203</c:v>
                </c:pt>
                <c:pt idx="17">
                  <c:v>3.0577797411869341</c:v>
                </c:pt>
                <c:pt idx="18">
                  <c:v>3.022282133028483</c:v>
                </c:pt>
                <c:pt idx="19">
                  <c:v>2.7919398416799623</c:v>
                </c:pt>
                <c:pt idx="20">
                  <c:v>-1.4737630559722419</c:v>
                </c:pt>
                <c:pt idx="21">
                  <c:v>-10.802828827516109</c:v>
                </c:pt>
                <c:pt idx="22">
                  <c:v>-5.2166971565464166</c:v>
                </c:pt>
                <c:pt idx="23">
                  <c:v>-4.5664791785978451</c:v>
                </c:pt>
                <c:pt idx="24">
                  <c:v>-1.9186413648622107</c:v>
                </c:pt>
                <c:pt idx="25">
                  <c:v>9.1792884100474765</c:v>
                </c:pt>
                <c:pt idx="26">
                  <c:v>3.8208995035486311</c:v>
                </c:pt>
                <c:pt idx="27">
                  <c:v>3.4133294018282072</c:v>
                </c:pt>
                <c:pt idx="28">
                  <c:v>4.6716662414814749</c:v>
                </c:pt>
                <c:pt idx="29">
                  <c:v>3.3523436073729584</c:v>
                </c:pt>
                <c:pt idx="30">
                  <c:v>1.3389936645339446</c:v>
                </c:pt>
                <c:pt idx="31">
                  <c:v>0.14557645670561215</c:v>
                </c:pt>
                <c:pt idx="32">
                  <c:v>-0.17452805029459739</c:v>
                </c:pt>
                <c:pt idx="33">
                  <c:v>-7.2891404135617677E-2</c:v>
                </c:pt>
                <c:pt idx="34">
                  <c:v>-0.63335110797339667</c:v>
                </c:pt>
                <c:pt idx="35">
                  <c:v>0.16973771695587914</c:v>
                </c:pt>
                <c:pt idx="36">
                  <c:v>0.44235945460738435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50-45DE-B295-A27BBBB46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Quarter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1" i="0" baseline="0">
              <a:effectLst/>
              <a:latin typeface="+mn-lt"/>
              <a:ea typeface="+mn-ea"/>
              <a:cs typeface="+mn-cs"/>
            </a:rPr>
            <a:t>Gross domestic product</a:t>
          </a:r>
          <a:endParaRPr lang="cs-CZ" sz="1000">
            <a:effectLst/>
          </a:endParaRP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0" i="1" baseline="0">
              <a:effectLst/>
              <a:latin typeface="+mn-lt"/>
              <a:ea typeface="+mn-ea"/>
              <a:cs typeface="+mn-cs"/>
            </a:rPr>
            <a:t>quarter-on-quarter and year-on-year real change, seasonally adjusted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8F2AB-E186-4A46-B994-15DAA35AF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FCA7A-7346-421C-9C85-3B5EE0CAB74C}"/>
</file>

<file path=customXml/itemProps3.xml><?xml version="1.0" encoding="utf-8"?>
<ds:datastoreItem xmlns:ds="http://schemas.openxmlformats.org/officeDocument/2006/customXml" ds:itemID="{72D18B57-2584-4BAD-A848-B9AC6EB4E298}"/>
</file>

<file path=customXml/itemProps4.xml><?xml version="1.0" encoding="utf-8"?>
<ds:datastoreItem xmlns:ds="http://schemas.openxmlformats.org/officeDocument/2006/customXml" ds:itemID="{282DBD8A-F9DE-419C-B2DC-7A0D0B4D38BA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39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GDP increased by 0.5%, quarter-on-quarter</vt:lpstr>
      <vt:lpstr>GDP preliminary estimate – the first quarter of 2024</vt:lpstr>
    </vt:vector>
  </TitlesOfParts>
  <Company>ČSÚ</Company>
  <LinksUpToDate>false</LinksUpToDate>
  <CharactersWithSpaces>2281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Benedikt Jan</cp:lastModifiedBy>
  <cp:revision>19</cp:revision>
  <dcterms:created xsi:type="dcterms:W3CDTF">2024-04-25T11:26:00Z</dcterms:created>
  <dcterms:modified xsi:type="dcterms:W3CDTF">2024-04-29T06:45:00Z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