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C8C" w:rsidRPr="0008213C" w:rsidRDefault="00172BB6" w:rsidP="00C20C8C">
      <w:pPr>
        <w:pStyle w:val="datum0"/>
        <w:spacing w:line="276" w:lineRule="auto"/>
        <w:rPr>
          <w:lang w:val="cs-CZ"/>
        </w:rPr>
      </w:pPr>
      <w:r w:rsidRPr="0008213C">
        <w:rPr>
          <w:lang w:val="cs-CZ"/>
        </w:rPr>
        <w:t>7 </w:t>
      </w:r>
      <w:r w:rsidR="00DF62B8" w:rsidRPr="0008213C">
        <w:rPr>
          <w:lang w:val="cs-CZ"/>
        </w:rPr>
        <w:t>May </w:t>
      </w:r>
      <w:r w:rsidRPr="0008213C">
        <w:rPr>
          <w:lang w:val="cs-CZ"/>
        </w:rPr>
        <w:t>2024</w:t>
      </w:r>
    </w:p>
    <w:p w:rsidR="00C20C8C" w:rsidRPr="0008213C" w:rsidRDefault="00DF62B8" w:rsidP="00C20C8C">
      <w:pPr>
        <w:pStyle w:val="Podtitulek"/>
        <w:spacing w:before="280" w:after="0" w:line="360" w:lineRule="exact"/>
        <w:rPr>
          <w:color w:val="BD1B21"/>
          <w:sz w:val="32"/>
          <w:szCs w:val="32"/>
        </w:rPr>
      </w:pPr>
      <w:r w:rsidRPr="0008213C">
        <w:rPr>
          <w:color w:val="BD1B21"/>
          <w:sz w:val="32"/>
          <w:szCs w:val="32"/>
        </w:rPr>
        <w:t xml:space="preserve">Construction output in the first quarter of </w:t>
      </w:r>
      <w:r w:rsidR="00172BB6" w:rsidRPr="0008213C">
        <w:rPr>
          <w:color w:val="BD1B21"/>
          <w:sz w:val="32"/>
          <w:szCs w:val="32"/>
        </w:rPr>
        <w:t>2024</w:t>
      </w:r>
      <w:r w:rsidR="00C20C8C" w:rsidRPr="0008213C">
        <w:rPr>
          <w:color w:val="BD1B21"/>
          <w:sz w:val="32"/>
          <w:szCs w:val="32"/>
        </w:rPr>
        <w:t xml:space="preserve"> </w:t>
      </w:r>
      <w:r w:rsidR="00C37565" w:rsidRPr="0008213C">
        <w:rPr>
          <w:color w:val="BD1B21"/>
          <w:sz w:val="32"/>
          <w:szCs w:val="32"/>
        </w:rPr>
        <w:t>decreased by 4</w:t>
      </w:r>
      <w:r w:rsidRPr="0008213C">
        <w:rPr>
          <w:color w:val="BD1B21"/>
          <w:sz w:val="32"/>
          <w:szCs w:val="32"/>
        </w:rPr>
        <w:t>.</w:t>
      </w:r>
      <w:r w:rsidR="00C37565" w:rsidRPr="0008213C">
        <w:rPr>
          <w:color w:val="BD1B21"/>
          <w:sz w:val="32"/>
          <w:szCs w:val="32"/>
        </w:rPr>
        <w:t>0</w:t>
      </w:r>
      <w:r w:rsidR="00C20C8C" w:rsidRPr="0008213C">
        <w:rPr>
          <w:color w:val="BD1B21"/>
          <w:sz w:val="32"/>
          <w:szCs w:val="32"/>
        </w:rPr>
        <w:t xml:space="preserve">% </w:t>
      </w:r>
    </w:p>
    <w:p w:rsidR="00C20C8C" w:rsidRPr="0008213C" w:rsidRDefault="00DF62B8" w:rsidP="00C20C8C">
      <w:pPr>
        <w:pStyle w:val="Podtitulek"/>
      </w:pPr>
      <w:r w:rsidRPr="0008213C">
        <w:t xml:space="preserve">Supplementary information to the </w:t>
      </w:r>
      <w:r w:rsidR="00172BB6" w:rsidRPr="0008213C">
        <w:t>n</w:t>
      </w:r>
      <w:r w:rsidRPr="0008213C">
        <w:t xml:space="preserve">ews </w:t>
      </w:r>
      <w:r w:rsidR="00172BB6" w:rsidRPr="0008213C">
        <w:t>r</w:t>
      </w:r>
      <w:r w:rsidRPr="0008213C">
        <w:t xml:space="preserve">elease on </w:t>
      </w:r>
      <w:r w:rsidR="00172BB6" w:rsidRPr="0008213C">
        <w:t>c</w:t>
      </w:r>
      <w:r w:rsidRPr="0008213C">
        <w:t xml:space="preserve">onstruction </w:t>
      </w:r>
      <w:r w:rsidR="00C20C8C" w:rsidRPr="0008213C">
        <w:t xml:space="preserve">– </w:t>
      </w:r>
      <w:r w:rsidRPr="0008213C">
        <w:t>March</w:t>
      </w:r>
      <w:r w:rsidR="007E46FD" w:rsidRPr="0008213C">
        <w:t xml:space="preserve"> </w:t>
      </w:r>
      <w:r w:rsidR="00172BB6" w:rsidRPr="0008213C">
        <w:t>2024</w:t>
      </w:r>
    </w:p>
    <w:p w:rsidR="00741BE4" w:rsidRPr="0008213C" w:rsidRDefault="00A160F0" w:rsidP="00741BE4">
      <w:pPr>
        <w:rPr>
          <w:rFonts w:cs="Arial"/>
          <w:lang w:val="en-GB"/>
        </w:rPr>
      </w:pPr>
      <w:r w:rsidRPr="0008213C">
        <w:rPr>
          <w:rFonts w:cs="Arial"/>
          <w:lang w:val="en-GB"/>
        </w:rPr>
        <w:t xml:space="preserve">Construction output </w:t>
      </w:r>
      <w:r w:rsidR="005A651C" w:rsidRPr="0008213C">
        <w:rPr>
          <w:rFonts w:cs="Arial"/>
          <w:lang w:val="en-GB"/>
        </w:rPr>
        <w:t xml:space="preserve">in the first quarter of </w:t>
      </w:r>
      <w:r w:rsidR="00172BB6" w:rsidRPr="0008213C">
        <w:rPr>
          <w:rFonts w:cs="Arial"/>
          <w:lang w:val="en-GB"/>
        </w:rPr>
        <w:t>2024</w:t>
      </w:r>
      <w:r w:rsidR="001B209B" w:rsidRPr="0008213C">
        <w:rPr>
          <w:rFonts w:cs="Arial"/>
          <w:lang w:val="en-GB"/>
        </w:rPr>
        <w:t xml:space="preserve"> decreased by 4.0</w:t>
      </w:r>
      <w:r w:rsidR="00066897" w:rsidRPr="0008213C">
        <w:rPr>
          <w:rFonts w:cs="Arial"/>
          <w:lang w:val="en-GB"/>
        </w:rPr>
        <w:t>%, year-on-year</w:t>
      </w:r>
      <w:r w:rsidR="00A66340" w:rsidRPr="0008213C">
        <w:rPr>
          <w:rFonts w:cs="Arial"/>
          <w:lang w:val="en-GB"/>
        </w:rPr>
        <w:t>.</w:t>
      </w:r>
      <w:r w:rsidR="001B209B" w:rsidRPr="0008213C">
        <w:rPr>
          <w:rFonts w:cs="Arial"/>
          <w:lang w:val="en-GB"/>
        </w:rPr>
        <w:t xml:space="preserve"> Compared to the Q4 2023</w:t>
      </w:r>
      <w:r w:rsidR="00066897" w:rsidRPr="0008213C">
        <w:rPr>
          <w:rFonts w:cs="Arial"/>
          <w:lang w:val="en-GB"/>
        </w:rPr>
        <w:t>,</w:t>
      </w:r>
      <w:r w:rsidR="001B209B" w:rsidRPr="0008213C">
        <w:rPr>
          <w:rFonts w:cs="Arial"/>
          <w:lang w:val="en-GB"/>
        </w:rPr>
        <w:t xml:space="preserve"> the production was by 1.0</w:t>
      </w:r>
      <w:r w:rsidR="00066897" w:rsidRPr="0008213C">
        <w:rPr>
          <w:rFonts w:cs="Arial"/>
          <w:lang w:val="en-GB"/>
        </w:rPr>
        <w:t xml:space="preserve">% higher. </w:t>
      </w:r>
      <w:r w:rsidR="00741BE4" w:rsidRPr="0008213C">
        <w:rPr>
          <w:rFonts w:cs="Arial"/>
          <w:lang w:val="en-GB"/>
        </w:rPr>
        <w:t xml:space="preserve">A more considerable decrease was recorded in the segment of </w:t>
      </w:r>
      <w:r w:rsidR="00741BE4" w:rsidRPr="0008213C">
        <w:rPr>
          <w:lang w:val="en-GB"/>
        </w:rPr>
        <w:t>building construction the production of which decreased by 7.4%</w:t>
      </w:r>
      <w:r w:rsidR="00B3443E">
        <w:rPr>
          <w:lang w:val="en-GB"/>
        </w:rPr>
        <w:t>, y-o-y</w:t>
      </w:r>
      <w:r w:rsidR="00741BE4" w:rsidRPr="0008213C">
        <w:rPr>
          <w:lang w:val="en-GB"/>
        </w:rPr>
        <w:t xml:space="preserve"> (with a</w:t>
      </w:r>
      <w:r w:rsidR="00B3443E">
        <w:rPr>
          <w:lang w:val="en-GB"/>
        </w:rPr>
        <w:t> </w:t>
      </w:r>
      <w:r w:rsidR="00741BE4" w:rsidRPr="0008213C">
        <w:rPr>
          <w:lang w:val="en-GB"/>
        </w:rPr>
        <w:t>contribution of -5.5 percentage points (p. p.)). On the other hand, p</w:t>
      </w:r>
      <w:r w:rsidR="00AE0EEE" w:rsidRPr="0008213C">
        <w:rPr>
          <w:rFonts w:cs="Arial"/>
          <w:lang w:val="en-GB"/>
        </w:rPr>
        <w:t>roduction in</w:t>
      </w:r>
      <w:r w:rsidR="008F40D4" w:rsidRPr="0008213C">
        <w:rPr>
          <w:rFonts w:cs="Arial"/>
          <w:lang w:val="en-GB"/>
        </w:rPr>
        <w:t xml:space="preserve"> </w:t>
      </w:r>
      <w:r w:rsidR="008F40D4" w:rsidRPr="0008213C">
        <w:rPr>
          <w:bCs/>
          <w:lang w:val="en-GB"/>
        </w:rPr>
        <w:t xml:space="preserve">civil engineering construction </w:t>
      </w:r>
      <w:r w:rsidR="00741BE4" w:rsidRPr="0008213C">
        <w:rPr>
          <w:bCs/>
          <w:lang w:val="en-GB"/>
        </w:rPr>
        <w:t xml:space="preserve">increased by 5.7% (+1.5 p. p.), which was also contributed to by a low comparison basis. </w:t>
      </w:r>
    </w:p>
    <w:p w:rsidR="008F40D4" w:rsidRPr="0008213C" w:rsidRDefault="008F40D4" w:rsidP="00C20C8C">
      <w:pPr>
        <w:spacing w:before="120"/>
        <w:rPr>
          <w:lang w:val="en-GB"/>
        </w:rPr>
      </w:pPr>
      <w:r w:rsidRPr="0008213C">
        <w:rPr>
          <w:rFonts w:cs="Arial"/>
          <w:lang w:val="en-GB"/>
        </w:rPr>
        <w:t>Cons</w:t>
      </w:r>
      <w:r w:rsidR="0065450B" w:rsidRPr="0008213C">
        <w:rPr>
          <w:rFonts w:cs="Arial"/>
          <w:lang w:val="en-GB"/>
        </w:rPr>
        <w:t>truction enterprises with 50+ </w:t>
      </w:r>
      <w:r w:rsidR="000A4631" w:rsidRPr="0008213C">
        <w:rPr>
          <w:rFonts w:cs="Arial"/>
          <w:lang w:val="en-GB"/>
        </w:rPr>
        <w:t>employees</w:t>
      </w:r>
      <w:r w:rsidR="0086231A" w:rsidRPr="0008213C">
        <w:rPr>
          <w:rFonts w:cs="Arial"/>
          <w:lang w:val="en-GB"/>
        </w:rPr>
        <w:t xml:space="preserve"> co</w:t>
      </w:r>
      <w:r w:rsidR="003D64BC" w:rsidRPr="0008213C">
        <w:rPr>
          <w:rFonts w:cs="Arial"/>
          <w:lang w:val="en-GB"/>
        </w:rPr>
        <w:t>ncluded in the Czech Republic 1</w:t>
      </w:r>
      <w:r w:rsidR="00D955F6" w:rsidRPr="0008213C">
        <w:rPr>
          <w:rFonts w:cs="Arial"/>
          <w:lang w:val="en-GB"/>
        </w:rPr>
        <w:t>8</w:t>
      </w:r>
      <w:r w:rsidR="0065450B" w:rsidRPr="0008213C">
        <w:rPr>
          <w:rFonts w:cs="Arial"/>
          <w:lang w:val="en-GB"/>
        </w:rPr>
        <w:t> </w:t>
      </w:r>
      <w:r w:rsidR="00D955F6" w:rsidRPr="0008213C">
        <w:rPr>
          <w:rFonts w:cs="Arial"/>
          <w:lang w:val="en-GB"/>
        </w:rPr>
        <w:t>969</w:t>
      </w:r>
      <w:r w:rsidR="0065450B" w:rsidRPr="0008213C">
        <w:rPr>
          <w:rFonts w:cs="Arial"/>
          <w:lang w:val="en-GB"/>
        </w:rPr>
        <w:t> </w:t>
      </w:r>
      <w:r w:rsidR="0086231A" w:rsidRPr="0008213C">
        <w:rPr>
          <w:rFonts w:cs="Arial"/>
          <w:lang w:val="en-GB"/>
        </w:rPr>
        <w:t xml:space="preserve">construction orders in the </w:t>
      </w:r>
      <w:r w:rsidR="00AB50F3" w:rsidRPr="0008213C">
        <w:rPr>
          <w:rFonts w:cs="Arial"/>
          <w:lang w:val="en-GB"/>
        </w:rPr>
        <w:t xml:space="preserve">Q1 </w:t>
      </w:r>
      <w:r w:rsidR="00172BB6" w:rsidRPr="0008213C">
        <w:rPr>
          <w:rFonts w:cs="Arial"/>
          <w:lang w:val="en-GB"/>
        </w:rPr>
        <w:t>2024</w:t>
      </w:r>
      <w:r w:rsidR="0086231A" w:rsidRPr="0008213C">
        <w:rPr>
          <w:rFonts w:cs="Arial"/>
          <w:lang w:val="en-GB"/>
        </w:rPr>
        <w:t xml:space="preserve"> and, in the year-on-year comparison, the number increased b</w:t>
      </w:r>
      <w:r w:rsidR="00D955F6" w:rsidRPr="0008213C">
        <w:rPr>
          <w:rFonts w:cs="Arial"/>
          <w:lang w:val="en-GB"/>
        </w:rPr>
        <w:t>y 6.9</w:t>
      </w:r>
      <w:r w:rsidR="0086231A" w:rsidRPr="0008213C">
        <w:rPr>
          <w:rFonts w:cs="Arial"/>
          <w:lang w:val="en-GB"/>
        </w:rPr>
        <w:t>%. Th</w:t>
      </w:r>
      <w:r w:rsidR="003D64BC" w:rsidRPr="0008213C">
        <w:rPr>
          <w:rFonts w:cs="Arial"/>
          <w:lang w:val="en-GB"/>
        </w:rPr>
        <w:t>e total value of these orders</w:t>
      </w:r>
      <w:r w:rsidR="00BB0C06" w:rsidRPr="0008213C">
        <w:rPr>
          <w:rFonts w:cs="Arial"/>
          <w:lang w:val="en-GB"/>
        </w:rPr>
        <w:t xml:space="preserve"> in</w:t>
      </w:r>
      <w:r w:rsidR="003D64BC" w:rsidRPr="0008213C">
        <w:rPr>
          <w:rFonts w:cs="Arial"/>
          <w:lang w:val="en-GB"/>
        </w:rPr>
        <w:t xml:space="preserve">creased by </w:t>
      </w:r>
      <w:r w:rsidR="00BB0C06" w:rsidRPr="0008213C">
        <w:rPr>
          <w:rFonts w:cs="Arial"/>
          <w:lang w:val="en-GB"/>
        </w:rPr>
        <w:t>3</w:t>
      </w:r>
      <w:r w:rsidR="003D64BC" w:rsidRPr="0008213C">
        <w:rPr>
          <w:rFonts w:cs="Arial"/>
          <w:lang w:val="en-GB"/>
        </w:rPr>
        <w:t>1</w:t>
      </w:r>
      <w:r w:rsidR="00BB0C06" w:rsidRPr="0008213C">
        <w:rPr>
          <w:rFonts w:cs="Arial"/>
          <w:lang w:val="en-GB"/>
        </w:rPr>
        <w:t>.8</w:t>
      </w:r>
      <w:r w:rsidR="0086231A" w:rsidRPr="0008213C">
        <w:rPr>
          <w:rFonts w:cs="Arial"/>
          <w:lang w:val="en-GB"/>
        </w:rPr>
        <w:t>%, year-on-year, and amounted to CZK</w:t>
      </w:r>
      <w:r w:rsidR="00BB0C06" w:rsidRPr="0008213C">
        <w:rPr>
          <w:rFonts w:cs="Arial"/>
          <w:lang w:val="en-GB"/>
        </w:rPr>
        <w:t> 87.3</w:t>
      </w:r>
      <w:r w:rsidR="003D64BC" w:rsidRPr="0008213C">
        <w:rPr>
          <w:rFonts w:cs="Arial"/>
          <w:lang w:val="en-GB"/>
        </w:rPr>
        <w:t> </w:t>
      </w:r>
      <w:r w:rsidR="0086231A" w:rsidRPr="0008213C">
        <w:rPr>
          <w:rFonts w:cs="Arial"/>
          <w:lang w:val="en-GB"/>
        </w:rPr>
        <w:t xml:space="preserve">billion at current prices. </w:t>
      </w:r>
      <w:r w:rsidR="00E54463" w:rsidRPr="0008213C">
        <w:rPr>
          <w:rFonts w:cs="Arial"/>
          <w:lang w:val="en-GB"/>
        </w:rPr>
        <w:t xml:space="preserve">New construction orders in </w:t>
      </w:r>
      <w:r w:rsidR="00504266" w:rsidRPr="0008213C">
        <w:rPr>
          <w:rFonts w:cs="Arial"/>
          <w:lang w:val="en-GB"/>
        </w:rPr>
        <w:t xml:space="preserve">the </w:t>
      </w:r>
      <w:r w:rsidR="00E54463" w:rsidRPr="0008213C">
        <w:rPr>
          <w:lang w:val="en-GB"/>
        </w:rPr>
        <w:t>building construc</w:t>
      </w:r>
      <w:r w:rsidR="00D225B3" w:rsidRPr="0008213C">
        <w:rPr>
          <w:lang w:val="en-GB"/>
        </w:rPr>
        <w:t>tion reached the value of CZK</w:t>
      </w:r>
      <w:r w:rsidR="0097417D" w:rsidRPr="0008213C">
        <w:rPr>
          <w:lang w:val="en-GB"/>
        </w:rPr>
        <w:t> 45.1 </w:t>
      </w:r>
      <w:r w:rsidR="00E54463" w:rsidRPr="0008213C">
        <w:rPr>
          <w:lang w:val="en-GB"/>
        </w:rPr>
        <w:t xml:space="preserve">billion and </w:t>
      </w:r>
      <w:r w:rsidR="0097417D" w:rsidRPr="0008213C">
        <w:rPr>
          <w:lang w:val="en-GB"/>
        </w:rPr>
        <w:t>increased by 42.4</w:t>
      </w:r>
      <w:r w:rsidR="00E54463" w:rsidRPr="0008213C">
        <w:rPr>
          <w:lang w:val="en-GB"/>
        </w:rPr>
        <w:t>%, year-on-year</w:t>
      </w:r>
      <w:r w:rsidR="0097417D" w:rsidRPr="0008213C">
        <w:rPr>
          <w:lang w:val="en-GB"/>
        </w:rPr>
        <w:t xml:space="preserve">. </w:t>
      </w:r>
      <w:r w:rsidR="00D225B3" w:rsidRPr="0008213C">
        <w:rPr>
          <w:lang w:val="en-GB"/>
        </w:rPr>
        <w:t>T</w:t>
      </w:r>
      <w:r w:rsidR="00504266" w:rsidRPr="0008213C">
        <w:rPr>
          <w:lang w:val="en-GB"/>
        </w:rPr>
        <w:t xml:space="preserve">he </w:t>
      </w:r>
      <w:r w:rsidR="00E54463" w:rsidRPr="0008213C">
        <w:rPr>
          <w:bCs/>
          <w:lang w:val="en-GB"/>
        </w:rPr>
        <w:t xml:space="preserve">civil engineering construction </w:t>
      </w:r>
      <w:r w:rsidR="0097417D" w:rsidRPr="0008213C">
        <w:rPr>
          <w:bCs/>
          <w:lang w:val="en-GB"/>
        </w:rPr>
        <w:t>increased by 22</w:t>
      </w:r>
      <w:r w:rsidR="00A16E84" w:rsidRPr="0008213C">
        <w:rPr>
          <w:bCs/>
          <w:lang w:val="en-GB"/>
        </w:rPr>
        <w:t xml:space="preserve">.0% </w:t>
      </w:r>
      <w:r w:rsidR="0097417D" w:rsidRPr="0008213C">
        <w:rPr>
          <w:bCs/>
          <w:lang w:val="en-GB"/>
        </w:rPr>
        <w:t>(CZK 42.1 </w:t>
      </w:r>
      <w:r w:rsidR="00A16E84" w:rsidRPr="0008213C">
        <w:rPr>
          <w:bCs/>
          <w:lang w:val="en-GB"/>
        </w:rPr>
        <w:t>billion</w:t>
      </w:r>
      <w:r w:rsidR="0097417D" w:rsidRPr="0008213C">
        <w:rPr>
          <w:bCs/>
          <w:lang w:val="en-GB"/>
        </w:rPr>
        <w:t>)</w:t>
      </w:r>
      <w:r w:rsidR="00A16E84" w:rsidRPr="0008213C">
        <w:rPr>
          <w:bCs/>
          <w:lang w:val="en-GB"/>
        </w:rPr>
        <w:t xml:space="preserve">. </w:t>
      </w:r>
      <w:r w:rsidR="00CF3000" w:rsidRPr="0008213C">
        <w:rPr>
          <w:bCs/>
          <w:lang w:val="en-GB"/>
        </w:rPr>
        <w:t>The average value of a</w:t>
      </w:r>
      <w:r w:rsidR="002C0A69" w:rsidRPr="0008213C">
        <w:rPr>
          <w:bCs/>
          <w:lang w:val="en-GB"/>
        </w:rPr>
        <w:t> </w:t>
      </w:r>
      <w:r w:rsidR="00CF3000" w:rsidRPr="0008213C">
        <w:rPr>
          <w:bCs/>
          <w:lang w:val="en-GB"/>
        </w:rPr>
        <w:t>newly concluded cons</w:t>
      </w:r>
      <w:r w:rsidR="00A16E84" w:rsidRPr="0008213C">
        <w:rPr>
          <w:bCs/>
          <w:lang w:val="en-GB"/>
        </w:rPr>
        <w:t>truction order amounted to CZK</w:t>
      </w:r>
      <w:r w:rsidR="002C0A69" w:rsidRPr="0008213C">
        <w:rPr>
          <w:bCs/>
          <w:lang w:val="en-GB"/>
        </w:rPr>
        <w:t> 4</w:t>
      </w:r>
      <w:r w:rsidR="00A16E84" w:rsidRPr="0008213C">
        <w:rPr>
          <w:bCs/>
          <w:lang w:val="en-GB"/>
        </w:rPr>
        <w:t>.6 million</w:t>
      </w:r>
      <w:r w:rsidR="002C0A69" w:rsidRPr="0008213C">
        <w:rPr>
          <w:bCs/>
          <w:lang w:val="en-GB"/>
        </w:rPr>
        <w:t xml:space="preserve"> in the Q1 2024 and it was by 23.2</w:t>
      </w:r>
      <w:r w:rsidR="00CF3000" w:rsidRPr="0008213C">
        <w:rPr>
          <w:bCs/>
          <w:lang w:val="en-GB"/>
        </w:rPr>
        <w:t xml:space="preserve">% </w:t>
      </w:r>
      <w:r w:rsidR="002C0A69" w:rsidRPr="0008213C">
        <w:rPr>
          <w:bCs/>
          <w:lang w:val="en-GB"/>
        </w:rPr>
        <w:t>high</w:t>
      </w:r>
      <w:r w:rsidR="00CF3000" w:rsidRPr="0008213C">
        <w:rPr>
          <w:bCs/>
          <w:lang w:val="en-GB"/>
        </w:rPr>
        <w:t xml:space="preserve">er, year-on-year.  </w:t>
      </w:r>
      <w:r w:rsidR="00E54463" w:rsidRPr="0008213C">
        <w:rPr>
          <w:bCs/>
          <w:lang w:val="en-GB"/>
        </w:rPr>
        <w:t xml:space="preserve"> </w:t>
      </w:r>
      <w:r w:rsidR="0086231A" w:rsidRPr="0008213C">
        <w:rPr>
          <w:rFonts w:cs="Arial"/>
          <w:lang w:val="en-GB"/>
        </w:rPr>
        <w:t xml:space="preserve"> </w:t>
      </w:r>
      <w:r w:rsidR="000A4631" w:rsidRPr="0008213C">
        <w:rPr>
          <w:rFonts w:cs="Arial"/>
          <w:lang w:val="en-GB"/>
        </w:rPr>
        <w:t xml:space="preserve"> </w:t>
      </w:r>
    </w:p>
    <w:p w:rsidR="00741BE4" w:rsidRPr="0008213C" w:rsidRDefault="00741BE4" w:rsidP="00C20C8C">
      <w:pPr>
        <w:spacing w:before="120"/>
        <w:rPr>
          <w:bCs/>
          <w:lang w:val="en-GB"/>
        </w:rPr>
      </w:pPr>
      <w:r w:rsidRPr="0008213C">
        <w:rPr>
          <w:bCs/>
          <w:lang w:val="en-GB"/>
        </w:rPr>
        <w:t xml:space="preserve">The approximate value of constructions permitted in the Q1 2024 reached CZK 140.9 billion and increased by 7.2%, year-on-year (at current prices). It was the highest value for the corresponding period since the year 2000. In the Q1 2024, </w:t>
      </w:r>
      <w:r w:rsidRPr="00FB40B5">
        <w:rPr>
          <w:bCs/>
          <w:lang w:val="en-GB"/>
        </w:rPr>
        <w:t>9 constructions for CZK over 1 billion each were permitted for CZK 34.5 billion in total</w:t>
      </w:r>
      <w:bookmarkStart w:id="0" w:name="_GoBack"/>
      <w:bookmarkEnd w:id="0"/>
      <w:r w:rsidRPr="0008213C">
        <w:rPr>
          <w:bCs/>
          <w:lang w:val="en-GB"/>
        </w:rPr>
        <w:t xml:space="preserve"> and all of the</w:t>
      </w:r>
      <w:r w:rsidR="00341FB9">
        <w:rPr>
          <w:bCs/>
          <w:lang w:val="en-GB"/>
        </w:rPr>
        <w:t xml:space="preserve"> building permits</w:t>
      </w:r>
      <w:r w:rsidRPr="0008213C">
        <w:rPr>
          <w:bCs/>
          <w:lang w:val="en-GB"/>
        </w:rPr>
        <w:t xml:space="preserve"> were</w:t>
      </w:r>
      <w:r w:rsidR="00341FB9">
        <w:rPr>
          <w:bCs/>
          <w:lang w:val="en-GB"/>
        </w:rPr>
        <w:t xml:space="preserve"> for</w:t>
      </w:r>
      <w:r w:rsidRPr="0008213C">
        <w:rPr>
          <w:bCs/>
          <w:lang w:val="en-GB"/>
        </w:rPr>
        <w:t xml:space="preserve"> </w:t>
      </w:r>
      <w:r w:rsidR="0089269E" w:rsidRPr="0008213C">
        <w:rPr>
          <w:bCs/>
          <w:lang w:val="en-GB"/>
        </w:rPr>
        <w:t>new constructions. An increase was recorded as for the value of new constructions (+27.9%) in almost all construction categories</w:t>
      </w:r>
      <w:r w:rsidR="006E5970" w:rsidRPr="0008213C">
        <w:rPr>
          <w:bCs/>
          <w:lang w:val="en-GB"/>
        </w:rPr>
        <w:t xml:space="preserve"> (types)</w:t>
      </w:r>
      <w:r w:rsidR="0089269E" w:rsidRPr="0008213C">
        <w:rPr>
          <w:bCs/>
          <w:lang w:val="en-GB"/>
        </w:rPr>
        <w:t xml:space="preserve">; a year-on-year decrease occurred in transport constructions. </w:t>
      </w:r>
      <w:r w:rsidR="006E5970" w:rsidRPr="0008213C">
        <w:rPr>
          <w:bCs/>
          <w:lang w:val="en-GB"/>
        </w:rPr>
        <w:t>M</w:t>
      </w:r>
      <w:r w:rsidR="006E5970" w:rsidRPr="0008213C">
        <w:rPr>
          <w:lang w:val="en-GB"/>
        </w:rPr>
        <w:t>odifications to completed buildings decreased by a third, year-on-year (-30.2%), namely in almost all construction categories</w:t>
      </w:r>
      <w:r w:rsidR="00341FB9">
        <w:rPr>
          <w:lang w:val="en-GB"/>
        </w:rPr>
        <w:t xml:space="preserve"> (types)</w:t>
      </w:r>
      <w:r w:rsidR="006E5970" w:rsidRPr="0008213C">
        <w:rPr>
          <w:lang w:val="en-GB"/>
        </w:rPr>
        <w:t xml:space="preserve">. </w:t>
      </w:r>
      <w:r w:rsidRPr="0008213C">
        <w:rPr>
          <w:bCs/>
          <w:lang w:val="en-GB"/>
        </w:rPr>
        <w:t xml:space="preserve">Higher investments have been planned in the </w:t>
      </w:r>
      <w:r w:rsidRPr="0008213C">
        <w:rPr>
          <w:rFonts w:cs="Arial"/>
          <w:i/>
          <w:szCs w:val="20"/>
          <w:lang w:val="en-GB"/>
        </w:rPr>
        <w:t>Středočeský</w:t>
      </w:r>
      <w:r w:rsidRPr="0008213C">
        <w:rPr>
          <w:rFonts w:cs="Arial"/>
          <w:szCs w:val="20"/>
          <w:lang w:val="en-GB"/>
        </w:rPr>
        <w:t xml:space="preserve"> Region, </w:t>
      </w:r>
      <w:r w:rsidR="006E5970" w:rsidRPr="0008213C">
        <w:rPr>
          <w:rFonts w:cs="Arial"/>
          <w:szCs w:val="20"/>
          <w:lang w:val="en-GB"/>
        </w:rPr>
        <w:t xml:space="preserve">in Prague, and </w:t>
      </w:r>
      <w:r w:rsidRPr="0008213C">
        <w:rPr>
          <w:rFonts w:cs="Arial"/>
          <w:szCs w:val="20"/>
          <w:lang w:val="en-GB"/>
        </w:rPr>
        <w:t xml:space="preserve">in the </w:t>
      </w:r>
      <w:r w:rsidR="006E5970" w:rsidRPr="0008213C">
        <w:rPr>
          <w:rFonts w:cs="Arial"/>
          <w:i/>
          <w:szCs w:val="20"/>
          <w:lang w:val="en-GB"/>
        </w:rPr>
        <w:t>Moravskoslezský</w:t>
      </w:r>
      <w:r w:rsidRPr="0008213C">
        <w:rPr>
          <w:rFonts w:cs="Arial"/>
          <w:szCs w:val="20"/>
          <w:lang w:val="en-GB"/>
        </w:rPr>
        <w:t xml:space="preserve"> Region.</w:t>
      </w:r>
    </w:p>
    <w:p w:rsidR="00B74C16" w:rsidRPr="0008213C" w:rsidRDefault="005579A0" w:rsidP="00C20C8C">
      <w:pPr>
        <w:spacing w:before="120"/>
        <w:rPr>
          <w:bCs/>
        </w:rPr>
      </w:pPr>
      <w:r w:rsidRPr="0008213C">
        <w:rPr>
          <w:lang w:val="en-GB"/>
        </w:rPr>
        <w:t xml:space="preserve">In the first quarter of 2024, construction of 8 065 dwellings started and the number decreased by 15.1%, year-on-year. It is the lowest value for the first quarter since the year 2019. </w:t>
      </w:r>
      <w:r w:rsidR="003B4349" w:rsidRPr="0008213C">
        <w:rPr>
          <w:lang w:val="en-GB"/>
        </w:rPr>
        <w:t xml:space="preserve">In family houses, the number of dwellings started from January to the end of March decreased by 15.7%, y-o-y, and the development was similar in all </w:t>
      </w:r>
      <w:r w:rsidR="00524007">
        <w:rPr>
          <w:lang w:val="en-GB"/>
        </w:rPr>
        <w:t xml:space="preserve">of </w:t>
      </w:r>
      <w:r w:rsidR="003B4349" w:rsidRPr="0008213C">
        <w:rPr>
          <w:lang w:val="en-GB"/>
        </w:rPr>
        <w:t xml:space="preserve">the months. The numbers of dwellings started in multi-dwelling buildings also increased, year-on-year (+5.9%). A y-o-y decrease also occurred as for conversions of both family houses and </w:t>
      </w:r>
      <w:r w:rsidR="00F82750" w:rsidRPr="0008213C">
        <w:rPr>
          <w:lang w:val="en-GB"/>
        </w:rPr>
        <w:t>multi-dwelling buildings</w:t>
      </w:r>
      <w:r w:rsidR="003B4349" w:rsidRPr="0008213C">
        <w:rPr>
          <w:lang w:val="en-GB"/>
        </w:rPr>
        <w:t>;</w:t>
      </w:r>
      <w:r w:rsidR="0008213C" w:rsidRPr="0008213C">
        <w:rPr>
          <w:lang w:val="en-GB"/>
        </w:rPr>
        <w:t xml:space="preserve"> dwellings started in non-residential buildings decreased by over a third. </w:t>
      </w:r>
      <w:r w:rsidR="00F20005" w:rsidRPr="0008213C">
        <w:rPr>
          <w:lang w:val="en-GB"/>
        </w:rPr>
        <w:t xml:space="preserve">The highest number of dwellings started was in </w:t>
      </w:r>
      <w:r w:rsidR="00F20005" w:rsidRPr="0008213C">
        <w:rPr>
          <w:rFonts w:cs="Arial"/>
          <w:szCs w:val="20"/>
          <w:lang w:val="en-GB"/>
        </w:rPr>
        <w:t>Prague (</w:t>
      </w:r>
      <w:r w:rsidR="00F20005" w:rsidRPr="0008213C">
        <w:rPr>
          <w:lang w:val="en-GB"/>
        </w:rPr>
        <w:t xml:space="preserve">multi-dwelling buildings), in the </w:t>
      </w:r>
      <w:r w:rsidR="00F20005" w:rsidRPr="0008213C">
        <w:rPr>
          <w:rFonts w:cs="Arial"/>
          <w:i/>
          <w:szCs w:val="20"/>
          <w:lang w:val="en-GB"/>
        </w:rPr>
        <w:t>Středočeský</w:t>
      </w:r>
      <w:r w:rsidR="00F20005" w:rsidRPr="0008213C">
        <w:rPr>
          <w:rFonts w:cs="Arial"/>
          <w:szCs w:val="20"/>
          <w:lang w:val="en-GB"/>
        </w:rPr>
        <w:t xml:space="preserve"> Region (predominantly family houses and also multi-dwelling buildings),</w:t>
      </w:r>
      <w:r w:rsidR="0057104F">
        <w:rPr>
          <w:rFonts w:cs="Arial"/>
          <w:szCs w:val="20"/>
          <w:lang w:val="en-GB"/>
        </w:rPr>
        <w:t xml:space="preserve"> and</w:t>
      </w:r>
      <w:r w:rsidR="00F20005" w:rsidRPr="0008213C">
        <w:rPr>
          <w:lang w:val="en-GB"/>
        </w:rPr>
        <w:t xml:space="preserve"> in the </w:t>
      </w:r>
      <w:r w:rsidR="00F20005" w:rsidRPr="0008213C">
        <w:rPr>
          <w:rFonts w:cs="Arial"/>
          <w:i/>
          <w:szCs w:val="20"/>
          <w:lang w:val="en-GB"/>
        </w:rPr>
        <w:t>Jihomoravský</w:t>
      </w:r>
      <w:r w:rsidR="00F20005" w:rsidRPr="0008213C">
        <w:rPr>
          <w:rFonts w:cs="Arial"/>
          <w:szCs w:val="20"/>
          <w:lang w:val="en-GB"/>
        </w:rPr>
        <w:t xml:space="preserve"> Region, where mainly family houses were started.</w:t>
      </w:r>
    </w:p>
    <w:p w:rsidR="00822E41" w:rsidRPr="0008213C" w:rsidRDefault="004750E6" w:rsidP="0005143F">
      <w:pPr>
        <w:spacing w:before="120"/>
        <w:rPr>
          <w:lang w:val="en-GB"/>
        </w:rPr>
      </w:pPr>
      <w:r w:rsidRPr="0008213C">
        <w:rPr>
          <w:lang w:val="en-GB"/>
        </w:rPr>
        <w:lastRenderedPageBreak/>
        <w:t xml:space="preserve">In the Q1 </w:t>
      </w:r>
      <w:r w:rsidR="00172BB6" w:rsidRPr="0008213C">
        <w:rPr>
          <w:lang w:val="en-GB"/>
        </w:rPr>
        <w:t>2024</w:t>
      </w:r>
      <w:r w:rsidRPr="0008213C">
        <w:rPr>
          <w:lang w:val="en-GB"/>
        </w:rPr>
        <w:t xml:space="preserve">, construction of </w:t>
      </w:r>
      <w:r w:rsidR="00822E41" w:rsidRPr="0008213C">
        <w:rPr>
          <w:lang w:val="en-GB"/>
        </w:rPr>
        <w:t>8</w:t>
      </w:r>
      <w:r w:rsidR="005D7763" w:rsidRPr="0008213C">
        <w:rPr>
          <w:lang w:val="en-GB"/>
        </w:rPr>
        <w:t> 0</w:t>
      </w:r>
      <w:r w:rsidR="00822E41" w:rsidRPr="0008213C">
        <w:rPr>
          <w:lang w:val="en-GB"/>
        </w:rPr>
        <w:t>37</w:t>
      </w:r>
      <w:r w:rsidRPr="0008213C">
        <w:rPr>
          <w:lang w:val="en-GB"/>
        </w:rPr>
        <w:t xml:space="preserve"> dwellings </w:t>
      </w:r>
      <w:r w:rsidR="00516089">
        <w:rPr>
          <w:lang w:val="en-GB"/>
        </w:rPr>
        <w:t>was completed</w:t>
      </w:r>
      <w:r w:rsidR="005D7763" w:rsidRPr="0008213C">
        <w:rPr>
          <w:lang w:val="en-GB"/>
        </w:rPr>
        <w:t xml:space="preserve"> and the number de</w:t>
      </w:r>
      <w:r w:rsidRPr="0008213C">
        <w:rPr>
          <w:lang w:val="en-GB"/>
        </w:rPr>
        <w:t xml:space="preserve">creased by </w:t>
      </w:r>
      <w:r w:rsidR="00822E41" w:rsidRPr="0008213C">
        <w:rPr>
          <w:lang w:val="en-GB"/>
        </w:rPr>
        <w:t>2.1</w:t>
      </w:r>
      <w:r w:rsidR="005D7763" w:rsidRPr="0008213C">
        <w:rPr>
          <w:lang w:val="en-GB"/>
        </w:rPr>
        <w:t>%</w:t>
      </w:r>
      <w:r w:rsidRPr="0008213C">
        <w:rPr>
          <w:lang w:val="en-GB"/>
        </w:rPr>
        <w:t>, year-on-year</w:t>
      </w:r>
      <w:r w:rsidR="005D7763" w:rsidRPr="0008213C">
        <w:rPr>
          <w:lang w:val="en-GB"/>
        </w:rPr>
        <w:t xml:space="preserve">. </w:t>
      </w:r>
      <w:r w:rsidR="00F816F6" w:rsidRPr="0008213C">
        <w:rPr>
          <w:lang w:val="en-GB"/>
        </w:rPr>
        <w:t>A year-on-year decrease in the number of completed dwellings mainly occurred in the category of family houses (-10.7%); in multi-dwelling buildings, there was an increase by a tenth. Also in non-residential buildings, the number of completed dwellings increased, y-o-y (+60.7%).</w:t>
      </w:r>
      <w:r w:rsidR="00DD5B3D" w:rsidRPr="0008213C">
        <w:rPr>
          <w:lang w:val="en-GB"/>
        </w:rPr>
        <w:t xml:space="preserve"> </w:t>
      </w:r>
      <w:r w:rsidR="00822E41" w:rsidRPr="0008213C">
        <w:rPr>
          <w:lang w:val="en-GB"/>
        </w:rPr>
        <w:t>The highest number of completions was</w:t>
      </w:r>
      <w:r w:rsidR="00612A54" w:rsidRPr="0008213C">
        <w:rPr>
          <w:rFonts w:cs="Arial"/>
          <w:szCs w:val="20"/>
          <w:lang w:val="en-GB"/>
        </w:rPr>
        <w:t xml:space="preserve"> in Prague,</w:t>
      </w:r>
      <w:r w:rsidR="00822E41" w:rsidRPr="0008213C">
        <w:rPr>
          <w:lang w:val="en-GB"/>
        </w:rPr>
        <w:t xml:space="preserve"> in the </w:t>
      </w:r>
      <w:r w:rsidR="00822E41" w:rsidRPr="0008213C">
        <w:rPr>
          <w:rFonts w:cs="Arial"/>
          <w:i/>
          <w:szCs w:val="20"/>
          <w:lang w:val="en-GB"/>
        </w:rPr>
        <w:t>Středočeský</w:t>
      </w:r>
      <w:r w:rsidR="00822E41" w:rsidRPr="0008213C">
        <w:rPr>
          <w:rFonts w:cs="Arial"/>
          <w:szCs w:val="20"/>
          <w:lang w:val="en-GB"/>
        </w:rPr>
        <w:t xml:space="preserve"> Region</w:t>
      </w:r>
      <w:r w:rsidR="00612A54" w:rsidRPr="0008213C">
        <w:rPr>
          <w:rFonts w:cs="Arial"/>
          <w:szCs w:val="20"/>
          <w:lang w:val="en-GB"/>
        </w:rPr>
        <w:t>,</w:t>
      </w:r>
      <w:r w:rsidR="00822E41" w:rsidRPr="0008213C">
        <w:rPr>
          <w:rFonts w:cs="Arial"/>
          <w:szCs w:val="20"/>
          <w:lang w:val="en-GB"/>
        </w:rPr>
        <w:t xml:space="preserve"> and</w:t>
      </w:r>
      <w:r w:rsidR="00612A54" w:rsidRPr="0008213C">
        <w:rPr>
          <w:rFonts w:cs="Arial"/>
          <w:szCs w:val="20"/>
          <w:lang w:val="en-GB"/>
        </w:rPr>
        <w:t xml:space="preserve"> in the </w:t>
      </w:r>
      <w:r w:rsidR="00612A54" w:rsidRPr="0008213C">
        <w:rPr>
          <w:rFonts w:cs="Arial"/>
          <w:i/>
          <w:szCs w:val="20"/>
          <w:lang w:val="en-GB"/>
        </w:rPr>
        <w:t>Jihomoravský</w:t>
      </w:r>
      <w:r w:rsidR="00612A54" w:rsidRPr="0008213C">
        <w:rPr>
          <w:rFonts w:cs="Arial"/>
          <w:szCs w:val="20"/>
          <w:lang w:val="en-GB"/>
        </w:rPr>
        <w:t xml:space="preserve"> Region. </w:t>
      </w:r>
      <w:r w:rsidR="00822E41" w:rsidRPr="0008213C">
        <w:rPr>
          <w:rFonts w:cs="Arial"/>
          <w:szCs w:val="20"/>
          <w:lang w:val="en-GB"/>
        </w:rPr>
        <w:t xml:space="preserve"> </w:t>
      </w:r>
    </w:p>
    <w:p w:rsidR="00C20C8C" w:rsidRPr="0008213C" w:rsidRDefault="00C20C8C" w:rsidP="00C20C8C">
      <w:pPr>
        <w:spacing w:before="120"/>
        <w:rPr>
          <w:rFonts w:cs="Arial"/>
          <w:szCs w:val="20"/>
        </w:rPr>
      </w:pPr>
    </w:p>
    <w:p w:rsidR="00C20C8C" w:rsidRPr="0008213C" w:rsidRDefault="00B727B7" w:rsidP="00A93FA8">
      <w:pPr>
        <w:pStyle w:val="Poznmky0"/>
        <w:pBdr>
          <w:top w:val="single" w:sz="4" w:space="1" w:color="auto"/>
        </w:pBdr>
        <w:spacing w:before="120" w:line="244" w:lineRule="auto"/>
        <w:rPr>
          <w:i w:val="0"/>
          <w:lang w:val="cs-CZ"/>
        </w:rPr>
      </w:pPr>
      <w:r w:rsidRPr="0008213C">
        <w:rPr>
          <w:lang w:val="cs-CZ"/>
        </w:rPr>
        <w:t>Notes:</w:t>
      </w:r>
      <w:r w:rsidR="00A93FA8" w:rsidRPr="0008213C">
        <w:rPr>
          <w:lang w:val="cs-CZ"/>
        </w:rPr>
        <w:t xml:space="preserve"> </w:t>
      </w:r>
      <w:r w:rsidRPr="0008213C">
        <w:rPr>
          <w:iCs/>
        </w:rPr>
        <w:t xml:space="preserve">The year-on-year development of construction output (production) has been adjusted for working days. </w:t>
      </w:r>
      <w:r w:rsidR="00516486" w:rsidRPr="0008213C">
        <w:rPr>
          <w:iCs/>
        </w:rPr>
        <w:t>Q</w:t>
      </w:r>
      <w:r w:rsidRPr="0008213C">
        <w:rPr>
          <w:iCs/>
        </w:rPr>
        <w:t xml:space="preserve">uarter-on-quarter rates </w:t>
      </w:r>
      <w:r w:rsidR="001F26EB" w:rsidRPr="0008213C">
        <w:rPr>
          <w:iCs/>
        </w:rPr>
        <w:t>have been</w:t>
      </w:r>
      <w:r w:rsidRPr="0008213C">
        <w:rPr>
          <w:iCs/>
        </w:rPr>
        <w:t xml:space="preserve"> seasonally adjusted</w:t>
      </w:r>
      <w:r w:rsidR="00516089">
        <w:rPr>
          <w:iCs/>
        </w:rPr>
        <w:t>, too</w:t>
      </w:r>
      <w:r w:rsidR="00C20C8C" w:rsidRPr="0008213C">
        <w:rPr>
          <w:iCs/>
          <w:lang w:val="cs-CZ"/>
        </w:rPr>
        <w:t xml:space="preserve">. </w:t>
      </w:r>
    </w:p>
    <w:p w:rsidR="00C20C8C" w:rsidRPr="0008213C" w:rsidRDefault="00B727B7" w:rsidP="00C20C8C">
      <w:pPr>
        <w:pStyle w:val="Poznmky0"/>
        <w:pBdr>
          <w:top w:val="none" w:sz="0" w:space="0" w:color="auto"/>
        </w:pBdr>
        <w:spacing w:before="0" w:line="247" w:lineRule="auto"/>
        <w:rPr>
          <w:iCs/>
        </w:rPr>
      </w:pPr>
      <w:r w:rsidRPr="0008213C">
        <w:rPr>
          <w:iCs/>
        </w:rPr>
        <w:t xml:space="preserve">Methodology: </w:t>
      </w:r>
      <w:hyperlink r:id="rId7" w:history="1">
        <w:r w:rsidRPr="0008213C">
          <w:rPr>
            <w:rStyle w:val="Hypertextovodkaz"/>
          </w:rPr>
          <w:t>https://www.czso.cz/csu/czso/sta_m</w:t>
        </w:r>
      </w:hyperlink>
      <w:r w:rsidR="00C20C8C" w:rsidRPr="0008213C">
        <w:rPr>
          <w:iCs/>
        </w:rPr>
        <w:t xml:space="preserve"> </w:t>
      </w:r>
    </w:p>
    <w:p w:rsidR="00C20C8C" w:rsidRPr="0008213C" w:rsidRDefault="00B727B7" w:rsidP="00C20C8C">
      <w:pPr>
        <w:pStyle w:val="Poznmky"/>
        <w:pBdr>
          <w:top w:val="none" w:sz="0" w:space="0" w:color="auto"/>
        </w:pBdr>
        <w:spacing w:before="0" w:line="247" w:lineRule="auto"/>
        <w:ind w:left="2694" w:hanging="2694"/>
        <w:jc w:val="both"/>
        <w:rPr>
          <w:rFonts w:ascii="ArialMT" w:hAnsi="ArialMT"/>
          <w:i/>
        </w:rPr>
      </w:pPr>
      <w:r w:rsidRPr="0008213C">
        <w:rPr>
          <w:i/>
          <w:color w:val="auto"/>
          <w:lang w:val="en-GB"/>
        </w:rPr>
        <w:t>Contact person</w:t>
      </w:r>
      <w:r w:rsidRPr="0008213C">
        <w:rPr>
          <w:i/>
        </w:rPr>
        <w:t>:</w:t>
      </w:r>
      <w:r w:rsidRPr="0008213C">
        <w:rPr>
          <w:i/>
        </w:rPr>
        <w:tab/>
      </w:r>
      <w:r w:rsidR="00C20C8C" w:rsidRPr="0008213C">
        <w:rPr>
          <w:i/>
        </w:rPr>
        <w:t xml:space="preserve">Petra Cuřínová, </w:t>
      </w:r>
      <w:r w:rsidRPr="0008213C">
        <w:rPr>
          <w:i/>
          <w:color w:val="auto"/>
          <w:lang w:val="en-GB"/>
        </w:rPr>
        <w:t xml:space="preserve">Head of the Construction Statistics Unit, phone number: (+420) </w:t>
      </w:r>
      <w:r w:rsidRPr="0008213C">
        <w:rPr>
          <w:i/>
        </w:rPr>
        <w:t>737 280 494</w:t>
      </w:r>
      <w:r w:rsidR="00C20C8C" w:rsidRPr="0008213C">
        <w:rPr>
          <w:i/>
        </w:rPr>
        <w:t xml:space="preserve">, e-mail: </w:t>
      </w:r>
      <w:hyperlink r:id="rId8" w:history="1">
        <w:r w:rsidR="00C20C8C" w:rsidRPr="0008213C">
          <w:rPr>
            <w:rStyle w:val="Hypertextovodkaz"/>
            <w:rFonts w:cs="Arial"/>
            <w:i/>
            <w:color w:val="auto"/>
          </w:rPr>
          <w:t>petra.curinova@czso.cz</w:t>
        </w:r>
      </w:hyperlink>
      <w:r w:rsidR="00C20C8C" w:rsidRPr="0008213C">
        <w:rPr>
          <w:rFonts w:ascii="ArialMT" w:hAnsi="ArialMT"/>
          <w:i/>
        </w:rPr>
        <w:t xml:space="preserve"> </w:t>
      </w:r>
    </w:p>
    <w:p w:rsidR="00C20C8C" w:rsidRPr="0008213C" w:rsidRDefault="00B727B7" w:rsidP="00C20C8C">
      <w:pPr>
        <w:pStyle w:val="Poznmky"/>
        <w:pBdr>
          <w:top w:val="none" w:sz="0" w:space="0" w:color="auto"/>
        </w:pBdr>
        <w:spacing w:before="0" w:line="247" w:lineRule="auto"/>
        <w:ind w:left="2694" w:hanging="2694"/>
        <w:jc w:val="both"/>
        <w:rPr>
          <w:i/>
        </w:rPr>
      </w:pPr>
      <w:r w:rsidRPr="0008213C">
        <w:rPr>
          <w:i/>
          <w:color w:val="auto"/>
          <w:lang w:val="en-GB"/>
        </w:rPr>
        <w:t>Related outputs</w:t>
      </w:r>
      <w:r w:rsidR="00C20C8C" w:rsidRPr="0008213C">
        <w:rPr>
          <w:i/>
          <w:color w:val="auto"/>
        </w:rPr>
        <w:t>:</w:t>
      </w:r>
      <w:r w:rsidR="00C20C8C" w:rsidRPr="0008213C">
        <w:rPr>
          <w:i/>
          <w:color w:val="auto"/>
        </w:rPr>
        <w:tab/>
      </w:r>
      <w:hyperlink r:id="rId9" w:history="1">
        <w:r w:rsidRPr="0008213C">
          <w:rPr>
            <w:rStyle w:val="Hypertextovodkaz"/>
            <w:i/>
          </w:rPr>
          <w:t>https://www.czso.cz/csu/czso/sta_ts</w:t>
        </w:r>
      </w:hyperlink>
      <w:r w:rsidR="00C20C8C" w:rsidRPr="0008213C">
        <w:rPr>
          <w:rFonts w:cs="Arial"/>
          <w:i/>
        </w:rPr>
        <w:t xml:space="preserve"> </w:t>
      </w:r>
      <w:r w:rsidR="00C20C8C" w:rsidRPr="0008213C">
        <w:rPr>
          <w:i/>
          <w:color w:val="auto"/>
        </w:rPr>
        <w:t xml:space="preserve">   </w:t>
      </w:r>
      <w:hyperlink r:id="rId10" w:history="1">
        <w:r w:rsidRPr="0008213C">
          <w:rPr>
            <w:rStyle w:val="Hypertextovodkaz"/>
            <w:i/>
          </w:rPr>
          <w:t>https://www.czso.cz/csu/czso/bvz_ts</w:t>
        </w:r>
      </w:hyperlink>
    </w:p>
    <w:p w:rsidR="00C20C8C" w:rsidRDefault="00C20C8C" w:rsidP="00C20C8C">
      <w:pPr>
        <w:pStyle w:val="Poznmky"/>
        <w:pBdr>
          <w:top w:val="none" w:sz="0" w:space="0" w:color="auto"/>
        </w:pBdr>
        <w:spacing w:before="0" w:line="247" w:lineRule="auto"/>
        <w:ind w:left="2694" w:hanging="2694"/>
        <w:jc w:val="both"/>
        <w:rPr>
          <w:i/>
        </w:rPr>
      </w:pPr>
      <w:r w:rsidRPr="0008213C">
        <w:rPr>
          <w:i/>
        </w:rPr>
        <w:tab/>
      </w:r>
      <w:r w:rsidR="00B727B7" w:rsidRPr="0008213C">
        <w:rPr>
          <w:i/>
          <w:color w:val="auto"/>
          <w:lang w:val="fr-FR"/>
        </w:rPr>
        <w:t>international comparison in EU countries</w:t>
      </w:r>
      <w:r w:rsidR="00B727B7" w:rsidRPr="0008213C">
        <w:rPr>
          <w:i/>
          <w:color w:val="auto"/>
        </w:rPr>
        <w:t xml:space="preserve">: </w:t>
      </w:r>
      <w:hyperlink r:id="rId11" w:history="1">
        <w:r w:rsidR="00B727B7" w:rsidRPr="0008213C">
          <w:rPr>
            <w:rStyle w:val="Hypertextovodkaz"/>
            <w:i/>
          </w:rPr>
          <w:t>Eurostat</w:t>
        </w:r>
      </w:hyperlink>
    </w:p>
    <w:p w:rsidR="00D209A7" w:rsidRPr="00C20C8C" w:rsidRDefault="00D209A7" w:rsidP="00C20C8C"/>
    <w:sectPr w:rsidR="00D209A7" w:rsidRPr="00C20C8C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314" w:rsidRDefault="00B23314" w:rsidP="00BA6370">
      <w:r>
        <w:separator/>
      </w:r>
    </w:p>
  </w:endnote>
  <w:endnote w:type="continuationSeparator" w:id="0">
    <w:p w:rsidR="00B23314" w:rsidRDefault="00B2331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E41" w:rsidRDefault="00822E41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22E41" w:rsidRPr="00D52A09" w:rsidRDefault="00822E41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822E41" w:rsidRDefault="00822E41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822E41" w:rsidRPr="00D52A09" w:rsidRDefault="00822E41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:rsidR="00822E41" w:rsidRPr="000172E7" w:rsidRDefault="00822E41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tel: +420 </w:t>
                          </w:r>
                          <w:r w:rsidRPr="000B6773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953416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B40B5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822E41" w:rsidRPr="00D52A09" w:rsidRDefault="00822E41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822E41" w:rsidRDefault="00822E41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822E41" w:rsidRPr="00D52A09" w:rsidRDefault="00822E41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:rsidR="00822E41" w:rsidRPr="000172E7" w:rsidRDefault="00822E41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tel: +420 </w:t>
                    </w:r>
                    <w:r w:rsidRPr="000B6773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953416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B40B5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95A249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314" w:rsidRDefault="00B23314" w:rsidP="00BA6370">
      <w:r>
        <w:separator/>
      </w:r>
    </w:p>
  </w:footnote>
  <w:footnote w:type="continuationSeparator" w:id="0">
    <w:p w:rsidR="00B23314" w:rsidRDefault="00B2331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E41" w:rsidRDefault="00822E41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6D3B96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EB6"/>
    <w:rsid w:val="00007F50"/>
    <w:rsid w:val="0001353A"/>
    <w:rsid w:val="0001565C"/>
    <w:rsid w:val="000206BF"/>
    <w:rsid w:val="00030D5A"/>
    <w:rsid w:val="00033596"/>
    <w:rsid w:val="00043BF4"/>
    <w:rsid w:val="0005143F"/>
    <w:rsid w:val="00064B01"/>
    <w:rsid w:val="00066897"/>
    <w:rsid w:val="0008213C"/>
    <w:rsid w:val="000843A5"/>
    <w:rsid w:val="00091722"/>
    <w:rsid w:val="000A4631"/>
    <w:rsid w:val="000B6773"/>
    <w:rsid w:val="000B6F63"/>
    <w:rsid w:val="000D63CD"/>
    <w:rsid w:val="000E1C04"/>
    <w:rsid w:val="000F0A12"/>
    <w:rsid w:val="001026B7"/>
    <w:rsid w:val="00116ED1"/>
    <w:rsid w:val="00123849"/>
    <w:rsid w:val="0013242C"/>
    <w:rsid w:val="0013359B"/>
    <w:rsid w:val="001404AB"/>
    <w:rsid w:val="001542AF"/>
    <w:rsid w:val="00164AB0"/>
    <w:rsid w:val="00165268"/>
    <w:rsid w:val="00167F1C"/>
    <w:rsid w:val="0017231D"/>
    <w:rsid w:val="00172BB6"/>
    <w:rsid w:val="001747BB"/>
    <w:rsid w:val="00176E26"/>
    <w:rsid w:val="0018061F"/>
    <w:rsid w:val="001810DC"/>
    <w:rsid w:val="001A7A6B"/>
    <w:rsid w:val="001B209B"/>
    <w:rsid w:val="001B431E"/>
    <w:rsid w:val="001B607F"/>
    <w:rsid w:val="001C627E"/>
    <w:rsid w:val="001C71FD"/>
    <w:rsid w:val="001D369A"/>
    <w:rsid w:val="001D43AF"/>
    <w:rsid w:val="001D7422"/>
    <w:rsid w:val="001E7CE6"/>
    <w:rsid w:val="001F08B3"/>
    <w:rsid w:val="001F26EB"/>
    <w:rsid w:val="001F47D7"/>
    <w:rsid w:val="00203A3A"/>
    <w:rsid w:val="002070FB"/>
    <w:rsid w:val="00213729"/>
    <w:rsid w:val="002406FA"/>
    <w:rsid w:val="00244FD3"/>
    <w:rsid w:val="002613FD"/>
    <w:rsid w:val="0026296D"/>
    <w:rsid w:val="00295497"/>
    <w:rsid w:val="00297900"/>
    <w:rsid w:val="002A3BCD"/>
    <w:rsid w:val="002B2E47"/>
    <w:rsid w:val="002B793D"/>
    <w:rsid w:val="002C0A69"/>
    <w:rsid w:val="002D37F5"/>
    <w:rsid w:val="002F3371"/>
    <w:rsid w:val="0032398D"/>
    <w:rsid w:val="003301A3"/>
    <w:rsid w:val="00341FB9"/>
    <w:rsid w:val="00343C13"/>
    <w:rsid w:val="003455B8"/>
    <w:rsid w:val="00360BE8"/>
    <w:rsid w:val="0036777B"/>
    <w:rsid w:val="00372ADD"/>
    <w:rsid w:val="00380178"/>
    <w:rsid w:val="003813E5"/>
    <w:rsid w:val="0038282A"/>
    <w:rsid w:val="00397580"/>
    <w:rsid w:val="003A0672"/>
    <w:rsid w:val="003A45C8"/>
    <w:rsid w:val="003B4349"/>
    <w:rsid w:val="003B7F42"/>
    <w:rsid w:val="003C2DCF"/>
    <w:rsid w:val="003C3372"/>
    <w:rsid w:val="003C7FE7"/>
    <w:rsid w:val="003D0499"/>
    <w:rsid w:val="003D3576"/>
    <w:rsid w:val="003D64BC"/>
    <w:rsid w:val="003E4764"/>
    <w:rsid w:val="003E6754"/>
    <w:rsid w:val="003F2E53"/>
    <w:rsid w:val="003F526A"/>
    <w:rsid w:val="00405244"/>
    <w:rsid w:val="00406918"/>
    <w:rsid w:val="00433AC8"/>
    <w:rsid w:val="00436D82"/>
    <w:rsid w:val="004436EE"/>
    <w:rsid w:val="0044607E"/>
    <w:rsid w:val="0045547F"/>
    <w:rsid w:val="00456978"/>
    <w:rsid w:val="004750E6"/>
    <w:rsid w:val="004812CB"/>
    <w:rsid w:val="00484608"/>
    <w:rsid w:val="00484D05"/>
    <w:rsid w:val="004920AD"/>
    <w:rsid w:val="00495F69"/>
    <w:rsid w:val="0049674A"/>
    <w:rsid w:val="004A4ECE"/>
    <w:rsid w:val="004B0C59"/>
    <w:rsid w:val="004D05B3"/>
    <w:rsid w:val="004E479E"/>
    <w:rsid w:val="004F78E6"/>
    <w:rsid w:val="00504266"/>
    <w:rsid w:val="00512D99"/>
    <w:rsid w:val="00516089"/>
    <w:rsid w:val="00516486"/>
    <w:rsid w:val="00521D80"/>
    <w:rsid w:val="00524007"/>
    <w:rsid w:val="00531B77"/>
    <w:rsid w:val="00531DBB"/>
    <w:rsid w:val="005463DA"/>
    <w:rsid w:val="005579A0"/>
    <w:rsid w:val="00564213"/>
    <w:rsid w:val="0057104F"/>
    <w:rsid w:val="00586242"/>
    <w:rsid w:val="005A184E"/>
    <w:rsid w:val="005A651C"/>
    <w:rsid w:val="005C31E9"/>
    <w:rsid w:val="005D61A9"/>
    <w:rsid w:val="005D7763"/>
    <w:rsid w:val="005E239B"/>
    <w:rsid w:val="005F79FB"/>
    <w:rsid w:val="00604406"/>
    <w:rsid w:val="00605B85"/>
    <w:rsid w:val="00605F4A"/>
    <w:rsid w:val="00607822"/>
    <w:rsid w:val="006103AA"/>
    <w:rsid w:val="00612A54"/>
    <w:rsid w:val="00612E3B"/>
    <w:rsid w:val="00613BBF"/>
    <w:rsid w:val="00613ED6"/>
    <w:rsid w:val="00622B80"/>
    <w:rsid w:val="00634F23"/>
    <w:rsid w:val="0064139A"/>
    <w:rsid w:val="006509B0"/>
    <w:rsid w:val="0065450B"/>
    <w:rsid w:val="00691236"/>
    <w:rsid w:val="00694D34"/>
    <w:rsid w:val="006A6770"/>
    <w:rsid w:val="006D5C60"/>
    <w:rsid w:val="006E024F"/>
    <w:rsid w:val="006E4E81"/>
    <w:rsid w:val="006E5970"/>
    <w:rsid w:val="00702A95"/>
    <w:rsid w:val="00707F7D"/>
    <w:rsid w:val="00717EC5"/>
    <w:rsid w:val="00741BE4"/>
    <w:rsid w:val="00744F9F"/>
    <w:rsid w:val="007508DF"/>
    <w:rsid w:val="00755D8B"/>
    <w:rsid w:val="00757426"/>
    <w:rsid w:val="00763787"/>
    <w:rsid w:val="00774854"/>
    <w:rsid w:val="00784615"/>
    <w:rsid w:val="00793D5F"/>
    <w:rsid w:val="007A0CA5"/>
    <w:rsid w:val="007A57F2"/>
    <w:rsid w:val="007A6045"/>
    <w:rsid w:val="007B1333"/>
    <w:rsid w:val="007C4A5D"/>
    <w:rsid w:val="007D3BD6"/>
    <w:rsid w:val="007E46FD"/>
    <w:rsid w:val="007F4AEB"/>
    <w:rsid w:val="007F75B2"/>
    <w:rsid w:val="0080061C"/>
    <w:rsid w:val="008043C4"/>
    <w:rsid w:val="00806A1C"/>
    <w:rsid w:val="00822E41"/>
    <w:rsid w:val="00831B1B"/>
    <w:rsid w:val="00841039"/>
    <w:rsid w:val="008464AF"/>
    <w:rsid w:val="00855FB3"/>
    <w:rsid w:val="00861D0E"/>
    <w:rsid w:val="0086231A"/>
    <w:rsid w:val="00866688"/>
    <w:rsid w:val="00867569"/>
    <w:rsid w:val="00877BB2"/>
    <w:rsid w:val="0088224F"/>
    <w:rsid w:val="00885C0D"/>
    <w:rsid w:val="0089269E"/>
    <w:rsid w:val="008A750A"/>
    <w:rsid w:val="008B3970"/>
    <w:rsid w:val="008C384C"/>
    <w:rsid w:val="008C748C"/>
    <w:rsid w:val="008D0F11"/>
    <w:rsid w:val="008D5831"/>
    <w:rsid w:val="008F40D4"/>
    <w:rsid w:val="008F73B4"/>
    <w:rsid w:val="00902BA7"/>
    <w:rsid w:val="009035E8"/>
    <w:rsid w:val="009173EF"/>
    <w:rsid w:val="009317E9"/>
    <w:rsid w:val="009416D8"/>
    <w:rsid w:val="0094348E"/>
    <w:rsid w:val="00953416"/>
    <w:rsid w:val="00955183"/>
    <w:rsid w:val="00971374"/>
    <w:rsid w:val="0097417D"/>
    <w:rsid w:val="009B55B1"/>
    <w:rsid w:val="009C4D55"/>
    <w:rsid w:val="009E39C5"/>
    <w:rsid w:val="00A07BA7"/>
    <w:rsid w:val="00A160F0"/>
    <w:rsid w:val="00A16E84"/>
    <w:rsid w:val="00A17409"/>
    <w:rsid w:val="00A35AD1"/>
    <w:rsid w:val="00A4343D"/>
    <w:rsid w:val="00A457B3"/>
    <w:rsid w:val="00A502F1"/>
    <w:rsid w:val="00A63B9A"/>
    <w:rsid w:val="00A66340"/>
    <w:rsid w:val="00A70A83"/>
    <w:rsid w:val="00A81EB3"/>
    <w:rsid w:val="00A93FA8"/>
    <w:rsid w:val="00AB50F3"/>
    <w:rsid w:val="00AB5A31"/>
    <w:rsid w:val="00AB6196"/>
    <w:rsid w:val="00AC3140"/>
    <w:rsid w:val="00AE0EEE"/>
    <w:rsid w:val="00AE524C"/>
    <w:rsid w:val="00B00C1D"/>
    <w:rsid w:val="00B06844"/>
    <w:rsid w:val="00B2096E"/>
    <w:rsid w:val="00B230D7"/>
    <w:rsid w:val="00B23314"/>
    <w:rsid w:val="00B3443E"/>
    <w:rsid w:val="00B50D14"/>
    <w:rsid w:val="00B632CC"/>
    <w:rsid w:val="00B727B7"/>
    <w:rsid w:val="00B74C16"/>
    <w:rsid w:val="00B8176F"/>
    <w:rsid w:val="00BA12F1"/>
    <w:rsid w:val="00BA439F"/>
    <w:rsid w:val="00BA6370"/>
    <w:rsid w:val="00BB0C06"/>
    <w:rsid w:val="00BC42DB"/>
    <w:rsid w:val="00BE7293"/>
    <w:rsid w:val="00C20C8C"/>
    <w:rsid w:val="00C269D4"/>
    <w:rsid w:val="00C37565"/>
    <w:rsid w:val="00C379BA"/>
    <w:rsid w:val="00C4160D"/>
    <w:rsid w:val="00C8406E"/>
    <w:rsid w:val="00C87220"/>
    <w:rsid w:val="00CA0648"/>
    <w:rsid w:val="00CA6101"/>
    <w:rsid w:val="00CB0D22"/>
    <w:rsid w:val="00CB2709"/>
    <w:rsid w:val="00CB6F89"/>
    <w:rsid w:val="00CD01C9"/>
    <w:rsid w:val="00CE228C"/>
    <w:rsid w:val="00CE233F"/>
    <w:rsid w:val="00CE71D9"/>
    <w:rsid w:val="00CF3000"/>
    <w:rsid w:val="00CF510F"/>
    <w:rsid w:val="00CF545B"/>
    <w:rsid w:val="00CF7302"/>
    <w:rsid w:val="00D002DF"/>
    <w:rsid w:val="00D01376"/>
    <w:rsid w:val="00D209A7"/>
    <w:rsid w:val="00D225B3"/>
    <w:rsid w:val="00D2685D"/>
    <w:rsid w:val="00D27D69"/>
    <w:rsid w:val="00D448C2"/>
    <w:rsid w:val="00D52612"/>
    <w:rsid w:val="00D666C3"/>
    <w:rsid w:val="00D71A7C"/>
    <w:rsid w:val="00D811AB"/>
    <w:rsid w:val="00D906D3"/>
    <w:rsid w:val="00D955F6"/>
    <w:rsid w:val="00D95A34"/>
    <w:rsid w:val="00DB547E"/>
    <w:rsid w:val="00DD5B3D"/>
    <w:rsid w:val="00DF33CD"/>
    <w:rsid w:val="00DF47FE"/>
    <w:rsid w:val="00DF62B8"/>
    <w:rsid w:val="00E0156A"/>
    <w:rsid w:val="00E1630A"/>
    <w:rsid w:val="00E2198E"/>
    <w:rsid w:val="00E26704"/>
    <w:rsid w:val="00E31980"/>
    <w:rsid w:val="00E33B24"/>
    <w:rsid w:val="00E533C9"/>
    <w:rsid w:val="00E537AB"/>
    <w:rsid w:val="00E54463"/>
    <w:rsid w:val="00E634BC"/>
    <w:rsid w:val="00E6423C"/>
    <w:rsid w:val="00E71483"/>
    <w:rsid w:val="00E93830"/>
    <w:rsid w:val="00E93E0E"/>
    <w:rsid w:val="00EB1A25"/>
    <w:rsid w:val="00EB1ED3"/>
    <w:rsid w:val="00EE70B7"/>
    <w:rsid w:val="00EE758E"/>
    <w:rsid w:val="00F0433E"/>
    <w:rsid w:val="00F15ACE"/>
    <w:rsid w:val="00F20005"/>
    <w:rsid w:val="00F2593E"/>
    <w:rsid w:val="00F314B7"/>
    <w:rsid w:val="00F37EB6"/>
    <w:rsid w:val="00F45AB9"/>
    <w:rsid w:val="00F53E00"/>
    <w:rsid w:val="00F6518D"/>
    <w:rsid w:val="00F7342C"/>
    <w:rsid w:val="00F77E02"/>
    <w:rsid w:val="00F816F6"/>
    <w:rsid w:val="00F82750"/>
    <w:rsid w:val="00F83C49"/>
    <w:rsid w:val="00F84429"/>
    <w:rsid w:val="00FA5968"/>
    <w:rsid w:val="00FB40B5"/>
    <w:rsid w:val="00FB687C"/>
    <w:rsid w:val="00FE114D"/>
    <w:rsid w:val="00FF05CA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05E333AF-0FF6-40DB-B320-F3E5AD532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C20C8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  <w:rPr>
      <w:lang w:val="en-GB"/>
    </w:r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  <w:rPr>
      <w:lang w:val="en-GB"/>
    </w:r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en-GB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  <w:lang w:val="en-GB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3">
    <w:name w:val="Body Text 3"/>
    <w:basedOn w:val="Normln"/>
    <w:link w:val="Zkladntext3Char"/>
    <w:semiHidden/>
    <w:unhideWhenUsed/>
    <w:rsid w:val="000D63CD"/>
    <w:pPr>
      <w:spacing w:line="240" w:lineRule="auto"/>
    </w:pPr>
    <w:rPr>
      <w:rFonts w:eastAsia="Times New Roman" w:cs="Arial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semiHidden/>
    <w:rsid w:val="000D63CD"/>
    <w:rPr>
      <w:rFonts w:ascii="Arial" w:eastAsia="Times New Roman" w:hAnsi="Arial" w:cs="Arial"/>
    </w:rPr>
  </w:style>
  <w:style w:type="paragraph" w:customStyle="1" w:styleId="datum0">
    <w:name w:val="datum"/>
    <w:next w:val="Normln"/>
    <w:rsid w:val="000D63CD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0D63CD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</w:rPr>
  </w:style>
  <w:style w:type="character" w:styleId="Sledovanodkaz">
    <w:name w:val="FollowedHyperlink"/>
    <w:basedOn w:val="Standardnpsmoodstavce"/>
    <w:uiPriority w:val="99"/>
    <w:semiHidden/>
    <w:unhideWhenUsed/>
    <w:rsid w:val="009317E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a.curinova@czso.cz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sta_m" TargetMode="Externa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ec.europa.eu/eurostat/web/short-term-business-statistics/publication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bvz_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sta_ts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E7A58C6-D97A-4D12-A4D4-8E5D851C58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3E1F894-29EC-4139-AF4F-62A5DD534B40}"/>
</file>

<file path=customXml/itemProps3.xml><?xml version="1.0" encoding="utf-8"?>
<ds:datastoreItem xmlns:ds="http://schemas.openxmlformats.org/officeDocument/2006/customXml" ds:itemID="{98E5F087-FBF6-401F-8C3A-C0EA88BD2198}"/>
</file>

<file path=customXml/itemProps4.xml><?xml version="1.0" encoding="utf-8"?>
<ds:datastoreItem xmlns:ds="http://schemas.openxmlformats.org/officeDocument/2006/customXml" ds:itemID="{0CEF7056-A6C7-4640-9145-9274CF80C6A4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ENG_2022-02-08.dotx</Template>
  <TotalTime>0</TotalTime>
  <Pages>2</Pages>
  <Words>619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4266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Cuřínová Petra</cp:lastModifiedBy>
  <cp:revision>2</cp:revision>
  <dcterms:created xsi:type="dcterms:W3CDTF">2024-05-06T08:02:00Z</dcterms:created>
  <dcterms:modified xsi:type="dcterms:W3CDTF">2024-05-06T08:02:00Z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