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591470">
        <w:rPr>
          <w:rFonts w:cs="Arial"/>
          <w:b/>
          <w:i w:val="0"/>
        </w:rPr>
        <w:t>1</w:t>
      </w:r>
      <w:r w:rsidRPr="00B3645D">
        <w:rPr>
          <w:rFonts w:cs="Arial"/>
          <w:b/>
          <w:i w:val="0"/>
        </w:rPr>
        <w:t xml:space="preserve">. </w:t>
      </w:r>
      <w:r w:rsidR="007A2313">
        <w:rPr>
          <w:rFonts w:cs="Arial"/>
          <w:b/>
          <w:i w:val="0"/>
        </w:rPr>
        <w:t>1</w:t>
      </w:r>
      <w:r w:rsidR="00591470">
        <w:rPr>
          <w:rFonts w:cs="Arial"/>
          <w:b/>
          <w:i w:val="0"/>
        </w:rPr>
        <w:t>. 2023</w:t>
      </w:r>
    </w:p>
    <w:p w:rsidR="004936F3" w:rsidRPr="001A6012" w:rsidRDefault="00591470" w:rsidP="00BF083E">
      <w:pPr>
        <w:pStyle w:val="Nzev"/>
        <w:rPr>
          <w:rFonts w:cs="Arial"/>
        </w:rPr>
      </w:pPr>
      <w:r>
        <w:rPr>
          <w:rFonts w:cs="Arial"/>
        </w:rPr>
        <w:t>Průměrná míra inflace v roce 2022 byla 15,1 %</w:t>
      </w:r>
    </w:p>
    <w:p w:rsidR="00BF083E" w:rsidRPr="001A6012" w:rsidRDefault="00BF083E" w:rsidP="00BF083E">
      <w:pPr>
        <w:pStyle w:val="Podtitulek"/>
        <w:rPr>
          <w:rFonts w:cs="Arial"/>
        </w:rPr>
      </w:pPr>
      <w:r w:rsidRPr="001A6012">
        <w:rPr>
          <w:rFonts w:cs="Arial"/>
        </w:rPr>
        <w:t xml:space="preserve">Indexy spotřebitelských cen – inflace – </w:t>
      </w:r>
      <w:r w:rsidR="00591470">
        <w:rPr>
          <w:rFonts w:cs="Arial"/>
        </w:rPr>
        <w:t>prosinec</w:t>
      </w:r>
      <w:r w:rsidRPr="001A6012">
        <w:rPr>
          <w:rFonts w:cs="Arial"/>
        </w:rPr>
        <w:t xml:space="preserve"> 2022</w:t>
      </w:r>
    </w:p>
    <w:p w:rsidR="00882841" w:rsidRPr="001A6012" w:rsidRDefault="000362D1" w:rsidP="00DD4406">
      <w:pPr>
        <w:pStyle w:val="Perex"/>
      </w:pPr>
      <w:r>
        <w:t>Celková úroveň spotřebitelských cen</w:t>
      </w:r>
      <w:r w:rsidRPr="00560E9F">
        <w:t xml:space="preserve"> </w:t>
      </w:r>
      <w:r>
        <w:t xml:space="preserve">zůstala </w:t>
      </w:r>
      <w:r w:rsidRPr="00560E9F">
        <w:t>v</w:t>
      </w:r>
      <w:r>
        <w:t xml:space="preserve"> prosinci stejná jako v listopadu (meziměsíční změna 0,0 %). </w:t>
      </w:r>
      <w:r w:rsidR="001C238B">
        <w:t>Pokles cen především v oddíle doprava byl kompenzován růstem cen zejména</w:t>
      </w:r>
      <w:r w:rsidR="00D0788C">
        <w:t xml:space="preserve"> v oddílech bydlení, rekreace a </w:t>
      </w:r>
      <w:r w:rsidR="001C238B">
        <w:t>kultura a</w:t>
      </w:r>
      <w:r w:rsidR="00D0788C">
        <w:t> </w:t>
      </w:r>
      <w:r w:rsidR="001C238B">
        <w:t xml:space="preserve">v oddíle </w:t>
      </w:r>
      <w:r w:rsidR="005A49AE">
        <w:t>potraviny a </w:t>
      </w:r>
      <w:r w:rsidR="001C238B">
        <w:t xml:space="preserve">nealkoholické nápoje. </w:t>
      </w:r>
      <w:r w:rsidR="00BF083E" w:rsidRPr="001A6012">
        <w:rPr>
          <w:spacing w:val="-4"/>
        </w:rPr>
        <w:t>Meziročně vzrostly spotřebitelské ceny v</w:t>
      </w:r>
      <w:r w:rsidR="00DD4406" w:rsidRPr="001A6012">
        <w:rPr>
          <w:spacing w:val="-4"/>
        </w:rPr>
        <w:t> </w:t>
      </w:r>
      <w:r w:rsidR="00591470">
        <w:rPr>
          <w:spacing w:val="-4"/>
        </w:rPr>
        <w:t>prosinci</w:t>
      </w:r>
      <w:r w:rsidR="00DD4406" w:rsidRPr="001A6012">
        <w:rPr>
          <w:spacing w:val="-4"/>
        </w:rPr>
        <w:t xml:space="preserve"> </w:t>
      </w:r>
      <w:r w:rsidR="00BF083E" w:rsidRPr="001C238B">
        <w:t>o </w:t>
      </w:r>
      <w:r w:rsidR="00A367BE" w:rsidRPr="001C238B">
        <w:t>1</w:t>
      </w:r>
      <w:r w:rsidR="00591470" w:rsidRPr="001C238B">
        <w:t>5,8</w:t>
      </w:r>
      <w:r w:rsidR="00A367BE" w:rsidRPr="001C238B">
        <w:t> </w:t>
      </w:r>
      <w:r w:rsidR="00BF083E" w:rsidRPr="001C238B">
        <w:t>%, což bylo</w:t>
      </w:r>
      <w:r w:rsidR="00DD4406" w:rsidRPr="001C238B">
        <w:t xml:space="preserve"> </w:t>
      </w:r>
      <w:r w:rsidR="00BF083E" w:rsidRPr="001C238B">
        <w:t>o </w:t>
      </w:r>
      <w:r w:rsidR="00591470" w:rsidRPr="001C238B">
        <w:t>0,4</w:t>
      </w:r>
      <w:r w:rsidR="00E751F5" w:rsidRPr="001A6012">
        <w:t xml:space="preserve"> procentního bodu </w:t>
      </w:r>
      <w:r w:rsidR="00591470">
        <w:t>méně</w:t>
      </w:r>
      <w:r w:rsidR="00D0788C">
        <w:t xml:space="preserve"> než </w:t>
      </w:r>
      <w:r w:rsidR="00BF083E" w:rsidRPr="001A6012">
        <w:t>v </w:t>
      </w:r>
      <w:r w:rsidR="00591470">
        <w:t>listopadu</w:t>
      </w:r>
      <w:r w:rsidR="00BF083E" w:rsidRPr="001A6012">
        <w:t>.</w:t>
      </w:r>
      <w:r w:rsidR="00591470">
        <w:t xml:space="preserve"> Průměrná míra inflace za celý rok 2022 </w:t>
      </w:r>
      <w:r w:rsidR="00591470" w:rsidRPr="0070699C">
        <w:t>byla</w:t>
      </w:r>
      <w:r w:rsidR="00591470">
        <w:t> 15,1 %.</w:t>
      </w:r>
    </w:p>
    <w:p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Meziměsíční srovnání</w:t>
      </w:r>
    </w:p>
    <w:p w:rsidR="009A2AB6" w:rsidRDefault="00BF083E" w:rsidP="00F7126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1A6012">
        <w:rPr>
          <w:rFonts w:cs="Arial"/>
          <w:i w:val="0"/>
          <w:sz w:val="20"/>
          <w:szCs w:val="20"/>
        </w:rPr>
        <w:t>Meziměsíčně</w:t>
      </w:r>
      <w:r w:rsidR="005A49AE">
        <w:rPr>
          <w:rFonts w:cs="Arial"/>
          <w:i w:val="0"/>
          <w:sz w:val="20"/>
          <w:szCs w:val="20"/>
        </w:rPr>
        <w:t xml:space="preserve"> se celková cenová hladina v prosinci nezměnila</w:t>
      </w:r>
      <w:r w:rsidR="009E6AB0" w:rsidRPr="001A6012">
        <w:rPr>
          <w:rFonts w:cs="Arial"/>
          <w:i w:val="0"/>
          <w:sz w:val="20"/>
          <w:szCs w:val="20"/>
        </w:rPr>
        <w:t>.</w:t>
      </w:r>
      <w:r w:rsidR="00D0788C">
        <w:rPr>
          <w:rFonts w:cs="Arial"/>
          <w:i w:val="0"/>
          <w:sz w:val="20"/>
          <w:szCs w:val="20"/>
        </w:rPr>
        <w:t xml:space="preserve"> Cenový vývoj byl však v </w:t>
      </w:r>
      <w:r w:rsidR="005A49AE">
        <w:rPr>
          <w:rFonts w:cs="Arial"/>
          <w:i w:val="0"/>
          <w:sz w:val="20"/>
          <w:szCs w:val="20"/>
        </w:rPr>
        <w:t xml:space="preserve">jednotlivých oddílech spotřebního koše odlišný. </w:t>
      </w:r>
      <w:r w:rsidR="008D6DE7">
        <w:rPr>
          <w:rFonts w:eastAsia="Calibri" w:cs="Arial"/>
          <w:i w:val="0"/>
          <w:iCs w:val="0"/>
          <w:sz w:val="20"/>
          <w:szCs w:val="20"/>
        </w:rPr>
        <w:t>V</w:t>
      </w:r>
      <w:r w:rsidR="009A2AB6" w:rsidRPr="001A6012">
        <w:rPr>
          <w:rFonts w:eastAsia="Calibri" w:cs="Arial"/>
          <w:i w:val="0"/>
          <w:iCs w:val="0"/>
          <w:sz w:val="20"/>
          <w:szCs w:val="20"/>
        </w:rPr>
        <w:t> oddíle doprava klesly</w:t>
      </w:r>
      <w:r w:rsidR="009A2AB6">
        <w:rPr>
          <w:rFonts w:eastAsia="Calibri" w:cs="Arial"/>
          <w:i w:val="0"/>
          <w:iCs w:val="0"/>
          <w:sz w:val="20"/>
          <w:szCs w:val="20"/>
        </w:rPr>
        <w:t xml:space="preserve"> ceny pohonných hmot a </w:t>
      </w:r>
      <w:r w:rsidR="009A2AB6" w:rsidRPr="001A6012">
        <w:rPr>
          <w:rFonts w:eastAsia="Calibri" w:cs="Arial"/>
          <w:i w:val="0"/>
          <w:iCs w:val="0"/>
          <w:sz w:val="20"/>
          <w:szCs w:val="20"/>
        </w:rPr>
        <w:t>olejů o 1</w:t>
      </w:r>
      <w:r w:rsidR="009A2AB6">
        <w:rPr>
          <w:rFonts w:eastAsia="Calibri" w:cs="Arial"/>
          <w:i w:val="0"/>
          <w:iCs w:val="0"/>
          <w:sz w:val="20"/>
          <w:szCs w:val="20"/>
        </w:rPr>
        <w:t>0</w:t>
      </w:r>
      <w:r w:rsidR="009A2AB6" w:rsidRPr="001A6012">
        <w:rPr>
          <w:rFonts w:eastAsia="Calibri" w:cs="Arial"/>
          <w:i w:val="0"/>
          <w:iCs w:val="0"/>
          <w:sz w:val="20"/>
          <w:szCs w:val="20"/>
        </w:rPr>
        <w:t>,</w:t>
      </w:r>
      <w:r w:rsidR="009A2AB6">
        <w:rPr>
          <w:rFonts w:eastAsia="Calibri" w:cs="Arial"/>
          <w:i w:val="0"/>
          <w:iCs w:val="0"/>
          <w:sz w:val="20"/>
          <w:szCs w:val="20"/>
        </w:rPr>
        <w:t>5</w:t>
      </w:r>
      <w:r w:rsidR="009A2AB6" w:rsidRPr="001A6012">
        <w:rPr>
          <w:rFonts w:eastAsia="Calibri" w:cs="Arial"/>
          <w:i w:val="0"/>
          <w:iCs w:val="0"/>
          <w:sz w:val="20"/>
          <w:szCs w:val="20"/>
        </w:rPr>
        <w:t> % a automobilů o 0,</w:t>
      </w:r>
      <w:r w:rsidR="009A2AB6">
        <w:rPr>
          <w:rFonts w:eastAsia="Calibri" w:cs="Arial"/>
          <w:i w:val="0"/>
          <w:iCs w:val="0"/>
          <w:sz w:val="20"/>
          <w:szCs w:val="20"/>
        </w:rPr>
        <w:t>8</w:t>
      </w:r>
      <w:r w:rsidR="009A2AB6" w:rsidRPr="001A6012">
        <w:rPr>
          <w:rFonts w:eastAsia="Calibri" w:cs="Arial"/>
          <w:i w:val="0"/>
          <w:iCs w:val="0"/>
          <w:sz w:val="20"/>
          <w:szCs w:val="20"/>
        </w:rPr>
        <w:t xml:space="preserve"> %. </w:t>
      </w:r>
      <w:r w:rsidR="008D6DE7">
        <w:rPr>
          <w:rFonts w:eastAsia="Calibri" w:cs="Arial"/>
          <w:i w:val="0"/>
          <w:iCs w:val="0"/>
          <w:sz w:val="20"/>
          <w:szCs w:val="20"/>
        </w:rPr>
        <w:t>V oddíle alkoholické nápoje</w:t>
      </w:r>
      <w:r w:rsidR="001C4709">
        <w:rPr>
          <w:rFonts w:eastAsia="Calibri" w:cs="Arial"/>
          <w:i w:val="0"/>
          <w:iCs w:val="0"/>
          <w:sz w:val="20"/>
          <w:szCs w:val="20"/>
        </w:rPr>
        <w:t>,</w:t>
      </w:r>
      <w:r w:rsidR="008D6DE7">
        <w:rPr>
          <w:rFonts w:eastAsia="Calibri" w:cs="Arial"/>
          <w:i w:val="0"/>
          <w:iCs w:val="0"/>
          <w:sz w:val="20"/>
          <w:szCs w:val="20"/>
        </w:rPr>
        <w:t xml:space="preserve"> tabák byly nižší ceny </w:t>
      </w:r>
      <w:r w:rsidR="00D0788C">
        <w:rPr>
          <w:rFonts w:eastAsia="Calibri" w:cs="Arial"/>
          <w:i w:val="0"/>
          <w:iCs w:val="0"/>
          <w:sz w:val="20"/>
          <w:szCs w:val="20"/>
        </w:rPr>
        <w:t>vína o 5,1 %, lihovin o 1,9 % a </w:t>
      </w:r>
      <w:r w:rsidR="008D6DE7">
        <w:rPr>
          <w:rFonts w:eastAsia="Calibri" w:cs="Arial"/>
          <w:i w:val="0"/>
          <w:iCs w:val="0"/>
          <w:sz w:val="20"/>
          <w:szCs w:val="20"/>
        </w:rPr>
        <w:t xml:space="preserve">piva o 1,3 %. </w:t>
      </w:r>
      <w:r w:rsidR="002A31C5">
        <w:rPr>
          <w:rFonts w:eastAsia="Calibri" w:cs="Arial"/>
          <w:i w:val="0"/>
          <w:iCs w:val="0"/>
          <w:sz w:val="20"/>
          <w:szCs w:val="20"/>
        </w:rPr>
        <w:t>R</w:t>
      </w:r>
      <w:r w:rsidR="008D6DE7">
        <w:rPr>
          <w:rFonts w:eastAsia="Calibri" w:cs="Arial"/>
          <w:i w:val="0"/>
          <w:iCs w:val="0"/>
          <w:sz w:val="20"/>
          <w:szCs w:val="20"/>
        </w:rPr>
        <w:t xml:space="preserve">ůst cen byl </w:t>
      </w:r>
      <w:r w:rsidR="002A31C5">
        <w:rPr>
          <w:rFonts w:eastAsia="Calibri" w:cs="Arial"/>
          <w:i w:val="0"/>
          <w:iCs w:val="0"/>
          <w:sz w:val="20"/>
          <w:szCs w:val="20"/>
        </w:rPr>
        <w:t xml:space="preserve">naopak </w:t>
      </w:r>
      <w:r w:rsidR="008D6DE7">
        <w:rPr>
          <w:rFonts w:eastAsia="Calibri" w:cs="Arial"/>
          <w:i w:val="0"/>
          <w:iCs w:val="0"/>
          <w:sz w:val="20"/>
          <w:szCs w:val="20"/>
        </w:rPr>
        <w:t xml:space="preserve">zaznamenán v oddíle bydlení, kde byly meziměsíčně vyšší </w:t>
      </w:r>
      <w:r w:rsidR="00FB160E">
        <w:rPr>
          <w:rFonts w:eastAsia="Calibri" w:cs="Arial"/>
          <w:i w:val="0"/>
          <w:iCs w:val="0"/>
          <w:sz w:val="20"/>
          <w:szCs w:val="20"/>
        </w:rPr>
        <w:t xml:space="preserve">zejména </w:t>
      </w:r>
      <w:r w:rsidR="008D6DE7">
        <w:rPr>
          <w:rFonts w:eastAsia="Calibri" w:cs="Arial"/>
          <w:i w:val="0"/>
          <w:iCs w:val="0"/>
          <w:sz w:val="20"/>
          <w:szCs w:val="20"/>
        </w:rPr>
        <w:t>ceny zemního plynu o 2,0 % a</w:t>
      </w:r>
      <w:r w:rsidR="00D0788C">
        <w:rPr>
          <w:rFonts w:eastAsia="Calibri" w:cs="Arial"/>
          <w:i w:val="0"/>
          <w:iCs w:val="0"/>
          <w:sz w:val="20"/>
          <w:szCs w:val="20"/>
        </w:rPr>
        <w:t> </w:t>
      </w:r>
      <w:r w:rsidR="008D6DE7">
        <w:rPr>
          <w:rFonts w:eastAsia="Calibri" w:cs="Arial"/>
          <w:i w:val="0"/>
          <w:iCs w:val="0"/>
          <w:sz w:val="20"/>
          <w:szCs w:val="20"/>
        </w:rPr>
        <w:t xml:space="preserve">elektřiny o 1,2 % </w:t>
      </w:r>
      <w:r w:rsidR="008D6DE7" w:rsidRPr="001A6012">
        <w:rPr>
          <w:rFonts w:eastAsia="Calibri" w:cs="Arial"/>
          <w:i w:val="0"/>
          <w:iCs w:val="0"/>
          <w:sz w:val="20"/>
          <w:szCs w:val="20"/>
        </w:rPr>
        <w:t xml:space="preserve">(více informací k indexu cen elektřiny: </w:t>
      </w:r>
      <w:hyperlink r:id="rId7" w:history="1">
        <w:r w:rsidR="008D6DE7" w:rsidRPr="001A6012">
          <w:rPr>
            <w:rStyle w:val="Hypertextovodkaz"/>
            <w:rFonts w:eastAsia="Calibri" w:cs="Arial"/>
            <w:i w:val="0"/>
            <w:iCs w:val="0"/>
            <w:sz w:val="20"/>
            <w:szCs w:val="20"/>
          </w:rPr>
          <w:t>Poznámka</w:t>
        </w:r>
      </w:hyperlink>
      <w:r w:rsidR="008D6DE7" w:rsidRPr="001A6012">
        <w:rPr>
          <w:rFonts w:eastAsia="Calibri" w:cs="Arial"/>
          <w:i w:val="0"/>
          <w:iCs w:val="0"/>
          <w:sz w:val="20"/>
          <w:szCs w:val="20"/>
        </w:rPr>
        <w:t>).</w:t>
      </w:r>
      <w:r w:rsidR="008D6DE7">
        <w:rPr>
          <w:rFonts w:eastAsia="Calibri" w:cs="Arial"/>
          <w:i w:val="0"/>
          <w:iCs w:val="0"/>
          <w:sz w:val="20"/>
          <w:szCs w:val="20"/>
        </w:rPr>
        <w:t xml:space="preserve"> V oddíle rekreace a</w:t>
      </w:r>
      <w:r w:rsidR="00D0788C">
        <w:rPr>
          <w:rFonts w:eastAsia="Calibri" w:cs="Arial"/>
          <w:i w:val="0"/>
          <w:iCs w:val="0"/>
          <w:sz w:val="20"/>
          <w:szCs w:val="20"/>
        </w:rPr>
        <w:t> </w:t>
      </w:r>
      <w:r w:rsidR="008D6DE7">
        <w:rPr>
          <w:rFonts w:eastAsia="Calibri" w:cs="Arial"/>
          <w:i w:val="0"/>
          <w:iCs w:val="0"/>
          <w:sz w:val="20"/>
          <w:szCs w:val="20"/>
        </w:rPr>
        <w:t>kultura vzrostly ceny dovolených s komplexními službami o 2,1 %.</w:t>
      </w:r>
      <w:r w:rsidR="00FB160E">
        <w:rPr>
          <w:rFonts w:eastAsia="Calibri" w:cs="Arial"/>
          <w:i w:val="0"/>
          <w:iCs w:val="0"/>
          <w:sz w:val="20"/>
          <w:szCs w:val="20"/>
        </w:rPr>
        <w:t xml:space="preserve"> V oddíle potraviny a nealkoholické nápoje se zvýšily především ceny polotučného trvanlivého mléka o 8,0 %, vajec o 5,9 %, chleba o 1,6 %, </w:t>
      </w:r>
      <w:r w:rsidR="002A31C5">
        <w:rPr>
          <w:rFonts w:eastAsia="Calibri" w:cs="Arial"/>
          <w:i w:val="0"/>
          <w:iCs w:val="0"/>
          <w:sz w:val="20"/>
          <w:szCs w:val="20"/>
        </w:rPr>
        <w:t>brambor o 6,9 %</w:t>
      </w:r>
      <w:r w:rsidR="005A49AE">
        <w:rPr>
          <w:rFonts w:eastAsia="Calibri" w:cs="Arial"/>
          <w:i w:val="0"/>
          <w:iCs w:val="0"/>
          <w:sz w:val="20"/>
          <w:szCs w:val="20"/>
        </w:rPr>
        <w:t xml:space="preserve"> a </w:t>
      </w:r>
      <w:r w:rsidR="002A31C5">
        <w:rPr>
          <w:rFonts w:eastAsia="Calibri" w:cs="Arial"/>
          <w:i w:val="0"/>
          <w:iCs w:val="0"/>
          <w:sz w:val="20"/>
          <w:szCs w:val="20"/>
        </w:rPr>
        <w:t>cukru o 4,7 %. Nižší byly oproti listopadu zejména cen</w:t>
      </w:r>
      <w:r w:rsidR="00D0788C">
        <w:rPr>
          <w:rFonts w:eastAsia="Calibri" w:cs="Arial"/>
          <w:i w:val="0"/>
          <w:iCs w:val="0"/>
          <w:sz w:val="20"/>
          <w:szCs w:val="20"/>
        </w:rPr>
        <w:t>y ovoce o 3,2 %, masa o 0,6 % a </w:t>
      </w:r>
      <w:r w:rsidR="002A31C5">
        <w:rPr>
          <w:rFonts w:eastAsia="Calibri" w:cs="Arial"/>
          <w:i w:val="0"/>
          <w:iCs w:val="0"/>
          <w:sz w:val="20"/>
          <w:szCs w:val="20"/>
        </w:rPr>
        <w:t>másla o 3,7 %.</w:t>
      </w:r>
    </w:p>
    <w:p w:rsidR="008D6DE7" w:rsidRDefault="008D6DE7" w:rsidP="00F7126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1A6012">
        <w:rPr>
          <w:rFonts w:cs="Arial"/>
          <w:szCs w:val="20"/>
        </w:rPr>
        <w:t xml:space="preserve">Ceny zboží úhrnem </w:t>
      </w:r>
      <w:r w:rsidR="002939C2">
        <w:rPr>
          <w:rFonts w:cs="Arial"/>
          <w:szCs w:val="20"/>
        </w:rPr>
        <w:t>klesly</w:t>
      </w:r>
      <w:r w:rsidR="000412B1" w:rsidRPr="001A6012">
        <w:rPr>
          <w:rFonts w:cs="Arial"/>
          <w:szCs w:val="20"/>
        </w:rPr>
        <w:t xml:space="preserve"> o </w:t>
      </w:r>
      <w:r w:rsidR="002939C2">
        <w:rPr>
          <w:rFonts w:cs="Arial"/>
          <w:szCs w:val="20"/>
        </w:rPr>
        <w:t>0,2</w:t>
      </w:r>
      <w:r w:rsidR="000412B1" w:rsidRPr="001A6012">
        <w:rPr>
          <w:rFonts w:cs="Arial"/>
          <w:szCs w:val="20"/>
        </w:rPr>
        <w:t> %</w:t>
      </w:r>
      <w:r w:rsidR="002939C2">
        <w:rPr>
          <w:rFonts w:cs="Arial"/>
          <w:szCs w:val="20"/>
        </w:rPr>
        <w:t>, zatímco ceny</w:t>
      </w:r>
      <w:r w:rsidR="00083F51" w:rsidRPr="001A6012">
        <w:rPr>
          <w:rFonts w:cs="Arial"/>
          <w:szCs w:val="20"/>
        </w:rPr>
        <w:t xml:space="preserve"> </w:t>
      </w:r>
      <w:r w:rsidR="00F7037F" w:rsidRPr="001A6012">
        <w:rPr>
          <w:rFonts w:cs="Arial"/>
          <w:szCs w:val="20"/>
        </w:rPr>
        <w:t xml:space="preserve">služeb </w:t>
      </w:r>
      <w:r w:rsidR="00C418B9" w:rsidRPr="001A6012">
        <w:rPr>
          <w:rFonts w:cs="Arial"/>
          <w:szCs w:val="20"/>
        </w:rPr>
        <w:t>o 0,</w:t>
      </w:r>
      <w:r w:rsidR="00FC25E9" w:rsidRPr="001A6012">
        <w:rPr>
          <w:rFonts w:cs="Arial"/>
          <w:szCs w:val="20"/>
        </w:rPr>
        <w:t>3</w:t>
      </w:r>
      <w:r w:rsidR="00C418B9" w:rsidRPr="001A6012">
        <w:rPr>
          <w:rFonts w:cs="Arial"/>
          <w:szCs w:val="20"/>
        </w:rPr>
        <w:t> %</w:t>
      </w:r>
      <w:r w:rsidR="002939C2">
        <w:rPr>
          <w:rFonts w:cs="Arial"/>
          <w:szCs w:val="20"/>
        </w:rPr>
        <w:t xml:space="preserve"> vzrostly</w:t>
      </w:r>
      <w:r w:rsidRPr="001A6012">
        <w:rPr>
          <w:rFonts w:cs="Arial"/>
          <w:szCs w:val="20"/>
        </w:rPr>
        <w:t>.</w:t>
      </w:r>
    </w:p>
    <w:p w:rsidR="00683504" w:rsidRPr="001A6012" w:rsidRDefault="00683504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F083E" w:rsidRPr="001A6012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1A6012">
        <w:rPr>
          <w:rFonts w:cs="Arial"/>
          <w:b/>
          <w:szCs w:val="20"/>
        </w:rPr>
        <w:t>Meziroční srovnání</w:t>
      </w:r>
    </w:p>
    <w:p w:rsidR="0030772F" w:rsidRDefault="00BF083E" w:rsidP="0030772F">
      <w:r w:rsidRPr="001A6012">
        <w:t>Meziročně vzrostly spotřebitelské ceny v </w:t>
      </w:r>
      <w:r w:rsidR="00B22172">
        <w:t>prosinci</w:t>
      </w:r>
      <w:r w:rsidRPr="001A6012">
        <w:t xml:space="preserve"> o </w:t>
      </w:r>
      <w:r w:rsidR="00DE2A67" w:rsidRPr="001A6012">
        <w:t>1</w:t>
      </w:r>
      <w:r w:rsidR="00B22172">
        <w:t>5,8</w:t>
      </w:r>
      <w:r w:rsidRPr="001A6012">
        <w:t> %, což bylo o </w:t>
      </w:r>
      <w:r w:rsidR="00B22172">
        <w:t>0,4</w:t>
      </w:r>
      <w:r w:rsidRPr="001A6012">
        <w:t xml:space="preserve"> procentního bodu </w:t>
      </w:r>
      <w:r w:rsidR="00B22172">
        <w:t>méně</w:t>
      </w:r>
      <w:r w:rsidR="00571BB6" w:rsidRPr="001A6012">
        <w:t xml:space="preserve"> </w:t>
      </w:r>
      <w:r w:rsidRPr="001A6012">
        <w:t>než v </w:t>
      </w:r>
      <w:r w:rsidR="00B22172">
        <w:t>listopadu</w:t>
      </w:r>
      <w:r w:rsidRPr="001A6012">
        <w:t xml:space="preserve">. </w:t>
      </w:r>
      <w:r w:rsidR="00735B02" w:rsidRPr="001A6012">
        <w:t xml:space="preserve">Toto </w:t>
      </w:r>
      <w:r w:rsidR="00B22172" w:rsidRPr="00B22172">
        <w:rPr>
          <w:b/>
        </w:rPr>
        <w:t>zpomalení</w:t>
      </w:r>
      <w:r w:rsidRPr="001A6012">
        <w:rPr>
          <w:rStyle w:val="Znakapoznpodarou"/>
          <w:rFonts w:cs="Arial"/>
          <w:szCs w:val="20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</w:t>
      </w:r>
      <w:r w:rsidR="00166918" w:rsidRPr="001A6012">
        <w:t xml:space="preserve">meziročního cenového růstu </w:t>
      </w:r>
      <w:r w:rsidR="00735B02" w:rsidRPr="001A6012">
        <w:rPr>
          <w:rFonts w:cs="Arial"/>
          <w:szCs w:val="20"/>
        </w:rPr>
        <w:t>bylo ovlivněno zejména</w:t>
      </w:r>
      <w:r w:rsidR="00166918" w:rsidRPr="001A6012">
        <w:rPr>
          <w:rFonts w:cs="Arial"/>
          <w:szCs w:val="20"/>
        </w:rPr>
        <w:t xml:space="preserve"> </w:t>
      </w:r>
      <w:r w:rsidR="00735B02" w:rsidRPr="001A6012">
        <w:rPr>
          <w:rFonts w:cs="Arial"/>
          <w:szCs w:val="20"/>
        </w:rPr>
        <w:t>cenami v</w:t>
      </w:r>
      <w:r w:rsidR="0030772F">
        <w:rPr>
          <w:rFonts w:cs="Arial"/>
          <w:szCs w:val="20"/>
        </w:rPr>
        <w:t> </w:t>
      </w:r>
      <w:r w:rsidR="00735B02" w:rsidRPr="001A6012">
        <w:rPr>
          <w:rFonts w:cs="Arial"/>
          <w:szCs w:val="20"/>
        </w:rPr>
        <w:t>oddíle</w:t>
      </w:r>
      <w:r w:rsidR="0030772F">
        <w:rPr>
          <w:rFonts w:cs="Arial"/>
          <w:szCs w:val="20"/>
        </w:rPr>
        <w:t xml:space="preserve"> doprava, kde </w:t>
      </w:r>
      <w:r w:rsidR="0030772F" w:rsidRPr="001A6012">
        <w:rPr>
          <w:rFonts w:cs="Arial"/>
          <w:szCs w:val="20"/>
        </w:rPr>
        <w:t>zmírnil</w:t>
      </w:r>
      <w:r w:rsidR="0030772F">
        <w:rPr>
          <w:rFonts w:cs="Arial"/>
          <w:szCs w:val="20"/>
        </w:rPr>
        <w:t xml:space="preserve"> růst cen automobilů na 9,2 % (v listopadu 12,7 %) a cen pohonných hmot a olejů na 4,4 % (v listopadu 14,5 %).</w:t>
      </w:r>
    </w:p>
    <w:p w:rsidR="0030772F" w:rsidRDefault="0030772F" w:rsidP="00C36B4F">
      <w:pPr>
        <w:rPr>
          <w:rFonts w:cs="Arial"/>
          <w:szCs w:val="20"/>
        </w:rPr>
      </w:pPr>
    </w:p>
    <w:p w:rsidR="0002340F" w:rsidRDefault="00BF083E" w:rsidP="00BF083E">
      <w:pPr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</w:t>
      </w:r>
      <w:r w:rsidR="00A61B9E">
        <w:rPr>
          <w:rFonts w:cs="Arial"/>
          <w:szCs w:val="20"/>
        </w:rPr>
        <w:t> </w:t>
      </w:r>
      <w:r w:rsidR="0030772F">
        <w:rPr>
          <w:rFonts w:cs="Arial"/>
          <w:szCs w:val="20"/>
        </w:rPr>
        <w:t>prosinci</w:t>
      </w:r>
      <w:r w:rsidR="00A61B9E">
        <w:rPr>
          <w:rFonts w:cs="Arial"/>
          <w:szCs w:val="20"/>
        </w:rPr>
        <w:t xml:space="preserve"> </w:t>
      </w:r>
      <w:r w:rsidR="0030772F">
        <w:rPr>
          <w:rFonts w:cs="Arial"/>
          <w:szCs w:val="20"/>
        </w:rPr>
        <w:t xml:space="preserve">nadále </w:t>
      </w:r>
      <w:r w:rsidR="00A61B9E">
        <w:rPr>
          <w:rFonts w:cs="Arial"/>
          <w:szCs w:val="20"/>
        </w:rPr>
        <w:t>největší vliv ceny v oddíle pot</w:t>
      </w:r>
      <w:r w:rsidR="000A362A">
        <w:rPr>
          <w:rFonts w:cs="Arial"/>
          <w:szCs w:val="20"/>
        </w:rPr>
        <w:t>raviny a nealkoholické nápoje a </w:t>
      </w:r>
      <w:r w:rsidR="00A61B9E">
        <w:rPr>
          <w:rFonts w:cs="Arial"/>
          <w:szCs w:val="20"/>
        </w:rPr>
        <w:t>ceny v oddíle bydlení</w:t>
      </w:r>
      <w:r w:rsidR="00A61B9E" w:rsidRPr="000A362A">
        <w:rPr>
          <w:rFonts w:cs="Arial"/>
          <w:szCs w:val="20"/>
        </w:rPr>
        <w:t xml:space="preserve">. </w:t>
      </w:r>
      <w:r w:rsidR="005A49AE">
        <w:rPr>
          <w:rFonts w:cs="Arial"/>
          <w:szCs w:val="20"/>
        </w:rPr>
        <w:t>V </w:t>
      </w:r>
      <w:r w:rsidR="00D0788C">
        <w:rPr>
          <w:rFonts w:cs="Arial"/>
          <w:szCs w:val="20"/>
        </w:rPr>
        <w:t>oddíle potraviny a </w:t>
      </w:r>
      <w:r w:rsidR="005A49AE">
        <w:rPr>
          <w:rFonts w:cs="Arial"/>
          <w:szCs w:val="20"/>
        </w:rPr>
        <w:t>nealkoholické nápoje byly v</w:t>
      </w:r>
      <w:r w:rsidR="00B81AE5" w:rsidRPr="000A362A">
        <w:rPr>
          <w:rFonts w:cs="Arial"/>
          <w:szCs w:val="20"/>
        </w:rPr>
        <w:t>yšší zejména</w:t>
      </w:r>
      <w:r w:rsidR="00B81AE5" w:rsidRPr="00A235D6">
        <w:rPr>
          <w:rFonts w:cs="Arial"/>
          <w:szCs w:val="20"/>
        </w:rPr>
        <w:t xml:space="preserve"> </w:t>
      </w:r>
      <w:r w:rsidR="00A235D6" w:rsidRPr="00A235D6">
        <w:rPr>
          <w:rFonts w:cs="Arial"/>
          <w:szCs w:val="20"/>
        </w:rPr>
        <w:t>c</w:t>
      </w:r>
      <w:r w:rsidR="00B81AE5" w:rsidRPr="00A235D6">
        <w:rPr>
          <w:rFonts w:cs="Arial"/>
          <w:szCs w:val="20"/>
        </w:rPr>
        <w:t xml:space="preserve">eny </w:t>
      </w:r>
      <w:r w:rsidR="00AC22A7" w:rsidRPr="00A235D6">
        <w:rPr>
          <w:rFonts w:cs="Arial"/>
          <w:szCs w:val="20"/>
        </w:rPr>
        <w:t xml:space="preserve">mouky </w:t>
      </w:r>
      <w:r w:rsidR="00AC22A7">
        <w:rPr>
          <w:rFonts w:cs="Arial"/>
          <w:szCs w:val="20"/>
        </w:rPr>
        <w:t>o </w:t>
      </w:r>
      <w:r w:rsidR="001C3A50">
        <w:rPr>
          <w:rFonts w:cs="Arial"/>
          <w:szCs w:val="20"/>
        </w:rPr>
        <w:t>4</w:t>
      </w:r>
      <w:r w:rsidR="00F70DE8">
        <w:rPr>
          <w:rFonts w:cs="Arial"/>
          <w:szCs w:val="20"/>
        </w:rPr>
        <w:t>2,0</w:t>
      </w:r>
      <w:r w:rsidR="00B81AE5">
        <w:rPr>
          <w:rFonts w:cs="Arial"/>
          <w:szCs w:val="20"/>
        </w:rPr>
        <w:t> %,</w:t>
      </w:r>
      <w:r w:rsidR="00AC22A7">
        <w:rPr>
          <w:rFonts w:cs="Arial"/>
          <w:szCs w:val="20"/>
        </w:rPr>
        <w:t xml:space="preserve"> </w:t>
      </w:r>
      <w:r w:rsidR="00F70DE8">
        <w:rPr>
          <w:rFonts w:cs="Arial"/>
          <w:szCs w:val="20"/>
        </w:rPr>
        <w:t xml:space="preserve">chleba o 37,6 %, drůbežího masa o 42,8 %, </w:t>
      </w:r>
      <w:r w:rsidR="00B81AE5">
        <w:rPr>
          <w:rFonts w:cs="Arial"/>
          <w:szCs w:val="20"/>
        </w:rPr>
        <w:t>polotučného trvanlivého mléka o </w:t>
      </w:r>
      <w:r w:rsidR="001C3A50">
        <w:rPr>
          <w:rFonts w:cs="Arial"/>
          <w:szCs w:val="20"/>
        </w:rPr>
        <w:t>5</w:t>
      </w:r>
      <w:r w:rsidR="00F70DE8">
        <w:rPr>
          <w:rFonts w:cs="Arial"/>
          <w:szCs w:val="20"/>
        </w:rPr>
        <w:t>5,4</w:t>
      </w:r>
      <w:r w:rsidR="00B81AE5">
        <w:rPr>
          <w:rFonts w:cs="Arial"/>
          <w:szCs w:val="20"/>
        </w:rPr>
        <w:t xml:space="preserve"> %, </w:t>
      </w:r>
      <w:r w:rsidR="001C3A50">
        <w:rPr>
          <w:rFonts w:cs="Arial"/>
          <w:szCs w:val="20"/>
        </w:rPr>
        <w:t>vajec o </w:t>
      </w:r>
      <w:r w:rsidR="00F70DE8">
        <w:rPr>
          <w:rFonts w:cs="Arial"/>
          <w:szCs w:val="20"/>
        </w:rPr>
        <w:t>92,4</w:t>
      </w:r>
      <w:r w:rsidR="001C3A50">
        <w:rPr>
          <w:rFonts w:cs="Arial"/>
          <w:szCs w:val="20"/>
        </w:rPr>
        <w:t xml:space="preserve"> %, </w:t>
      </w:r>
      <w:r w:rsidR="00471C1D">
        <w:rPr>
          <w:rFonts w:cs="Arial"/>
          <w:szCs w:val="20"/>
        </w:rPr>
        <w:t>olejů a </w:t>
      </w:r>
      <w:r w:rsidR="00AC22A7">
        <w:rPr>
          <w:rFonts w:cs="Arial"/>
          <w:szCs w:val="20"/>
        </w:rPr>
        <w:t>tuků o </w:t>
      </w:r>
      <w:r w:rsidR="00F70DE8">
        <w:rPr>
          <w:rFonts w:cs="Arial"/>
          <w:szCs w:val="20"/>
        </w:rPr>
        <w:t>38,2</w:t>
      </w:r>
      <w:r w:rsidR="00B81AE5">
        <w:rPr>
          <w:rFonts w:cs="Arial"/>
          <w:szCs w:val="20"/>
        </w:rPr>
        <w:t> %</w:t>
      </w:r>
      <w:r w:rsidR="00AC7319">
        <w:rPr>
          <w:rFonts w:cs="Arial"/>
          <w:szCs w:val="20"/>
        </w:rPr>
        <w:t xml:space="preserve"> </w:t>
      </w:r>
      <w:r w:rsidR="000A362A">
        <w:rPr>
          <w:rFonts w:cs="Arial"/>
          <w:szCs w:val="20"/>
        </w:rPr>
        <w:t>a </w:t>
      </w:r>
      <w:r w:rsidR="001C3A50">
        <w:rPr>
          <w:rFonts w:cs="Arial"/>
          <w:szCs w:val="20"/>
        </w:rPr>
        <w:t>cukru o 9</w:t>
      </w:r>
      <w:r w:rsidR="00F70DE8">
        <w:rPr>
          <w:rFonts w:cs="Arial"/>
          <w:szCs w:val="20"/>
        </w:rPr>
        <w:t>8</w:t>
      </w:r>
      <w:r w:rsidR="001C3A50">
        <w:rPr>
          <w:rFonts w:cs="Arial"/>
          <w:szCs w:val="20"/>
        </w:rPr>
        <w:t>,</w:t>
      </w:r>
      <w:r w:rsidR="00F70DE8">
        <w:rPr>
          <w:rFonts w:cs="Arial"/>
          <w:szCs w:val="20"/>
        </w:rPr>
        <w:t>9</w:t>
      </w:r>
      <w:r w:rsidR="001C3A50">
        <w:rPr>
          <w:rFonts w:cs="Arial"/>
          <w:szCs w:val="20"/>
        </w:rPr>
        <w:t> %.</w:t>
      </w:r>
      <w:r w:rsidR="00AC22A7">
        <w:rPr>
          <w:rFonts w:cs="Arial"/>
          <w:szCs w:val="20"/>
        </w:rPr>
        <w:t xml:space="preserve"> </w:t>
      </w:r>
      <w:r w:rsidR="001C3A50">
        <w:rPr>
          <w:rFonts w:cs="Arial"/>
          <w:szCs w:val="20"/>
        </w:rPr>
        <w:t>V</w:t>
      </w:r>
      <w:r w:rsidR="00471C1D">
        <w:rPr>
          <w:rFonts w:cs="Arial"/>
          <w:szCs w:val="20"/>
        </w:rPr>
        <w:t> </w:t>
      </w:r>
      <w:r w:rsidRPr="00B3645D">
        <w:rPr>
          <w:rFonts w:cs="Arial"/>
          <w:szCs w:val="20"/>
        </w:rPr>
        <w:t>oddíle bydlení kromě nákladů vlastnického bydlení</w:t>
      </w:r>
      <w:r w:rsidR="007D5451" w:rsidRPr="00B3645D">
        <w:rPr>
          <w:rFonts w:cs="Arial"/>
          <w:szCs w:val="20"/>
        </w:rPr>
        <w:t xml:space="preserve"> </w:t>
      </w:r>
      <w:r w:rsidRPr="00B3645D">
        <w:rPr>
          <w:rFonts w:cs="Arial"/>
          <w:szCs w:val="20"/>
        </w:rPr>
        <w:t xml:space="preserve">vzrostly ceny </w:t>
      </w:r>
      <w:r w:rsidR="008A2C2C" w:rsidRPr="00B3645D">
        <w:rPr>
          <w:rFonts w:cs="Arial"/>
          <w:szCs w:val="20"/>
        </w:rPr>
        <w:t>nájemného z bytu o </w:t>
      </w:r>
      <w:r w:rsidR="008A2C2C">
        <w:rPr>
          <w:rFonts w:cs="Arial"/>
          <w:szCs w:val="20"/>
        </w:rPr>
        <w:t>5,9</w:t>
      </w:r>
      <w:r w:rsidR="008A2C2C" w:rsidRPr="00B3645D">
        <w:rPr>
          <w:rFonts w:cs="Arial"/>
          <w:szCs w:val="20"/>
        </w:rPr>
        <w:t> %,</w:t>
      </w:r>
      <w:r w:rsidR="008A2C2C">
        <w:rPr>
          <w:rFonts w:cs="Arial"/>
          <w:szCs w:val="20"/>
        </w:rPr>
        <w:t xml:space="preserve"> </w:t>
      </w:r>
      <w:r w:rsidR="005A49AE">
        <w:rPr>
          <w:rFonts w:cs="Arial"/>
          <w:szCs w:val="20"/>
        </w:rPr>
        <w:t>výrobků a </w:t>
      </w:r>
      <w:r w:rsidR="008A2C2C">
        <w:rPr>
          <w:rFonts w:cs="Arial"/>
          <w:szCs w:val="20"/>
        </w:rPr>
        <w:t xml:space="preserve">služeb pro běžnou údržbu </w:t>
      </w:r>
      <w:r w:rsidR="00051EB8" w:rsidRPr="006B773B">
        <w:rPr>
          <w:rFonts w:cs="Arial"/>
          <w:szCs w:val="20"/>
        </w:rPr>
        <w:t>bytu</w:t>
      </w:r>
      <w:r w:rsidR="008A2C2C" w:rsidRPr="006B773B">
        <w:rPr>
          <w:rFonts w:cs="Arial"/>
          <w:szCs w:val="20"/>
        </w:rPr>
        <w:t xml:space="preserve"> o</w:t>
      </w:r>
      <w:r w:rsidR="008A2C2C">
        <w:rPr>
          <w:rFonts w:cs="Arial"/>
          <w:szCs w:val="20"/>
        </w:rPr>
        <w:t xml:space="preserve"> 20,8 %, </w:t>
      </w:r>
      <w:r w:rsidRPr="00B3645D">
        <w:rPr>
          <w:rFonts w:cs="Arial"/>
          <w:szCs w:val="20"/>
        </w:rPr>
        <w:t>vodného o 5,3 %</w:t>
      </w:r>
      <w:r w:rsidR="007E478F" w:rsidRPr="00B3645D">
        <w:rPr>
          <w:rFonts w:cs="Arial"/>
          <w:szCs w:val="20"/>
        </w:rPr>
        <w:t xml:space="preserve">, </w:t>
      </w:r>
      <w:r w:rsidRPr="00B3645D">
        <w:rPr>
          <w:rFonts w:cs="Arial"/>
          <w:szCs w:val="20"/>
        </w:rPr>
        <w:t>stočného o 6,4 %</w:t>
      </w:r>
      <w:r w:rsidR="007E478F" w:rsidRPr="00B3645D">
        <w:rPr>
          <w:rFonts w:cs="Arial"/>
          <w:szCs w:val="20"/>
        </w:rPr>
        <w:t>,</w:t>
      </w:r>
      <w:r w:rsidR="00B3645D" w:rsidRPr="00B3645D">
        <w:rPr>
          <w:rFonts w:cs="Arial"/>
          <w:szCs w:val="20"/>
        </w:rPr>
        <w:t xml:space="preserve"> </w:t>
      </w:r>
      <w:r w:rsidR="008A2C2C">
        <w:rPr>
          <w:rFonts w:cs="Arial"/>
          <w:szCs w:val="20"/>
        </w:rPr>
        <w:t xml:space="preserve">zemního plynu o 140,2 %, </w:t>
      </w:r>
      <w:r w:rsidR="00AC22A7">
        <w:rPr>
          <w:rFonts w:cs="Arial"/>
          <w:szCs w:val="20"/>
        </w:rPr>
        <w:t>tuhých paliv o 6</w:t>
      </w:r>
      <w:r w:rsidR="008A2C2C">
        <w:rPr>
          <w:rFonts w:cs="Arial"/>
          <w:szCs w:val="20"/>
        </w:rPr>
        <w:t>6,4</w:t>
      </w:r>
      <w:r w:rsidR="00AC22A7">
        <w:rPr>
          <w:rFonts w:cs="Arial"/>
          <w:szCs w:val="20"/>
        </w:rPr>
        <w:t> % a</w:t>
      </w:r>
      <w:r w:rsidR="00471C1D">
        <w:rPr>
          <w:rFonts w:cs="Arial"/>
          <w:szCs w:val="20"/>
        </w:rPr>
        <w:t> </w:t>
      </w:r>
      <w:r w:rsidR="00B3645D" w:rsidRPr="00B3645D">
        <w:rPr>
          <w:rFonts w:cs="Arial"/>
          <w:szCs w:val="20"/>
        </w:rPr>
        <w:t>tepla a </w:t>
      </w:r>
      <w:r w:rsidR="00B319CA" w:rsidRPr="00B3645D">
        <w:rPr>
          <w:rFonts w:cs="Arial"/>
          <w:szCs w:val="20"/>
        </w:rPr>
        <w:t>teplé vody o </w:t>
      </w:r>
      <w:r w:rsidR="008A2C2C">
        <w:rPr>
          <w:rFonts w:cs="Arial"/>
          <w:szCs w:val="20"/>
        </w:rPr>
        <w:t>28,8</w:t>
      </w:r>
      <w:r w:rsidR="00B319CA" w:rsidRPr="00B3645D">
        <w:rPr>
          <w:rFonts w:cs="Arial"/>
          <w:szCs w:val="20"/>
        </w:rPr>
        <w:t xml:space="preserve"> %. </w:t>
      </w:r>
      <w:r w:rsidR="008A2C2C">
        <w:rPr>
          <w:rFonts w:cs="Arial"/>
          <w:szCs w:val="20"/>
        </w:rPr>
        <w:t xml:space="preserve">Ceny elektřiny klesly o 21,2 %. </w:t>
      </w:r>
      <w:r w:rsidR="000A362A">
        <w:rPr>
          <w:rFonts w:cs="Arial"/>
          <w:szCs w:val="20"/>
        </w:rPr>
        <w:lastRenderedPageBreak/>
        <w:t xml:space="preserve">Další v pořadí vlivu </w:t>
      </w:r>
      <w:r w:rsidR="008A2C2C">
        <w:rPr>
          <w:rFonts w:cs="Arial"/>
          <w:szCs w:val="20"/>
        </w:rPr>
        <w:t>byly ceny v oddíle stravování a</w:t>
      </w:r>
      <w:r w:rsidR="00D0788C">
        <w:rPr>
          <w:rFonts w:cs="Arial"/>
          <w:szCs w:val="20"/>
        </w:rPr>
        <w:t> </w:t>
      </w:r>
      <w:r w:rsidR="008A2C2C">
        <w:rPr>
          <w:rFonts w:cs="Arial"/>
          <w:szCs w:val="20"/>
        </w:rPr>
        <w:t>ubytování, kde byly vyšší ceny stravovacích služeb o 26,1</w:t>
      </w:r>
      <w:r w:rsidR="00051EB8">
        <w:rPr>
          <w:rFonts w:cs="Arial"/>
          <w:szCs w:val="20"/>
        </w:rPr>
        <w:t> %</w:t>
      </w:r>
      <w:r w:rsidR="008A2C2C">
        <w:rPr>
          <w:rFonts w:cs="Arial"/>
          <w:szCs w:val="20"/>
        </w:rPr>
        <w:t xml:space="preserve"> a</w:t>
      </w:r>
      <w:r w:rsidR="00D0788C">
        <w:rPr>
          <w:rFonts w:cs="Arial"/>
          <w:szCs w:val="20"/>
        </w:rPr>
        <w:t> </w:t>
      </w:r>
      <w:r w:rsidR="008A2C2C">
        <w:rPr>
          <w:rFonts w:cs="Arial"/>
          <w:szCs w:val="20"/>
        </w:rPr>
        <w:t>cen</w:t>
      </w:r>
      <w:r w:rsidR="00D0788C">
        <w:rPr>
          <w:rFonts w:cs="Arial"/>
          <w:szCs w:val="20"/>
        </w:rPr>
        <w:t>y ubytovacích služeb o 21,3 %.</w:t>
      </w:r>
    </w:p>
    <w:p w:rsidR="005A49AE" w:rsidRPr="00B3645D" w:rsidRDefault="005A49AE" w:rsidP="00BF083E">
      <w:pPr>
        <w:rPr>
          <w:rFonts w:cs="Arial"/>
          <w:szCs w:val="20"/>
        </w:rPr>
      </w:pPr>
    </w:p>
    <w:p w:rsidR="00BF083E" w:rsidRPr="00B3645D" w:rsidRDefault="0018369F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B3645D">
        <w:rPr>
          <w:rFonts w:cs="Arial"/>
          <w:i w:val="0"/>
          <w:sz w:val="20"/>
          <w:szCs w:val="20"/>
        </w:rPr>
        <w:t>Náklady vlastnického bydlení (imputované nájemné</w:t>
      </w:r>
      <w:r w:rsidR="00BF083E" w:rsidRPr="00B3645D">
        <w:rPr>
          <w:rFonts w:cs="Arial"/>
          <w:i w:val="0"/>
          <w:sz w:val="20"/>
          <w:szCs w:val="20"/>
        </w:rPr>
        <w:t>)</w:t>
      </w:r>
      <w:r w:rsidR="00B3645D" w:rsidRPr="00B3645D">
        <w:rPr>
          <w:rFonts w:cs="Arial"/>
          <w:i w:val="0"/>
          <w:sz w:val="20"/>
          <w:szCs w:val="20"/>
        </w:rPr>
        <w:t xml:space="preserve"> </w:t>
      </w:r>
      <w:r w:rsidR="00483F21">
        <w:rPr>
          <w:rFonts w:cs="Arial"/>
          <w:i w:val="0"/>
          <w:sz w:val="20"/>
          <w:szCs w:val="20"/>
        </w:rPr>
        <w:t>se zvýšily</w:t>
      </w:r>
      <w:r w:rsidR="00BF083E" w:rsidRPr="00B3645D">
        <w:rPr>
          <w:rFonts w:cs="Arial"/>
          <w:i w:val="0"/>
          <w:sz w:val="20"/>
          <w:szCs w:val="20"/>
        </w:rPr>
        <w:t xml:space="preserve"> o </w:t>
      </w:r>
      <w:r w:rsidR="007626A9">
        <w:rPr>
          <w:rFonts w:cs="Arial"/>
          <w:i w:val="0"/>
          <w:sz w:val="20"/>
          <w:szCs w:val="20"/>
        </w:rPr>
        <w:t>1</w:t>
      </w:r>
      <w:r w:rsidR="00591470">
        <w:rPr>
          <w:rFonts w:cs="Arial"/>
          <w:i w:val="0"/>
          <w:sz w:val="20"/>
          <w:szCs w:val="20"/>
        </w:rPr>
        <w:t>0</w:t>
      </w:r>
      <w:r w:rsidR="00780039">
        <w:rPr>
          <w:rFonts w:cs="Arial"/>
          <w:i w:val="0"/>
          <w:sz w:val="20"/>
          <w:szCs w:val="20"/>
        </w:rPr>
        <w:t>,</w:t>
      </w:r>
      <w:r w:rsidR="00A30227">
        <w:rPr>
          <w:rFonts w:cs="Arial"/>
          <w:i w:val="0"/>
          <w:sz w:val="20"/>
          <w:szCs w:val="20"/>
        </w:rPr>
        <w:t>9</w:t>
      </w:r>
      <w:r w:rsidR="00BF083E" w:rsidRPr="00B3645D">
        <w:rPr>
          <w:rFonts w:cs="Arial"/>
          <w:i w:val="0"/>
          <w:sz w:val="20"/>
          <w:szCs w:val="20"/>
        </w:rPr>
        <w:t> % (v </w:t>
      </w:r>
      <w:r w:rsidR="00591470">
        <w:rPr>
          <w:rFonts w:cs="Arial"/>
          <w:i w:val="0"/>
          <w:sz w:val="20"/>
          <w:szCs w:val="20"/>
        </w:rPr>
        <w:t>listopadu</w:t>
      </w:r>
      <w:r w:rsidR="00BF083E" w:rsidRPr="00B3645D">
        <w:rPr>
          <w:rFonts w:cs="Arial"/>
          <w:i w:val="0"/>
          <w:sz w:val="20"/>
          <w:szCs w:val="20"/>
        </w:rPr>
        <w:t xml:space="preserve"> </w:t>
      </w:r>
      <w:r w:rsidR="00BF083E" w:rsidRPr="00C62F3F">
        <w:rPr>
          <w:rFonts w:cs="Arial"/>
          <w:i w:val="0"/>
          <w:sz w:val="20"/>
          <w:szCs w:val="20"/>
        </w:rPr>
        <w:t>o </w:t>
      </w:r>
      <w:r w:rsidR="00330D7D" w:rsidRPr="00C62F3F">
        <w:rPr>
          <w:rFonts w:cs="Arial"/>
          <w:i w:val="0"/>
          <w:sz w:val="20"/>
          <w:szCs w:val="20"/>
        </w:rPr>
        <w:t>1</w:t>
      </w:r>
      <w:r w:rsidR="00591470">
        <w:rPr>
          <w:rFonts w:cs="Arial"/>
          <w:i w:val="0"/>
          <w:sz w:val="20"/>
          <w:szCs w:val="20"/>
        </w:rPr>
        <w:t>1,9</w:t>
      </w:r>
      <w:r w:rsidR="00BF083E" w:rsidRPr="00B3645D">
        <w:rPr>
          <w:rFonts w:cs="Arial"/>
          <w:i w:val="0"/>
          <w:sz w:val="20"/>
          <w:szCs w:val="20"/>
        </w:rPr>
        <w:t xml:space="preserve"> %) </w:t>
      </w:r>
      <w:r w:rsidR="00BF083E" w:rsidRPr="000F6E27">
        <w:rPr>
          <w:rFonts w:cs="Arial"/>
          <w:i w:val="0"/>
          <w:sz w:val="20"/>
          <w:szCs w:val="20"/>
        </w:rPr>
        <w:t xml:space="preserve">zejména v důsledku růstu cen stavebních </w:t>
      </w:r>
      <w:r w:rsidR="00BF083E" w:rsidRPr="00A6102F">
        <w:rPr>
          <w:rFonts w:cs="Arial"/>
          <w:i w:val="0"/>
          <w:sz w:val="20"/>
          <w:szCs w:val="20"/>
        </w:rPr>
        <w:t>materiálů</w:t>
      </w:r>
      <w:r w:rsidR="004936F3" w:rsidRPr="00A6102F">
        <w:rPr>
          <w:rFonts w:cs="Arial"/>
          <w:i w:val="0"/>
          <w:sz w:val="20"/>
          <w:szCs w:val="20"/>
        </w:rPr>
        <w:t xml:space="preserve"> a</w:t>
      </w:r>
      <w:r w:rsidR="00AC5EEB" w:rsidRPr="00A6102F">
        <w:rPr>
          <w:rFonts w:cs="Arial"/>
          <w:i w:val="0"/>
          <w:sz w:val="20"/>
          <w:szCs w:val="20"/>
        </w:rPr>
        <w:t> </w:t>
      </w:r>
      <w:r w:rsidR="00471C1D">
        <w:rPr>
          <w:rFonts w:cs="Arial"/>
          <w:i w:val="0"/>
          <w:sz w:val="20"/>
          <w:szCs w:val="20"/>
        </w:rPr>
        <w:t>cen stavebních prací</w:t>
      </w:r>
      <w:r w:rsidR="00591470">
        <w:rPr>
          <w:rFonts w:cs="Arial"/>
          <w:i w:val="0"/>
          <w:sz w:val="20"/>
          <w:szCs w:val="20"/>
        </w:rPr>
        <w:t xml:space="preserve">. </w:t>
      </w:r>
      <w:r w:rsidR="00BF083E" w:rsidRPr="00A6102F">
        <w:rPr>
          <w:rFonts w:cs="Arial"/>
          <w:i w:val="0"/>
          <w:sz w:val="20"/>
          <w:szCs w:val="20"/>
        </w:rPr>
        <w:t>Úhrnný index spotř</w:t>
      </w:r>
      <w:r w:rsidR="00BF083E" w:rsidRPr="00B3645D">
        <w:rPr>
          <w:rFonts w:cs="Arial"/>
          <w:i w:val="0"/>
          <w:sz w:val="20"/>
          <w:szCs w:val="20"/>
        </w:rPr>
        <w:t xml:space="preserve">ebitelských cen bez započtení </w:t>
      </w:r>
      <w:r w:rsidRPr="00B3645D">
        <w:rPr>
          <w:rFonts w:cs="Arial"/>
          <w:i w:val="0"/>
          <w:sz w:val="20"/>
          <w:szCs w:val="20"/>
        </w:rPr>
        <w:t>nákladů vlastnického bydlení</w:t>
      </w:r>
      <w:r w:rsidR="00BF083E" w:rsidRPr="00B3645D">
        <w:rPr>
          <w:rFonts w:cs="Arial"/>
          <w:i w:val="0"/>
          <w:sz w:val="20"/>
          <w:szCs w:val="20"/>
        </w:rPr>
        <w:t xml:space="preserve"> byl </w:t>
      </w:r>
      <w:r w:rsidR="00BF083E" w:rsidRPr="00FC25E9">
        <w:rPr>
          <w:rFonts w:cs="Arial"/>
          <w:i w:val="0"/>
          <w:sz w:val="20"/>
          <w:szCs w:val="20"/>
        </w:rPr>
        <w:t>1</w:t>
      </w:r>
      <w:r w:rsidR="00B52F6A" w:rsidRPr="00FC25E9">
        <w:rPr>
          <w:rFonts w:cs="Arial"/>
          <w:i w:val="0"/>
          <w:sz w:val="20"/>
          <w:szCs w:val="20"/>
        </w:rPr>
        <w:t>1</w:t>
      </w:r>
      <w:r w:rsidR="00FC25E9" w:rsidRPr="00FC25E9">
        <w:rPr>
          <w:rFonts w:cs="Arial"/>
          <w:i w:val="0"/>
          <w:sz w:val="20"/>
          <w:szCs w:val="20"/>
        </w:rPr>
        <w:t>6,</w:t>
      </w:r>
      <w:r w:rsidR="002939C2">
        <w:rPr>
          <w:rFonts w:cs="Arial"/>
          <w:i w:val="0"/>
          <w:sz w:val="20"/>
          <w:szCs w:val="20"/>
        </w:rPr>
        <w:t>4</w:t>
      </w:r>
      <w:r w:rsidR="00BF083E" w:rsidRPr="00B3645D">
        <w:rPr>
          <w:rFonts w:cs="Arial"/>
          <w:i w:val="0"/>
          <w:sz w:val="20"/>
          <w:szCs w:val="20"/>
        </w:rPr>
        <w:t> %. (Více informací</w:t>
      </w:r>
      <w:r w:rsidRPr="00B3645D">
        <w:rPr>
          <w:rFonts w:cs="Arial"/>
          <w:i w:val="0"/>
          <w:sz w:val="20"/>
          <w:szCs w:val="20"/>
        </w:rPr>
        <w:t>:</w:t>
      </w:r>
      <w:r w:rsidR="00BF083E" w:rsidRPr="00B3645D">
        <w:rPr>
          <w:rFonts w:cs="Arial"/>
          <w:i w:val="0"/>
          <w:sz w:val="20"/>
          <w:szCs w:val="20"/>
        </w:rPr>
        <w:t xml:space="preserve"> </w:t>
      </w:r>
      <w:hyperlink r:id="rId8" w:history="1">
        <w:r w:rsidR="00BF083E" w:rsidRPr="00B3645D">
          <w:rPr>
            <w:rStyle w:val="Hypertextovodkaz"/>
            <w:rFonts w:cs="Arial"/>
            <w:i w:val="0"/>
            <w:sz w:val="20"/>
            <w:szCs w:val="20"/>
          </w:rPr>
          <w:t>Metodická poznámka</w:t>
        </w:r>
      </w:hyperlink>
      <w:r w:rsidR="00BF083E" w:rsidRPr="00B3645D">
        <w:rPr>
          <w:rFonts w:cs="Arial"/>
          <w:i w:val="0"/>
          <w:sz w:val="20"/>
          <w:szCs w:val="20"/>
        </w:rPr>
        <w:t>.)</w:t>
      </w:r>
    </w:p>
    <w:p w:rsidR="00BF083E" w:rsidRPr="00B3645D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3645D">
        <w:rPr>
          <w:rFonts w:cs="Arial"/>
          <w:i w:val="0"/>
          <w:sz w:val="20"/>
          <w:szCs w:val="20"/>
        </w:rPr>
        <w:t>Ceny zboží úhrnem vzrostly o </w:t>
      </w:r>
      <w:r w:rsidR="00F7037F">
        <w:rPr>
          <w:rFonts w:cs="Arial"/>
          <w:i w:val="0"/>
          <w:sz w:val="20"/>
          <w:szCs w:val="20"/>
        </w:rPr>
        <w:t>1</w:t>
      </w:r>
      <w:r w:rsidR="002939C2">
        <w:rPr>
          <w:rFonts w:cs="Arial"/>
          <w:i w:val="0"/>
          <w:sz w:val="20"/>
          <w:szCs w:val="20"/>
        </w:rPr>
        <w:t>7,8</w:t>
      </w:r>
      <w:r w:rsidRPr="00B3645D">
        <w:rPr>
          <w:rFonts w:cs="Arial"/>
          <w:i w:val="0"/>
          <w:sz w:val="20"/>
          <w:szCs w:val="20"/>
        </w:rPr>
        <w:t> % a ceny služeb o </w:t>
      </w:r>
      <w:r w:rsidR="00A04F7D" w:rsidRPr="00B3645D">
        <w:rPr>
          <w:rFonts w:cs="Arial"/>
          <w:i w:val="0"/>
          <w:sz w:val="20"/>
          <w:szCs w:val="20"/>
        </w:rPr>
        <w:t>1</w:t>
      </w:r>
      <w:r w:rsidR="00FC25E9">
        <w:rPr>
          <w:rFonts w:cs="Arial"/>
          <w:i w:val="0"/>
          <w:sz w:val="20"/>
          <w:szCs w:val="20"/>
        </w:rPr>
        <w:t>2,</w:t>
      </w:r>
      <w:r w:rsidR="002939C2">
        <w:rPr>
          <w:rFonts w:cs="Arial"/>
          <w:i w:val="0"/>
          <w:sz w:val="20"/>
          <w:szCs w:val="20"/>
        </w:rPr>
        <w:t>5</w:t>
      </w:r>
      <w:r w:rsidRPr="00B3645D">
        <w:rPr>
          <w:rFonts w:cs="Arial"/>
          <w:i w:val="0"/>
          <w:sz w:val="20"/>
          <w:szCs w:val="20"/>
        </w:rPr>
        <w:t> %.</w:t>
      </w:r>
    </w:p>
    <w:p w:rsidR="00F31E60" w:rsidRDefault="00F31E60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F31E60" w:rsidRPr="00702636" w:rsidRDefault="00F31E60" w:rsidP="00F31E60">
      <w:pPr>
        <w:pStyle w:val="Zkladntext"/>
        <w:spacing w:line="276" w:lineRule="auto"/>
        <w:outlineLvl w:val="0"/>
        <w:rPr>
          <w:rFonts w:cs="Arial"/>
          <w:i w:val="0"/>
          <w:sz w:val="20"/>
          <w:szCs w:val="20"/>
        </w:rPr>
      </w:pPr>
      <w:r w:rsidRPr="00702636">
        <w:rPr>
          <w:rFonts w:cs="Arial"/>
          <w:b/>
          <w:bCs/>
          <w:i w:val="0"/>
          <w:sz w:val="20"/>
          <w:szCs w:val="20"/>
        </w:rPr>
        <w:t>Průměrná míra inflace</w:t>
      </w:r>
      <w:r w:rsidRPr="00702636">
        <w:rPr>
          <w:rFonts w:cs="Arial"/>
          <w:i w:val="0"/>
          <w:sz w:val="20"/>
          <w:szCs w:val="20"/>
        </w:rPr>
        <w:t xml:space="preserve"> </w:t>
      </w:r>
    </w:p>
    <w:p w:rsidR="00F31E60" w:rsidRPr="00702636" w:rsidRDefault="00F31E60" w:rsidP="00F31E60">
      <w:pPr>
        <w:pStyle w:val="Zkladntext"/>
        <w:spacing w:line="276" w:lineRule="auto"/>
        <w:outlineLvl w:val="0"/>
        <w:rPr>
          <w:rFonts w:eastAsia="Calibri"/>
          <w:i w:val="0"/>
          <w:iCs w:val="0"/>
          <w:sz w:val="20"/>
          <w:szCs w:val="20"/>
        </w:rPr>
      </w:pPr>
      <w:r w:rsidRPr="00702636">
        <w:rPr>
          <w:rFonts w:cs="Arial"/>
          <w:bCs/>
          <w:sz w:val="20"/>
          <w:szCs w:val="20"/>
        </w:rPr>
        <w:t>„Průměrná míra inflace</w:t>
      </w:r>
      <w:r w:rsidRPr="0070699C">
        <w:rPr>
          <w:rFonts w:cs="Arial"/>
          <w:bCs/>
          <w:sz w:val="20"/>
          <w:szCs w:val="20"/>
        </w:rPr>
        <w:t xml:space="preserve"> </w:t>
      </w:r>
      <w:r w:rsidRPr="00702636">
        <w:rPr>
          <w:rFonts w:cs="Arial"/>
          <w:bCs/>
          <w:sz w:val="20"/>
          <w:szCs w:val="20"/>
        </w:rPr>
        <w:t>za</w:t>
      </w:r>
      <w:r>
        <w:rPr>
          <w:rFonts w:cs="Arial"/>
          <w:sz w:val="20"/>
          <w:szCs w:val="20"/>
        </w:rPr>
        <w:t> rok</w:t>
      </w:r>
      <w:r w:rsidRPr="00702636">
        <w:rPr>
          <w:rFonts w:cs="Arial"/>
          <w:sz w:val="20"/>
          <w:szCs w:val="20"/>
        </w:rPr>
        <w:t xml:space="preserve"> 202</w:t>
      </w:r>
      <w:r>
        <w:rPr>
          <w:rFonts w:cs="Arial"/>
          <w:sz w:val="20"/>
          <w:szCs w:val="20"/>
        </w:rPr>
        <w:t>2</w:t>
      </w:r>
      <w:r w:rsidRPr="00702636">
        <w:rPr>
          <w:rFonts w:cs="Arial"/>
          <w:sz w:val="20"/>
          <w:szCs w:val="20"/>
        </w:rPr>
        <w:t xml:space="preserve"> </w:t>
      </w:r>
      <w:r>
        <w:rPr>
          <w:rFonts w:eastAsia="Calibri"/>
          <w:iCs w:val="0"/>
          <w:sz w:val="20"/>
          <w:szCs w:val="22"/>
        </w:rPr>
        <w:t>činila 15,1 %</w:t>
      </w:r>
      <w:r w:rsidR="00417747">
        <w:rPr>
          <w:rFonts w:eastAsia="Calibri"/>
          <w:iCs w:val="0"/>
          <w:sz w:val="20"/>
          <w:szCs w:val="22"/>
        </w:rPr>
        <w:t>.</w:t>
      </w:r>
      <w:r w:rsidRPr="00702636">
        <w:rPr>
          <w:rFonts w:eastAsia="Calibri"/>
          <w:iCs w:val="0"/>
          <w:sz w:val="20"/>
          <w:szCs w:val="22"/>
        </w:rPr>
        <w:t xml:space="preserve"> </w:t>
      </w:r>
      <w:r w:rsidR="002F0FBA">
        <w:rPr>
          <w:rFonts w:eastAsia="Calibri"/>
          <w:iCs w:val="0"/>
          <w:sz w:val="20"/>
          <w:szCs w:val="22"/>
        </w:rPr>
        <w:t>Šlo o</w:t>
      </w:r>
      <w:r w:rsidR="001C70BF">
        <w:rPr>
          <w:rFonts w:eastAsia="Calibri"/>
          <w:iCs w:val="0"/>
          <w:sz w:val="20"/>
          <w:szCs w:val="22"/>
        </w:rPr>
        <w:t> </w:t>
      </w:r>
      <w:r w:rsidR="002F0FBA">
        <w:rPr>
          <w:rFonts w:eastAsia="Calibri"/>
          <w:iCs w:val="0"/>
          <w:sz w:val="20"/>
          <w:szCs w:val="22"/>
        </w:rPr>
        <w:t>druhou n</w:t>
      </w:r>
      <w:r w:rsidRPr="00702636">
        <w:rPr>
          <w:rFonts w:eastAsia="Calibri"/>
          <w:iCs w:val="0"/>
          <w:sz w:val="20"/>
          <w:szCs w:val="22"/>
        </w:rPr>
        <w:t>ejvyšší</w:t>
      </w:r>
      <w:r>
        <w:rPr>
          <w:rFonts w:eastAsia="Calibri"/>
          <w:iCs w:val="0"/>
          <w:sz w:val="20"/>
          <w:szCs w:val="22"/>
        </w:rPr>
        <w:t xml:space="preserve"> </w:t>
      </w:r>
      <w:r w:rsidR="002F0FBA">
        <w:rPr>
          <w:rFonts w:eastAsia="Calibri"/>
          <w:iCs w:val="0"/>
          <w:sz w:val="20"/>
          <w:szCs w:val="22"/>
        </w:rPr>
        <w:t xml:space="preserve">hodnotu </w:t>
      </w:r>
      <w:r>
        <w:rPr>
          <w:rFonts w:eastAsia="Calibri"/>
          <w:iCs w:val="0"/>
          <w:sz w:val="20"/>
          <w:szCs w:val="22"/>
        </w:rPr>
        <w:t>od </w:t>
      </w:r>
      <w:r w:rsidR="00D961DA">
        <w:rPr>
          <w:rFonts w:eastAsia="Calibri"/>
          <w:iCs w:val="0"/>
          <w:sz w:val="20"/>
          <w:szCs w:val="22"/>
        </w:rPr>
        <w:t>vzniku samostatné České republiky. Vyšší byla pouze v</w:t>
      </w:r>
      <w:r w:rsidR="00D0788C">
        <w:rPr>
          <w:rFonts w:eastAsia="Calibri"/>
          <w:iCs w:val="0"/>
          <w:sz w:val="20"/>
          <w:szCs w:val="22"/>
        </w:rPr>
        <w:t> </w:t>
      </w:r>
      <w:r w:rsidR="00D961DA">
        <w:rPr>
          <w:rFonts w:eastAsia="Calibri"/>
          <w:iCs w:val="0"/>
          <w:sz w:val="20"/>
          <w:szCs w:val="22"/>
        </w:rPr>
        <w:t>roce</w:t>
      </w:r>
      <w:r w:rsidRPr="00702636">
        <w:rPr>
          <w:rFonts w:eastAsia="Calibri"/>
          <w:iCs w:val="0"/>
          <w:sz w:val="20"/>
          <w:szCs w:val="22"/>
        </w:rPr>
        <w:t xml:space="preserve"> </w:t>
      </w:r>
      <w:r w:rsidR="00A73333">
        <w:rPr>
          <w:rFonts w:eastAsia="Calibri"/>
          <w:iCs w:val="0"/>
          <w:sz w:val="20"/>
          <w:szCs w:val="22"/>
        </w:rPr>
        <w:t>1993</w:t>
      </w:r>
      <w:r w:rsidR="00D961DA">
        <w:rPr>
          <w:rFonts w:eastAsia="Calibri"/>
          <w:iCs w:val="0"/>
          <w:sz w:val="20"/>
          <w:szCs w:val="22"/>
        </w:rPr>
        <w:t>, a</w:t>
      </w:r>
      <w:r w:rsidR="00D0788C">
        <w:rPr>
          <w:rFonts w:eastAsia="Calibri"/>
          <w:iCs w:val="0"/>
          <w:sz w:val="20"/>
          <w:szCs w:val="22"/>
        </w:rPr>
        <w:t> </w:t>
      </w:r>
      <w:r w:rsidR="00FE43C7">
        <w:rPr>
          <w:rFonts w:eastAsia="Calibri"/>
          <w:iCs w:val="0"/>
          <w:sz w:val="20"/>
          <w:szCs w:val="22"/>
        </w:rPr>
        <w:t>to </w:t>
      </w:r>
      <w:r w:rsidR="00D961DA">
        <w:rPr>
          <w:rFonts w:eastAsia="Calibri"/>
          <w:iCs w:val="0"/>
          <w:sz w:val="20"/>
          <w:szCs w:val="22"/>
        </w:rPr>
        <w:t>20,8 %.</w:t>
      </w:r>
      <w:r w:rsidRPr="00702636">
        <w:rPr>
          <w:rFonts w:eastAsia="Calibri"/>
          <w:iCs w:val="0"/>
          <w:sz w:val="20"/>
          <w:szCs w:val="22"/>
        </w:rPr>
        <w:t xml:space="preserve"> Ceny zboží úhrnem v roce 202</w:t>
      </w:r>
      <w:r w:rsidR="00326AC7">
        <w:rPr>
          <w:rFonts w:eastAsia="Calibri"/>
          <w:iCs w:val="0"/>
          <w:sz w:val="20"/>
          <w:szCs w:val="22"/>
        </w:rPr>
        <w:t>2</w:t>
      </w:r>
      <w:r w:rsidRPr="00702636">
        <w:rPr>
          <w:rFonts w:eastAsia="Calibri"/>
          <w:iCs w:val="0"/>
          <w:sz w:val="20"/>
          <w:szCs w:val="22"/>
        </w:rPr>
        <w:t xml:space="preserve"> vzrostly o </w:t>
      </w:r>
      <w:r w:rsidR="00B22172">
        <w:rPr>
          <w:rFonts w:eastAsia="Calibri"/>
          <w:iCs w:val="0"/>
          <w:sz w:val="20"/>
          <w:szCs w:val="22"/>
        </w:rPr>
        <w:t>16,8</w:t>
      </w:r>
      <w:r w:rsidRPr="00702636">
        <w:rPr>
          <w:rFonts w:eastAsia="Calibri"/>
          <w:iCs w:val="0"/>
          <w:sz w:val="20"/>
          <w:szCs w:val="22"/>
        </w:rPr>
        <w:t> % a ceny služeb o </w:t>
      </w:r>
      <w:r w:rsidR="00B22172">
        <w:rPr>
          <w:rFonts w:eastAsia="Calibri"/>
          <w:iCs w:val="0"/>
          <w:sz w:val="20"/>
          <w:szCs w:val="22"/>
        </w:rPr>
        <w:t>12,3 </w:t>
      </w:r>
      <w:r w:rsidRPr="00DB3158">
        <w:rPr>
          <w:rFonts w:eastAsia="Calibri"/>
          <w:iCs w:val="0"/>
          <w:sz w:val="20"/>
          <w:szCs w:val="20"/>
        </w:rPr>
        <w:t>%</w:t>
      </w:r>
      <w:r w:rsidRPr="00702636">
        <w:rPr>
          <w:rFonts w:eastAsia="Calibri"/>
          <w:i w:val="0"/>
          <w:iCs w:val="0"/>
          <w:sz w:val="20"/>
          <w:szCs w:val="20"/>
        </w:rPr>
        <w:t xml:space="preserve">,“ </w:t>
      </w:r>
      <w:r w:rsidRPr="00702636">
        <w:rPr>
          <w:rFonts w:cs="Arial"/>
          <w:i w:val="0"/>
          <w:sz w:val="20"/>
          <w:szCs w:val="20"/>
          <w:lang w:eastAsia="cs-CZ"/>
        </w:rPr>
        <w:t>uvádí Pavla Šedivá, vedoucí oddělení statistiky spotřebitelských cen ČSÚ.</w:t>
      </w:r>
    </w:p>
    <w:p w:rsidR="00F31E60" w:rsidRPr="004D7C35" w:rsidRDefault="00F31E60" w:rsidP="00F31E60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7C02FC">
        <w:rPr>
          <w:rFonts w:eastAsia="Calibri"/>
          <w:i w:val="0"/>
          <w:iCs w:val="0"/>
          <w:sz w:val="20"/>
          <w:szCs w:val="22"/>
        </w:rPr>
        <w:t>(Shrnutí vývoje indexu spotřebitelských cen v roce 20</w:t>
      </w:r>
      <w:r>
        <w:rPr>
          <w:rFonts w:eastAsia="Calibri"/>
          <w:i w:val="0"/>
          <w:iCs w:val="0"/>
          <w:sz w:val="20"/>
          <w:szCs w:val="22"/>
        </w:rPr>
        <w:t>2</w:t>
      </w:r>
      <w:r w:rsidR="00D961DA">
        <w:rPr>
          <w:rFonts w:eastAsia="Calibri"/>
          <w:i w:val="0"/>
          <w:iCs w:val="0"/>
          <w:sz w:val="20"/>
          <w:szCs w:val="22"/>
        </w:rPr>
        <w:t>2</w:t>
      </w:r>
      <w:r w:rsidRPr="007C02FC">
        <w:rPr>
          <w:rFonts w:eastAsia="Calibri"/>
          <w:i w:val="0"/>
          <w:iCs w:val="0"/>
          <w:sz w:val="20"/>
          <w:szCs w:val="22"/>
        </w:rPr>
        <w:t xml:space="preserve"> je součástí souběžně vydávané</w:t>
      </w:r>
      <w:r w:rsidRPr="004D7C35">
        <w:rPr>
          <w:rFonts w:eastAsia="Calibri"/>
          <w:i w:val="0"/>
          <w:iCs w:val="0"/>
          <w:sz w:val="20"/>
          <w:szCs w:val="22"/>
        </w:rPr>
        <w:t xml:space="preserve"> analýzy za 4. čtvrtletí.)</w:t>
      </w:r>
    </w:p>
    <w:p w:rsidR="00B51562" w:rsidRDefault="00B51562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bookmarkStart w:id="0" w:name="_GoBack"/>
      <w:bookmarkEnd w:id="0"/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B3645D">
        <w:rPr>
          <w:rFonts w:cs="Arial"/>
          <w:b/>
          <w:bCs/>
          <w:sz w:val="20"/>
          <w:szCs w:val="20"/>
        </w:rPr>
        <w:t>Harmonizovaný index spotřebitelských cen</w:t>
      </w:r>
      <w:r w:rsidRPr="00B3645D">
        <w:rPr>
          <w:rFonts w:cs="Arial"/>
          <w:sz w:val="20"/>
          <w:szCs w:val="20"/>
        </w:rPr>
        <w:t xml:space="preserve"> (HICP)</w:t>
      </w:r>
      <w:r w:rsidRPr="00B3645D">
        <w:rPr>
          <w:rStyle w:val="Znakapoznpodarou"/>
          <w:rFonts w:cs="Arial"/>
          <w:sz w:val="20"/>
          <w:szCs w:val="20"/>
        </w:rPr>
        <w:footnoteReference w:id="2"/>
      </w:r>
      <w:r w:rsidRPr="00B3645D">
        <w:rPr>
          <w:rFonts w:cs="Arial"/>
          <w:sz w:val="20"/>
          <w:szCs w:val="20"/>
          <w:vertAlign w:val="superscript"/>
        </w:rPr>
        <w:t>)</w:t>
      </w:r>
    </w:p>
    <w:p w:rsidR="00BF083E" w:rsidRPr="00B3645D" w:rsidRDefault="000A4DE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byla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prosinci</w:t>
      </w:r>
      <w:r w:rsidRPr="004875C1">
        <w:rPr>
          <w:rFonts w:cs="Arial"/>
          <w:sz w:val="20"/>
          <w:szCs w:val="20"/>
        </w:rPr>
        <w:t xml:space="preserve"> </w:t>
      </w:r>
      <w:r w:rsidRPr="00DF3823">
        <w:rPr>
          <w:rFonts w:cs="Arial"/>
          <w:b/>
          <w:sz w:val="20"/>
          <w:szCs w:val="20"/>
        </w:rPr>
        <w:t xml:space="preserve">meziměsíční </w:t>
      </w:r>
      <w:r w:rsidRPr="00961319">
        <w:rPr>
          <w:rFonts w:cs="Arial"/>
          <w:sz w:val="20"/>
          <w:szCs w:val="20"/>
        </w:rPr>
        <w:t>změna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sz w:val="20"/>
          <w:szCs w:val="20"/>
        </w:rPr>
        <w:t>Č</w:t>
      </w:r>
      <w:r>
        <w:rPr>
          <w:rFonts w:cs="Arial"/>
          <w:sz w:val="20"/>
          <w:szCs w:val="20"/>
        </w:rPr>
        <w:t>esku 0,0</w:t>
      </w:r>
      <w:r w:rsidRPr="004875C1">
        <w:rPr>
          <w:rFonts w:cs="Arial"/>
          <w:sz w:val="20"/>
          <w:szCs w:val="20"/>
        </w:rPr>
        <w:t> %</w:t>
      </w:r>
      <w:r w:rsidRPr="00B512BD">
        <w:rPr>
          <w:rFonts w:cs="Arial"/>
          <w:sz w:val="20"/>
          <w:szCs w:val="20"/>
        </w:rPr>
        <w:t xml:space="preserve"> a </w:t>
      </w:r>
      <w:r w:rsidRPr="00B512BD">
        <w:rPr>
          <w:rFonts w:cs="Arial"/>
          <w:b/>
          <w:sz w:val="20"/>
          <w:szCs w:val="20"/>
        </w:rPr>
        <w:t>meziročn</w:t>
      </w:r>
      <w:r>
        <w:rPr>
          <w:rFonts w:cs="Arial"/>
          <w:b/>
          <w:sz w:val="20"/>
          <w:szCs w:val="20"/>
        </w:rPr>
        <w:t>í</w:t>
      </w:r>
      <w:r w:rsidRPr="00B512B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16,8</w:t>
      </w:r>
      <w:r w:rsidRPr="00B512BD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(v</w:t>
      </w:r>
      <w:r w:rsidR="00FE43C7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listopadu 17,2 %)</w:t>
      </w:r>
      <w:r w:rsidRPr="00B512BD">
        <w:rPr>
          <w:rFonts w:cs="Arial"/>
          <w:sz w:val="20"/>
          <w:szCs w:val="20"/>
        </w:rPr>
        <w:t>.</w:t>
      </w:r>
      <w:r w:rsidRPr="0008480C">
        <w:rPr>
          <w:rFonts w:cs="Arial"/>
          <w:sz w:val="20"/>
          <w:szCs w:val="20"/>
        </w:rPr>
        <w:t xml:space="preserve"> </w:t>
      </w:r>
      <w:r w:rsidR="00BF083E" w:rsidRPr="004B5EC8">
        <w:rPr>
          <w:rFonts w:cs="Arial"/>
          <w:b/>
          <w:sz w:val="20"/>
          <w:szCs w:val="20"/>
        </w:rPr>
        <w:t>Podle bleskových odhadů</w:t>
      </w:r>
      <w:r w:rsidR="00BF083E" w:rsidRPr="004B5EC8">
        <w:rPr>
          <w:rFonts w:cs="Arial"/>
          <w:sz w:val="20"/>
          <w:szCs w:val="20"/>
        </w:rPr>
        <w:t xml:space="preserve"> Eurostatu</w:t>
      </w:r>
      <w:r w:rsidR="00BF083E" w:rsidRPr="004B5EC8">
        <w:rPr>
          <w:rFonts w:cs="Arial"/>
          <w:b/>
          <w:sz w:val="20"/>
          <w:szCs w:val="20"/>
        </w:rPr>
        <w:t xml:space="preserve"> </w:t>
      </w:r>
      <w:r w:rsidR="00BF083E" w:rsidRPr="00B92E0A">
        <w:rPr>
          <w:rFonts w:cs="Arial"/>
          <w:sz w:val="20"/>
          <w:szCs w:val="20"/>
        </w:rPr>
        <w:t>byla</w:t>
      </w:r>
      <w:r w:rsidR="00BF083E" w:rsidRPr="00B92E0A">
        <w:rPr>
          <w:rFonts w:cs="Arial"/>
          <w:b/>
          <w:sz w:val="20"/>
          <w:szCs w:val="20"/>
        </w:rPr>
        <w:t xml:space="preserve"> meziroční</w:t>
      </w:r>
      <w:r w:rsidR="00BF083E" w:rsidRPr="00B92E0A">
        <w:rPr>
          <w:rFonts w:cs="Arial"/>
          <w:sz w:val="20"/>
          <w:szCs w:val="20"/>
        </w:rPr>
        <w:t xml:space="preserve"> změna</w:t>
      </w:r>
      <w:r w:rsidR="00BF083E" w:rsidRPr="00B3645D">
        <w:rPr>
          <w:rFonts w:cs="Arial"/>
          <w:sz w:val="20"/>
          <w:szCs w:val="20"/>
        </w:rPr>
        <w:t xml:space="preserve"> HICP </w:t>
      </w:r>
      <w:r w:rsidR="00BF083E" w:rsidRPr="00B3645D">
        <w:rPr>
          <w:rFonts w:cs="Arial"/>
          <w:b/>
          <w:sz w:val="20"/>
          <w:szCs w:val="20"/>
        </w:rPr>
        <w:t>v </w:t>
      </w:r>
      <w:r w:rsidR="00066322">
        <w:rPr>
          <w:rFonts w:cs="Arial"/>
          <w:b/>
          <w:sz w:val="20"/>
          <w:szCs w:val="20"/>
        </w:rPr>
        <w:t>prosinci</w:t>
      </w:r>
      <w:r w:rsidR="00BF083E" w:rsidRPr="00B3645D">
        <w:rPr>
          <w:rFonts w:cs="Arial"/>
          <w:b/>
          <w:bCs/>
          <w:sz w:val="20"/>
          <w:szCs w:val="20"/>
        </w:rPr>
        <w:t xml:space="preserve"> 2022 </w:t>
      </w:r>
      <w:r w:rsidR="00BF083E" w:rsidRPr="00B3645D">
        <w:rPr>
          <w:rFonts w:cs="Arial"/>
          <w:sz w:val="20"/>
          <w:szCs w:val="20"/>
        </w:rPr>
        <w:t xml:space="preserve">za Eurozónu </w:t>
      </w:r>
      <w:r w:rsidR="00800B2A" w:rsidRPr="00800B2A">
        <w:rPr>
          <w:rFonts w:cs="Arial"/>
          <w:sz w:val="20"/>
          <w:szCs w:val="20"/>
        </w:rPr>
        <w:t>9,2</w:t>
      </w:r>
      <w:r w:rsidR="00BF083E" w:rsidRPr="00800B2A">
        <w:rPr>
          <w:rFonts w:cs="Arial"/>
          <w:sz w:val="20"/>
          <w:szCs w:val="20"/>
        </w:rPr>
        <w:t> % (v </w:t>
      </w:r>
      <w:r w:rsidR="002F63F3" w:rsidRPr="00800B2A">
        <w:rPr>
          <w:rFonts w:cs="Arial"/>
          <w:sz w:val="20"/>
          <w:szCs w:val="20"/>
        </w:rPr>
        <w:t>listopadu</w:t>
      </w:r>
      <w:r w:rsidR="00BF083E" w:rsidRPr="00800B2A">
        <w:rPr>
          <w:rFonts w:cs="Arial"/>
          <w:sz w:val="20"/>
          <w:szCs w:val="20"/>
        </w:rPr>
        <w:t xml:space="preserve"> </w:t>
      </w:r>
      <w:r w:rsidR="00800B2A" w:rsidRPr="00800B2A">
        <w:rPr>
          <w:rFonts w:cs="Arial"/>
          <w:sz w:val="20"/>
          <w:szCs w:val="20"/>
        </w:rPr>
        <w:t>10,1</w:t>
      </w:r>
      <w:r w:rsidR="00BF083E" w:rsidRPr="00800B2A">
        <w:rPr>
          <w:rFonts w:cs="Arial"/>
          <w:sz w:val="20"/>
          <w:szCs w:val="20"/>
        </w:rPr>
        <w:t xml:space="preserve"> %), na Slovensku </w:t>
      </w:r>
      <w:r w:rsidR="004676D5" w:rsidRPr="00800B2A">
        <w:rPr>
          <w:rFonts w:cs="Arial"/>
          <w:sz w:val="20"/>
          <w:szCs w:val="20"/>
        </w:rPr>
        <w:t>15,</w:t>
      </w:r>
      <w:r w:rsidR="00800B2A" w:rsidRPr="00800B2A">
        <w:rPr>
          <w:rFonts w:cs="Arial"/>
          <w:sz w:val="20"/>
          <w:szCs w:val="20"/>
        </w:rPr>
        <w:t>0</w:t>
      </w:r>
      <w:r w:rsidR="00BF083E" w:rsidRPr="00800B2A">
        <w:rPr>
          <w:rFonts w:cs="Arial"/>
          <w:sz w:val="20"/>
          <w:szCs w:val="20"/>
        </w:rPr>
        <w:t> % a v Německu</w:t>
      </w:r>
      <w:r w:rsidR="00BF083E" w:rsidRPr="00800B2A">
        <w:rPr>
          <w:rFonts w:cs="Arial"/>
          <w:bCs/>
          <w:sz w:val="20"/>
          <w:szCs w:val="20"/>
        </w:rPr>
        <w:t xml:space="preserve"> </w:t>
      </w:r>
      <w:r w:rsidR="00800B2A" w:rsidRPr="00800B2A">
        <w:rPr>
          <w:rFonts w:cs="Arial"/>
          <w:bCs/>
          <w:sz w:val="20"/>
          <w:szCs w:val="20"/>
        </w:rPr>
        <w:t>9,6</w:t>
      </w:r>
      <w:r w:rsidR="00BF083E" w:rsidRPr="00800B2A">
        <w:rPr>
          <w:rFonts w:cs="Arial"/>
          <w:bCs/>
          <w:sz w:val="20"/>
          <w:szCs w:val="20"/>
        </w:rPr>
        <w:t> %.</w:t>
      </w:r>
      <w:r w:rsidR="007D5451" w:rsidRPr="00800B2A">
        <w:rPr>
          <w:rFonts w:cs="Arial"/>
          <w:bCs/>
          <w:sz w:val="20"/>
          <w:szCs w:val="20"/>
        </w:rPr>
        <w:t xml:space="preserve"> Nejvyšší byla v</w:t>
      </w:r>
      <w:r w:rsidR="00B3645D" w:rsidRPr="00800B2A">
        <w:rPr>
          <w:rFonts w:cs="Arial"/>
          <w:bCs/>
          <w:sz w:val="20"/>
          <w:szCs w:val="20"/>
        </w:rPr>
        <w:t> </w:t>
      </w:r>
      <w:r w:rsidR="002F63F3" w:rsidRPr="00800B2A">
        <w:rPr>
          <w:rFonts w:cs="Arial"/>
          <w:bCs/>
          <w:sz w:val="20"/>
          <w:szCs w:val="20"/>
        </w:rPr>
        <w:t>prosinci</w:t>
      </w:r>
      <w:r w:rsidR="00B3645D" w:rsidRPr="00800B2A">
        <w:rPr>
          <w:rFonts w:cs="Arial"/>
          <w:bCs/>
          <w:sz w:val="20"/>
          <w:szCs w:val="20"/>
        </w:rPr>
        <w:t xml:space="preserve"> v </w:t>
      </w:r>
      <w:r w:rsidR="004676D5" w:rsidRPr="00800B2A">
        <w:rPr>
          <w:rFonts w:cs="Arial"/>
          <w:bCs/>
          <w:sz w:val="20"/>
          <w:szCs w:val="20"/>
        </w:rPr>
        <w:t>Lotyšsku</w:t>
      </w:r>
      <w:r w:rsidR="007D5451" w:rsidRPr="00800B2A">
        <w:rPr>
          <w:rFonts w:cs="Arial"/>
          <w:bCs/>
          <w:sz w:val="20"/>
          <w:szCs w:val="20"/>
        </w:rPr>
        <w:t xml:space="preserve"> </w:t>
      </w:r>
      <w:r w:rsidR="004264D3" w:rsidRPr="00800B2A">
        <w:rPr>
          <w:rFonts w:cs="Arial"/>
          <w:bCs/>
          <w:sz w:val="20"/>
          <w:szCs w:val="20"/>
        </w:rPr>
        <w:t>(</w:t>
      </w:r>
      <w:r w:rsidR="007D5451" w:rsidRPr="00800B2A">
        <w:rPr>
          <w:rFonts w:cs="Arial"/>
          <w:bCs/>
          <w:sz w:val="20"/>
          <w:szCs w:val="20"/>
        </w:rPr>
        <w:t>2</w:t>
      </w:r>
      <w:r w:rsidR="00800B2A" w:rsidRPr="00800B2A">
        <w:rPr>
          <w:rFonts w:cs="Arial"/>
          <w:bCs/>
          <w:sz w:val="20"/>
          <w:szCs w:val="20"/>
        </w:rPr>
        <w:t>0</w:t>
      </w:r>
      <w:r w:rsidR="004676D5" w:rsidRPr="00800B2A">
        <w:rPr>
          <w:rFonts w:cs="Arial"/>
          <w:bCs/>
          <w:sz w:val="20"/>
          <w:szCs w:val="20"/>
        </w:rPr>
        <w:t>,7</w:t>
      </w:r>
      <w:r w:rsidR="00B3645D" w:rsidRPr="00800B2A">
        <w:rPr>
          <w:rFonts w:cs="Arial"/>
          <w:bCs/>
          <w:sz w:val="20"/>
          <w:szCs w:val="20"/>
        </w:rPr>
        <w:t> </w:t>
      </w:r>
      <w:r w:rsidR="00DE378D" w:rsidRPr="00800B2A">
        <w:rPr>
          <w:rFonts w:cs="Arial"/>
          <w:bCs/>
          <w:sz w:val="20"/>
          <w:szCs w:val="20"/>
        </w:rPr>
        <w:t>%</w:t>
      </w:r>
      <w:r w:rsidR="004264D3" w:rsidRPr="00800B2A">
        <w:rPr>
          <w:rFonts w:cs="Arial"/>
          <w:bCs/>
          <w:sz w:val="20"/>
          <w:szCs w:val="20"/>
        </w:rPr>
        <w:t>)</w:t>
      </w:r>
      <w:r w:rsidR="00DE378D" w:rsidRPr="00800B2A">
        <w:rPr>
          <w:rFonts w:cs="Arial"/>
          <w:bCs/>
          <w:sz w:val="20"/>
          <w:szCs w:val="20"/>
        </w:rPr>
        <w:t>.</w:t>
      </w:r>
      <w:r w:rsidR="00BF083E" w:rsidRPr="00B3645D">
        <w:rPr>
          <w:rFonts w:cs="Arial"/>
          <w:bCs/>
          <w:sz w:val="20"/>
          <w:szCs w:val="20"/>
        </w:rPr>
        <w:t xml:space="preserve"> P</w:t>
      </w:r>
      <w:r w:rsidR="00BF083E" w:rsidRPr="00B3645D">
        <w:rPr>
          <w:rFonts w:cs="Arial"/>
          <w:sz w:val="20"/>
          <w:szCs w:val="20"/>
        </w:rPr>
        <w:t xml:space="preserve">odle předběžných údajů Eurostatu byla </w:t>
      </w:r>
      <w:r w:rsidR="00BF083E" w:rsidRPr="00B3645D">
        <w:rPr>
          <w:rFonts w:cs="Arial"/>
          <w:b/>
          <w:sz w:val="20"/>
          <w:szCs w:val="20"/>
        </w:rPr>
        <w:t>meziroční</w:t>
      </w:r>
      <w:r w:rsidR="00BF083E" w:rsidRPr="00B3645D">
        <w:rPr>
          <w:rFonts w:cs="Arial"/>
          <w:sz w:val="20"/>
          <w:szCs w:val="20"/>
        </w:rPr>
        <w:t xml:space="preserve"> změna HICP </w:t>
      </w:r>
      <w:r w:rsidR="00BF083E" w:rsidRPr="00B3645D">
        <w:rPr>
          <w:rFonts w:cs="Arial"/>
          <w:b/>
          <w:bCs/>
          <w:sz w:val="20"/>
          <w:szCs w:val="20"/>
        </w:rPr>
        <w:t xml:space="preserve">27 členských zemí EU </w:t>
      </w:r>
      <w:r w:rsidR="00BF083E" w:rsidRPr="00B3645D">
        <w:rPr>
          <w:rFonts w:cs="Arial"/>
          <w:b/>
          <w:sz w:val="20"/>
          <w:szCs w:val="20"/>
        </w:rPr>
        <w:t>v </w:t>
      </w:r>
      <w:r w:rsidR="00066322">
        <w:rPr>
          <w:rFonts w:cs="Arial"/>
          <w:b/>
          <w:sz w:val="20"/>
          <w:szCs w:val="20"/>
        </w:rPr>
        <w:t>listopadu</w:t>
      </w:r>
      <w:r w:rsidR="00BF083E" w:rsidRPr="00B3645D">
        <w:rPr>
          <w:rFonts w:cs="Arial"/>
          <w:b/>
          <w:sz w:val="20"/>
          <w:szCs w:val="20"/>
        </w:rPr>
        <w:t xml:space="preserve"> </w:t>
      </w:r>
      <w:r w:rsidR="00F50017" w:rsidRPr="00F50017">
        <w:rPr>
          <w:rFonts w:cs="Arial"/>
          <w:sz w:val="20"/>
          <w:szCs w:val="20"/>
        </w:rPr>
        <w:t>1</w:t>
      </w:r>
      <w:r w:rsidR="004676D5">
        <w:rPr>
          <w:rFonts w:cs="Arial"/>
          <w:sz w:val="20"/>
          <w:szCs w:val="20"/>
        </w:rPr>
        <w:t>1,</w:t>
      </w:r>
      <w:r w:rsidR="00066322">
        <w:rPr>
          <w:rFonts w:cs="Arial"/>
          <w:sz w:val="20"/>
          <w:szCs w:val="20"/>
        </w:rPr>
        <w:t>1</w:t>
      </w:r>
      <w:r w:rsidR="00B25B4E" w:rsidRPr="00B3645D">
        <w:rPr>
          <w:rFonts w:cs="Arial"/>
          <w:sz w:val="20"/>
          <w:szCs w:val="20"/>
        </w:rPr>
        <w:t> %, což bylo o </w:t>
      </w:r>
      <w:r w:rsidR="00D25805" w:rsidRPr="00B3645D">
        <w:rPr>
          <w:rFonts w:cs="Arial"/>
          <w:sz w:val="20"/>
          <w:szCs w:val="20"/>
        </w:rPr>
        <w:t>0,</w:t>
      </w:r>
      <w:r w:rsidR="00066322">
        <w:rPr>
          <w:rFonts w:cs="Arial"/>
          <w:sz w:val="20"/>
          <w:szCs w:val="20"/>
        </w:rPr>
        <w:t>4</w:t>
      </w:r>
      <w:r w:rsidR="00BF083E" w:rsidRPr="00B3645D">
        <w:rPr>
          <w:rFonts w:cs="Arial"/>
          <w:sz w:val="20"/>
          <w:szCs w:val="20"/>
        </w:rPr>
        <w:t xml:space="preserve"> procentního bodu </w:t>
      </w:r>
      <w:r w:rsidR="00066322">
        <w:rPr>
          <w:rFonts w:cs="Arial"/>
          <w:sz w:val="20"/>
          <w:szCs w:val="20"/>
        </w:rPr>
        <w:t>méně</w:t>
      </w:r>
      <w:r w:rsidR="00BF083E" w:rsidRPr="00B3645D">
        <w:rPr>
          <w:rFonts w:cs="Arial"/>
          <w:sz w:val="20"/>
          <w:szCs w:val="20"/>
        </w:rPr>
        <w:t xml:space="preserve"> než v </w:t>
      </w:r>
      <w:r w:rsidR="00066322">
        <w:rPr>
          <w:rFonts w:cs="Arial"/>
          <w:sz w:val="20"/>
          <w:szCs w:val="20"/>
        </w:rPr>
        <w:t>říjnu</w:t>
      </w:r>
      <w:r w:rsidR="00BF083E" w:rsidRPr="00B3645D">
        <w:rPr>
          <w:rFonts w:cs="Arial"/>
          <w:sz w:val="20"/>
          <w:szCs w:val="20"/>
        </w:rPr>
        <w:t xml:space="preserve">. </w:t>
      </w:r>
      <w:r w:rsidR="00BF083E" w:rsidRPr="00B3645D">
        <w:rPr>
          <w:rFonts w:cs="Arial"/>
          <w:bCs/>
          <w:sz w:val="20"/>
          <w:szCs w:val="20"/>
        </w:rPr>
        <w:t>Nejvíce ceny v </w:t>
      </w:r>
      <w:r w:rsidR="00066322">
        <w:rPr>
          <w:rFonts w:cs="Arial"/>
          <w:bCs/>
          <w:sz w:val="20"/>
          <w:szCs w:val="20"/>
        </w:rPr>
        <w:t>listopadu</w:t>
      </w:r>
      <w:r w:rsidR="00BF083E" w:rsidRPr="00B3645D">
        <w:rPr>
          <w:rFonts w:cs="Arial"/>
          <w:bCs/>
          <w:sz w:val="20"/>
          <w:szCs w:val="20"/>
        </w:rPr>
        <w:t xml:space="preserve"> meziročně vzrostly v </w:t>
      </w:r>
      <w:r w:rsidR="00066322">
        <w:rPr>
          <w:rFonts w:cs="Arial"/>
          <w:bCs/>
          <w:sz w:val="20"/>
          <w:szCs w:val="20"/>
        </w:rPr>
        <w:t>Maďarsku</w:t>
      </w:r>
      <w:r w:rsidR="00BF083E" w:rsidRPr="00B3645D">
        <w:rPr>
          <w:rFonts w:cs="Arial"/>
          <w:bCs/>
          <w:sz w:val="20"/>
          <w:szCs w:val="20"/>
        </w:rPr>
        <w:t xml:space="preserve"> (o </w:t>
      </w:r>
      <w:r w:rsidR="002D3097">
        <w:rPr>
          <w:rFonts w:cs="Arial"/>
          <w:bCs/>
          <w:sz w:val="20"/>
          <w:szCs w:val="20"/>
        </w:rPr>
        <w:t>2</w:t>
      </w:r>
      <w:r w:rsidR="00066322">
        <w:rPr>
          <w:rFonts w:cs="Arial"/>
          <w:bCs/>
          <w:sz w:val="20"/>
          <w:szCs w:val="20"/>
        </w:rPr>
        <w:t>3,1</w:t>
      </w:r>
      <w:r w:rsidR="00B25B4E" w:rsidRPr="00B3645D">
        <w:rPr>
          <w:rFonts w:cs="Arial"/>
          <w:bCs/>
          <w:sz w:val="20"/>
          <w:szCs w:val="20"/>
        </w:rPr>
        <w:t> %) a nejméně</w:t>
      </w:r>
      <w:r w:rsidR="00A04F7D" w:rsidRPr="00B3645D">
        <w:rPr>
          <w:rFonts w:cs="Arial"/>
          <w:bCs/>
          <w:sz w:val="20"/>
          <w:szCs w:val="20"/>
        </w:rPr>
        <w:t xml:space="preserve"> </w:t>
      </w:r>
      <w:r w:rsidR="00ED6C34">
        <w:rPr>
          <w:rFonts w:cs="Arial"/>
          <w:bCs/>
          <w:sz w:val="20"/>
          <w:szCs w:val="20"/>
        </w:rPr>
        <w:t>ve </w:t>
      </w:r>
      <w:r w:rsidR="00066322">
        <w:rPr>
          <w:rFonts w:cs="Arial"/>
          <w:bCs/>
          <w:sz w:val="20"/>
          <w:szCs w:val="20"/>
        </w:rPr>
        <w:t>Španělsku</w:t>
      </w:r>
      <w:r w:rsidR="00B12D94">
        <w:rPr>
          <w:rFonts w:cs="Arial"/>
          <w:bCs/>
          <w:sz w:val="20"/>
          <w:szCs w:val="20"/>
        </w:rPr>
        <w:t xml:space="preserve"> </w:t>
      </w:r>
      <w:r w:rsidR="00BF083E" w:rsidRPr="00B3645D">
        <w:rPr>
          <w:rFonts w:cs="Arial"/>
          <w:bCs/>
          <w:sz w:val="20"/>
          <w:szCs w:val="20"/>
        </w:rPr>
        <w:t>(o </w:t>
      </w:r>
      <w:r w:rsidR="008675F5">
        <w:rPr>
          <w:rFonts w:cs="Arial"/>
          <w:bCs/>
          <w:sz w:val="20"/>
          <w:szCs w:val="20"/>
        </w:rPr>
        <w:t>6,</w:t>
      </w:r>
      <w:r w:rsidR="004676D5">
        <w:rPr>
          <w:rFonts w:cs="Arial"/>
          <w:bCs/>
          <w:sz w:val="20"/>
          <w:szCs w:val="20"/>
        </w:rPr>
        <w:t>7</w:t>
      </w:r>
      <w:r w:rsidR="00BF083E" w:rsidRPr="00B3645D">
        <w:rPr>
          <w:rFonts w:cs="Arial"/>
          <w:bCs/>
          <w:sz w:val="20"/>
          <w:szCs w:val="20"/>
        </w:rPr>
        <w:t> %).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(Více informací na internetových stránkách Eurostatu: </w:t>
      </w:r>
      <w:hyperlink r:id="rId9" w:history="1">
        <w:r w:rsidRPr="00B3645D">
          <w:rPr>
            <w:rStyle w:val="Hypertextovodkaz"/>
            <w:rFonts w:cs="Arial"/>
            <w:sz w:val="20"/>
            <w:szCs w:val="20"/>
          </w:rPr>
          <w:t>HICP</w:t>
        </w:r>
      </w:hyperlink>
      <w:r w:rsidRPr="00B3645D">
        <w:rPr>
          <w:rFonts w:cs="Arial"/>
          <w:sz w:val="20"/>
          <w:szCs w:val="20"/>
        </w:rPr>
        <w:t>.)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Pr="00B3645D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>* * *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213AF" w:rsidRDefault="008213AF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A31C5" w:rsidRPr="00B3645D" w:rsidRDefault="002A31C5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Default="008E1FDE" w:rsidP="00B7661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Od dubna 2022 jsou nově ve </w:t>
      </w:r>
      <w:hyperlink r:id="rId10" w:history="1">
        <w:r w:rsidRPr="00B3645D">
          <w:rPr>
            <w:rStyle w:val="Hypertextovodkaz"/>
            <w:rFonts w:cs="Arial"/>
            <w:sz w:val="20"/>
            <w:szCs w:val="20"/>
          </w:rPr>
          <w:t>Veřejné databázi</w:t>
        </w:r>
      </w:hyperlink>
      <w:r w:rsidRPr="00B3645D">
        <w:rPr>
          <w:rFonts w:cs="Arial"/>
          <w:sz w:val="20"/>
          <w:szCs w:val="20"/>
        </w:rPr>
        <w:t xml:space="preserve"> souběžně</w:t>
      </w:r>
      <w:r w:rsidR="00BC0C3F" w:rsidRPr="00B3645D">
        <w:rPr>
          <w:rFonts w:cs="Arial"/>
          <w:sz w:val="20"/>
          <w:szCs w:val="20"/>
        </w:rPr>
        <w:t xml:space="preserve"> s Rychlou informací</w:t>
      </w:r>
      <w:r w:rsidRPr="00B3645D">
        <w:rPr>
          <w:rFonts w:cs="Arial"/>
          <w:sz w:val="20"/>
          <w:szCs w:val="20"/>
        </w:rPr>
        <w:t xml:space="preserve"> zveřej</w:t>
      </w:r>
      <w:r w:rsidR="007167D5" w:rsidRPr="00B3645D">
        <w:rPr>
          <w:rFonts w:cs="Arial"/>
          <w:sz w:val="20"/>
          <w:szCs w:val="20"/>
        </w:rPr>
        <w:t>ňována</w:t>
      </w:r>
      <w:r w:rsidRPr="00B3645D">
        <w:rPr>
          <w:rFonts w:cs="Arial"/>
          <w:sz w:val="20"/>
          <w:szCs w:val="20"/>
        </w:rPr>
        <w:t xml:space="preserve"> data dle základního</w:t>
      </w:r>
      <w:r w:rsidR="00B7661A" w:rsidRPr="00B3645D">
        <w:rPr>
          <w:rFonts w:cs="Arial"/>
          <w:sz w:val="20"/>
          <w:szCs w:val="20"/>
        </w:rPr>
        <w:t xml:space="preserve"> i podrobného členění klasifikace ECOICOP a </w:t>
      </w:r>
      <w:r w:rsidRPr="00B3645D">
        <w:rPr>
          <w:rFonts w:cs="Arial"/>
          <w:sz w:val="20"/>
          <w:szCs w:val="20"/>
        </w:rPr>
        <w:t>spotřebitels</w:t>
      </w:r>
      <w:r w:rsidR="00BC0C3F" w:rsidRPr="00B3645D">
        <w:rPr>
          <w:rFonts w:cs="Arial"/>
          <w:sz w:val="20"/>
          <w:szCs w:val="20"/>
        </w:rPr>
        <w:t>ké ceny vybraných druhů zboží a </w:t>
      </w:r>
      <w:r w:rsidRPr="00B3645D">
        <w:rPr>
          <w:rFonts w:cs="Arial"/>
          <w:sz w:val="20"/>
          <w:szCs w:val="20"/>
        </w:rPr>
        <w:t>služeb.</w:t>
      </w:r>
    </w:p>
    <w:p w:rsidR="00363AEB" w:rsidRDefault="00363AEB" w:rsidP="00B7661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6E4AFD" w:rsidRPr="00B3645D" w:rsidRDefault="006E4AFD" w:rsidP="00B7661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1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2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012018-22 Indexy spotřebitelských cen – základní členění (měsíční periodicita), 012023-22 Indexy spotřebitelských cen – podrobné členění (měsíční periodicita) a 012019-22 Indexy spotřebitelských cen – podrobné členění (roční periodicita)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3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2F63F3">
        <w:rPr>
          <w:rFonts w:cs="Arial"/>
          <w:i/>
          <w:iCs/>
          <w:sz w:val="18"/>
          <w:szCs w:val="18"/>
        </w:rPr>
        <w:t>0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2F63F3">
        <w:rPr>
          <w:rFonts w:cs="Arial"/>
          <w:i/>
          <w:iCs/>
          <w:sz w:val="18"/>
          <w:szCs w:val="18"/>
        </w:rPr>
        <w:t>2</w:t>
      </w:r>
      <w:r w:rsidRPr="00B3645D">
        <w:rPr>
          <w:rFonts w:cs="Arial"/>
          <w:i/>
          <w:iCs/>
          <w:sz w:val="18"/>
          <w:szCs w:val="18"/>
        </w:rPr>
        <w:t>. 202</w:t>
      </w:r>
      <w:r w:rsidR="004676D5">
        <w:rPr>
          <w:rFonts w:cs="Arial"/>
          <w:i/>
          <w:iCs/>
          <w:sz w:val="18"/>
          <w:szCs w:val="18"/>
        </w:rPr>
        <w:t>3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:rsidR="00D209A7" w:rsidRPr="00BF083E" w:rsidRDefault="00D209A7" w:rsidP="00BF083E"/>
    <w:sectPr w:rsidR="00D209A7" w:rsidRPr="00BF083E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3A" w:rsidRDefault="00F37C3A" w:rsidP="00BA6370">
      <w:r>
        <w:separator/>
      </w:r>
    </w:p>
  </w:endnote>
  <w:endnote w:type="continuationSeparator" w:id="0">
    <w:p w:rsidR="00F37C3A" w:rsidRDefault="00F37C3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4156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4156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3067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3A" w:rsidRDefault="00F37C3A" w:rsidP="00BA6370">
      <w:r>
        <w:separator/>
      </w:r>
    </w:p>
  </w:footnote>
  <w:footnote w:type="continuationSeparator" w:id="0">
    <w:p w:rsidR="00F37C3A" w:rsidRDefault="00F37C3A" w:rsidP="00BA6370">
      <w:r>
        <w:continuationSeparator/>
      </w:r>
    </w:p>
  </w:footnote>
  <w:footnote w:id="1">
    <w:p w:rsidR="00BF083E" w:rsidRDefault="00BF083E" w:rsidP="00BF083E">
      <w:pPr>
        <w:pStyle w:val="Textpoznpodarou"/>
        <w:spacing w:line="276" w:lineRule="auto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:rsidR="00BF083E" w:rsidRDefault="00BF083E" w:rsidP="00BF083E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5EC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116DF"/>
    <w:rsid w:val="0001176A"/>
    <w:rsid w:val="00015BB0"/>
    <w:rsid w:val="00017418"/>
    <w:rsid w:val="0002340F"/>
    <w:rsid w:val="000355C7"/>
    <w:rsid w:val="0003590B"/>
    <w:rsid w:val="000362D1"/>
    <w:rsid w:val="000412B1"/>
    <w:rsid w:val="00043BF4"/>
    <w:rsid w:val="000454EA"/>
    <w:rsid w:val="00046599"/>
    <w:rsid w:val="00051EB8"/>
    <w:rsid w:val="00056879"/>
    <w:rsid w:val="00066322"/>
    <w:rsid w:val="00071DB7"/>
    <w:rsid w:val="00072ACE"/>
    <w:rsid w:val="00083205"/>
    <w:rsid w:val="00083F51"/>
    <w:rsid w:val="000843A5"/>
    <w:rsid w:val="00084857"/>
    <w:rsid w:val="000910DA"/>
    <w:rsid w:val="00092180"/>
    <w:rsid w:val="00096D6C"/>
    <w:rsid w:val="000A09ED"/>
    <w:rsid w:val="000A362A"/>
    <w:rsid w:val="000A4DEA"/>
    <w:rsid w:val="000A6461"/>
    <w:rsid w:val="000B1C8C"/>
    <w:rsid w:val="000B6F63"/>
    <w:rsid w:val="000C076C"/>
    <w:rsid w:val="000C68E6"/>
    <w:rsid w:val="000C6F4E"/>
    <w:rsid w:val="000D093F"/>
    <w:rsid w:val="000E43CC"/>
    <w:rsid w:val="000F3327"/>
    <w:rsid w:val="000F3EFA"/>
    <w:rsid w:val="000F6E27"/>
    <w:rsid w:val="000F7871"/>
    <w:rsid w:val="000F7B31"/>
    <w:rsid w:val="00104701"/>
    <w:rsid w:val="0011399F"/>
    <w:rsid w:val="00117FE1"/>
    <w:rsid w:val="00133B3B"/>
    <w:rsid w:val="001404AB"/>
    <w:rsid w:val="00150960"/>
    <w:rsid w:val="001511B3"/>
    <w:rsid w:val="00155C0F"/>
    <w:rsid w:val="00160FAA"/>
    <w:rsid w:val="00166918"/>
    <w:rsid w:val="00170334"/>
    <w:rsid w:val="0017231D"/>
    <w:rsid w:val="0017390E"/>
    <w:rsid w:val="0017561A"/>
    <w:rsid w:val="001810DC"/>
    <w:rsid w:val="00182224"/>
    <w:rsid w:val="0018369F"/>
    <w:rsid w:val="001959AE"/>
    <w:rsid w:val="001A4764"/>
    <w:rsid w:val="001A6012"/>
    <w:rsid w:val="001B109E"/>
    <w:rsid w:val="001B5955"/>
    <w:rsid w:val="001B607F"/>
    <w:rsid w:val="001C238B"/>
    <w:rsid w:val="001C2A88"/>
    <w:rsid w:val="001C3A50"/>
    <w:rsid w:val="001C4102"/>
    <w:rsid w:val="001C4709"/>
    <w:rsid w:val="001C70BF"/>
    <w:rsid w:val="001D369A"/>
    <w:rsid w:val="001E1DA1"/>
    <w:rsid w:val="001E3CE0"/>
    <w:rsid w:val="001E6419"/>
    <w:rsid w:val="001F08B3"/>
    <w:rsid w:val="001F2FE0"/>
    <w:rsid w:val="00200854"/>
    <w:rsid w:val="002070FB"/>
    <w:rsid w:val="00213729"/>
    <w:rsid w:val="0021730A"/>
    <w:rsid w:val="002246E8"/>
    <w:rsid w:val="00224DBE"/>
    <w:rsid w:val="00230143"/>
    <w:rsid w:val="00230446"/>
    <w:rsid w:val="00233784"/>
    <w:rsid w:val="002356DD"/>
    <w:rsid w:val="002406FA"/>
    <w:rsid w:val="00244B44"/>
    <w:rsid w:val="00247399"/>
    <w:rsid w:val="00256E13"/>
    <w:rsid w:val="0026107B"/>
    <w:rsid w:val="00262FC4"/>
    <w:rsid w:val="002655B8"/>
    <w:rsid w:val="00266634"/>
    <w:rsid w:val="00275DF8"/>
    <w:rsid w:val="00282FEF"/>
    <w:rsid w:val="00290ACC"/>
    <w:rsid w:val="002939C2"/>
    <w:rsid w:val="002956BB"/>
    <w:rsid w:val="002966B2"/>
    <w:rsid w:val="002A17D3"/>
    <w:rsid w:val="002A31C5"/>
    <w:rsid w:val="002A3A4E"/>
    <w:rsid w:val="002B2E47"/>
    <w:rsid w:val="002B335D"/>
    <w:rsid w:val="002C1396"/>
    <w:rsid w:val="002C28EF"/>
    <w:rsid w:val="002C3D7E"/>
    <w:rsid w:val="002C3F2F"/>
    <w:rsid w:val="002D3097"/>
    <w:rsid w:val="002D47F9"/>
    <w:rsid w:val="002D7F4F"/>
    <w:rsid w:val="002E1C1F"/>
    <w:rsid w:val="002E29B2"/>
    <w:rsid w:val="002E2BE1"/>
    <w:rsid w:val="002E2F9A"/>
    <w:rsid w:val="002F0FBA"/>
    <w:rsid w:val="002F3264"/>
    <w:rsid w:val="002F63F3"/>
    <w:rsid w:val="00301387"/>
    <w:rsid w:val="0030772F"/>
    <w:rsid w:val="00320870"/>
    <w:rsid w:val="00326AC7"/>
    <w:rsid w:val="003301A3"/>
    <w:rsid w:val="00330ACB"/>
    <w:rsid w:val="00330D7D"/>
    <w:rsid w:val="003329A6"/>
    <w:rsid w:val="00334B85"/>
    <w:rsid w:val="0034242C"/>
    <w:rsid w:val="00342BB2"/>
    <w:rsid w:val="003440B8"/>
    <w:rsid w:val="0034590D"/>
    <w:rsid w:val="00355231"/>
    <w:rsid w:val="00363AEB"/>
    <w:rsid w:val="00365C31"/>
    <w:rsid w:val="0036777B"/>
    <w:rsid w:val="00367904"/>
    <w:rsid w:val="003714CB"/>
    <w:rsid w:val="0038282A"/>
    <w:rsid w:val="00385410"/>
    <w:rsid w:val="00387200"/>
    <w:rsid w:val="00387F1E"/>
    <w:rsid w:val="00397580"/>
    <w:rsid w:val="003A1C90"/>
    <w:rsid w:val="003A45C8"/>
    <w:rsid w:val="003B3F1D"/>
    <w:rsid w:val="003C2DCF"/>
    <w:rsid w:val="003C4F7B"/>
    <w:rsid w:val="003C6178"/>
    <w:rsid w:val="003C7FE7"/>
    <w:rsid w:val="003D0499"/>
    <w:rsid w:val="003D0FCB"/>
    <w:rsid w:val="003D3576"/>
    <w:rsid w:val="003E172F"/>
    <w:rsid w:val="003E6913"/>
    <w:rsid w:val="003F526A"/>
    <w:rsid w:val="003F7111"/>
    <w:rsid w:val="004042AA"/>
    <w:rsid w:val="00405244"/>
    <w:rsid w:val="004116D6"/>
    <w:rsid w:val="00411A48"/>
    <w:rsid w:val="00412626"/>
    <w:rsid w:val="00413F5A"/>
    <w:rsid w:val="004154C7"/>
    <w:rsid w:val="00416745"/>
    <w:rsid w:val="00417747"/>
    <w:rsid w:val="00420EDE"/>
    <w:rsid w:val="004264D3"/>
    <w:rsid w:val="00431B9E"/>
    <w:rsid w:val="004436EE"/>
    <w:rsid w:val="0045547F"/>
    <w:rsid w:val="004569F1"/>
    <w:rsid w:val="00460611"/>
    <w:rsid w:val="00464000"/>
    <w:rsid w:val="004676D5"/>
    <w:rsid w:val="00471C1D"/>
    <w:rsid w:val="00471DEF"/>
    <w:rsid w:val="00472310"/>
    <w:rsid w:val="00473DCE"/>
    <w:rsid w:val="00482400"/>
    <w:rsid w:val="00483F21"/>
    <w:rsid w:val="00487480"/>
    <w:rsid w:val="004920AD"/>
    <w:rsid w:val="004936F3"/>
    <w:rsid w:val="00494997"/>
    <w:rsid w:val="00496E3C"/>
    <w:rsid w:val="004A2121"/>
    <w:rsid w:val="004A5106"/>
    <w:rsid w:val="004B528C"/>
    <w:rsid w:val="004B5EC8"/>
    <w:rsid w:val="004B6AF0"/>
    <w:rsid w:val="004C0510"/>
    <w:rsid w:val="004D05B3"/>
    <w:rsid w:val="004D10CC"/>
    <w:rsid w:val="004D15D8"/>
    <w:rsid w:val="004D6150"/>
    <w:rsid w:val="004E479E"/>
    <w:rsid w:val="004E5BED"/>
    <w:rsid w:val="004F0A77"/>
    <w:rsid w:val="004F1300"/>
    <w:rsid w:val="004F686C"/>
    <w:rsid w:val="004F78E6"/>
    <w:rsid w:val="0050420E"/>
    <w:rsid w:val="00505499"/>
    <w:rsid w:val="00512D99"/>
    <w:rsid w:val="00522506"/>
    <w:rsid w:val="0052278F"/>
    <w:rsid w:val="00527C65"/>
    <w:rsid w:val="00531DBB"/>
    <w:rsid w:val="00557830"/>
    <w:rsid w:val="005670C9"/>
    <w:rsid w:val="005677A0"/>
    <w:rsid w:val="00571BB6"/>
    <w:rsid w:val="00572A75"/>
    <w:rsid w:val="00573994"/>
    <w:rsid w:val="00581CBA"/>
    <w:rsid w:val="00583570"/>
    <w:rsid w:val="005872AB"/>
    <w:rsid w:val="00591470"/>
    <w:rsid w:val="0059219C"/>
    <w:rsid w:val="005953DB"/>
    <w:rsid w:val="005A49AE"/>
    <w:rsid w:val="005A4EF4"/>
    <w:rsid w:val="005A5249"/>
    <w:rsid w:val="005A698B"/>
    <w:rsid w:val="005B699C"/>
    <w:rsid w:val="005C6CE3"/>
    <w:rsid w:val="005D49EF"/>
    <w:rsid w:val="005D56D7"/>
    <w:rsid w:val="005E30E0"/>
    <w:rsid w:val="005F14CB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2B80"/>
    <w:rsid w:val="00635925"/>
    <w:rsid w:val="0063677F"/>
    <w:rsid w:val="0064139A"/>
    <w:rsid w:val="00641430"/>
    <w:rsid w:val="00642197"/>
    <w:rsid w:val="006441AE"/>
    <w:rsid w:val="00665551"/>
    <w:rsid w:val="00666C38"/>
    <w:rsid w:val="00674F35"/>
    <w:rsid w:val="00683504"/>
    <w:rsid w:val="006851EA"/>
    <w:rsid w:val="00687357"/>
    <w:rsid w:val="00692211"/>
    <w:rsid w:val="006931CF"/>
    <w:rsid w:val="00694756"/>
    <w:rsid w:val="006B773B"/>
    <w:rsid w:val="006C1D42"/>
    <w:rsid w:val="006C3AF4"/>
    <w:rsid w:val="006C4B8B"/>
    <w:rsid w:val="006C6E91"/>
    <w:rsid w:val="006D21EB"/>
    <w:rsid w:val="006D402C"/>
    <w:rsid w:val="006E024F"/>
    <w:rsid w:val="006E4AFD"/>
    <w:rsid w:val="006E4E81"/>
    <w:rsid w:val="006F3FC2"/>
    <w:rsid w:val="00703D8F"/>
    <w:rsid w:val="00704433"/>
    <w:rsid w:val="00707F7D"/>
    <w:rsid w:val="00715A51"/>
    <w:rsid w:val="007167D5"/>
    <w:rsid w:val="00717EC5"/>
    <w:rsid w:val="00731AC3"/>
    <w:rsid w:val="00732B93"/>
    <w:rsid w:val="00735B02"/>
    <w:rsid w:val="007466F7"/>
    <w:rsid w:val="00746EF9"/>
    <w:rsid w:val="0075068E"/>
    <w:rsid w:val="00754C20"/>
    <w:rsid w:val="00761D37"/>
    <w:rsid w:val="007626A9"/>
    <w:rsid w:val="00763A4C"/>
    <w:rsid w:val="007650BB"/>
    <w:rsid w:val="007651B7"/>
    <w:rsid w:val="00772196"/>
    <w:rsid w:val="0077368D"/>
    <w:rsid w:val="00780039"/>
    <w:rsid w:val="00782D81"/>
    <w:rsid w:val="00784105"/>
    <w:rsid w:val="007944BD"/>
    <w:rsid w:val="007A2048"/>
    <w:rsid w:val="007A2313"/>
    <w:rsid w:val="007A3C7F"/>
    <w:rsid w:val="007A57F2"/>
    <w:rsid w:val="007A7FF0"/>
    <w:rsid w:val="007B1333"/>
    <w:rsid w:val="007B449A"/>
    <w:rsid w:val="007C0D83"/>
    <w:rsid w:val="007C6005"/>
    <w:rsid w:val="007C603E"/>
    <w:rsid w:val="007D5451"/>
    <w:rsid w:val="007E478F"/>
    <w:rsid w:val="007F00EA"/>
    <w:rsid w:val="007F4AEB"/>
    <w:rsid w:val="007F5D91"/>
    <w:rsid w:val="007F75B2"/>
    <w:rsid w:val="00800B2A"/>
    <w:rsid w:val="00803143"/>
    <w:rsid w:val="00803993"/>
    <w:rsid w:val="008043C4"/>
    <w:rsid w:val="00804D2E"/>
    <w:rsid w:val="00805F8C"/>
    <w:rsid w:val="0081253D"/>
    <w:rsid w:val="00816A68"/>
    <w:rsid w:val="008213AF"/>
    <w:rsid w:val="00831B0F"/>
    <w:rsid w:val="00831B1B"/>
    <w:rsid w:val="00832098"/>
    <w:rsid w:val="00835CC0"/>
    <w:rsid w:val="00846129"/>
    <w:rsid w:val="00846F69"/>
    <w:rsid w:val="008475D1"/>
    <w:rsid w:val="00855FB3"/>
    <w:rsid w:val="00861D0E"/>
    <w:rsid w:val="008662BB"/>
    <w:rsid w:val="00867569"/>
    <w:rsid w:val="008675F5"/>
    <w:rsid w:val="008721CE"/>
    <w:rsid w:val="00872E1A"/>
    <w:rsid w:val="00876E95"/>
    <w:rsid w:val="00881494"/>
    <w:rsid w:val="00882841"/>
    <w:rsid w:val="0088388D"/>
    <w:rsid w:val="00890D52"/>
    <w:rsid w:val="0089738C"/>
    <w:rsid w:val="008A2C2C"/>
    <w:rsid w:val="008A54CC"/>
    <w:rsid w:val="008A750A"/>
    <w:rsid w:val="008B3970"/>
    <w:rsid w:val="008C0979"/>
    <w:rsid w:val="008C0CFB"/>
    <w:rsid w:val="008C0E77"/>
    <w:rsid w:val="008C12B2"/>
    <w:rsid w:val="008C1C6E"/>
    <w:rsid w:val="008C384C"/>
    <w:rsid w:val="008D0F11"/>
    <w:rsid w:val="008D65AC"/>
    <w:rsid w:val="008D6DE7"/>
    <w:rsid w:val="008E1FDE"/>
    <w:rsid w:val="008E2A1B"/>
    <w:rsid w:val="008E4E64"/>
    <w:rsid w:val="008F73B4"/>
    <w:rsid w:val="009114F7"/>
    <w:rsid w:val="00923C75"/>
    <w:rsid w:val="00924B06"/>
    <w:rsid w:val="009414AB"/>
    <w:rsid w:val="0094637F"/>
    <w:rsid w:val="00947C23"/>
    <w:rsid w:val="00950D79"/>
    <w:rsid w:val="00954C8A"/>
    <w:rsid w:val="00961A70"/>
    <w:rsid w:val="00963C84"/>
    <w:rsid w:val="009661AB"/>
    <w:rsid w:val="0097747A"/>
    <w:rsid w:val="00983404"/>
    <w:rsid w:val="00986379"/>
    <w:rsid w:val="00986DD7"/>
    <w:rsid w:val="0098780A"/>
    <w:rsid w:val="00991C54"/>
    <w:rsid w:val="00991C5D"/>
    <w:rsid w:val="009A2AB6"/>
    <w:rsid w:val="009A7898"/>
    <w:rsid w:val="009B55B1"/>
    <w:rsid w:val="009B62A7"/>
    <w:rsid w:val="009C5C09"/>
    <w:rsid w:val="009C7C88"/>
    <w:rsid w:val="009E6AB0"/>
    <w:rsid w:val="009F05CE"/>
    <w:rsid w:val="00A00B2E"/>
    <w:rsid w:val="00A0208B"/>
    <w:rsid w:val="00A04F7D"/>
    <w:rsid w:val="00A0531E"/>
    <w:rsid w:val="00A0762A"/>
    <w:rsid w:val="00A10957"/>
    <w:rsid w:val="00A1095E"/>
    <w:rsid w:val="00A1239A"/>
    <w:rsid w:val="00A12628"/>
    <w:rsid w:val="00A13291"/>
    <w:rsid w:val="00A1599B"/>
    <w:rsid w:val="00A2002E"/>
    <w:rsid w:val="00A228B2"/>
    <w:rsid w:val="00A235D6"/>
    <w:rsid w:val="00A30227"/>
    <w:rsid w:val="00A33B05"/>
    <w:rsid w:val="00A367BE"/>
    <w:rsid w:val="00A4343D"/>
    <w:rsid w:val="00A502F1"/>
    <w:rsid w:val="00A6102F"/>
    <w:rsid w:val="00A61B9E"/>
    <w:rsid w:val="00A63609"/>
    <w:rsid w:val="00A70A83"/>
    <w:rsid w:val="00A71A60"/>
    <w:rsid w:val="00A73333"/>
    <w:rsid w:val="00A77887"/>
    <w:rsid w:val="00A81EB3"/>
    <w:rsid w:val="00A82536"/>
    <w:rsid w:val="00A83717"/>
    <w:rsid w:val="00A83DA9"/>
    <w:rsid w:val="00A86F97"/>
    <w:rsid w:val="00A91D72"/>
    <w:rsid w:val="00A955BC"/>
    <w:rsid w:val="00A97074"/>
    <w:rsid w:val="00A97DD6"/>
    <w:rsid w:val="00AA1DD0"/>
    <w:rsid w:val="00AB1321"/>
    <w:rsid w:val="00AB3410"/>
    <w:rsid w:val="00AC22A7"/>
    <w:rsid w:val="00AC36E7"/>
    <w:rsid w:val="00AC5EEB"/>
    <w:rsid w:val="00AC7319"/>
    <w:rsid w:val="00AE0031"/>
    <w:rsid w:val="00AF1EF2"/>
    <w:rsid w:val="00AF28BA"/>
    <w:rsid w:val="00B00C1D"/>
    <w:rsid w:val="00B024D3"/>
    <w:rsid w:val="00B12D94"/>
    <w:rsid w:val="00B14223"/>
    <w:rsid w:val="00B1562A"/>
    <w:rsid w:val="00B2181D"/>
    <w:rsid w:val="00B22172"/>
    <w:rsid w:val="00B25B4E"/>
    <w:rsid w:val="00B27F44"/>
    <w:rsid w:val="00B319CA"/>
    <w:rsid w:val="00B3645D"/>
    <w:rsid w:val="00B45A8D"/>
    <w:rsid w:val="00B51562"/>
    <w:rsid w:val="00B52F6A"/>
    <w:rsid w:val="00B55375"/>
    <w:rsid w:val="00B624FF"/>
    <w:rsid w:val="00B632CC"/>
    <w:rsid w:val="00B65FBF"/>
    <w:rsid w:val="00B669B0"/>
    <w:rsid w:val="00B71C50"/>
    <w:rsid w:val="00B7661A"/>
    <w:rsid w:val="00B81AE5"/>
    <w:rsid w:val="00B82F39"/>
    <w:rsid w:val="00B92E0A"/>
    <w:rsid w:val="00B93B88"/>
    <w:rsid w:val="00B9430A"/>
    <w:rsid w:val="00BA0943"/>
    <w:rsid w:val="00BA12F1"/>
    <w:rsid w:val="00BA439F"/>
    <w:rsid w:val="00BA4EC5"/>
    <w:rsid w:val="00BA6370"/>
    <w:rsid w:val="00BC0C3F"/>
    <w:rsid w:val="00BC1831"/>
    <w:rsid w:val="00BC33B3"/>
    <w:rsid w:val="00BC63F1"/>
    <w:rsid w:val="00BD306E"/>
    <w:rsid w:val="00BD72A2"/>
    <w:rsid w:val="00BD7EDC"/>
    <w:rsid w:val="00BF083E"/>
    <w:rsid w:val="00C00CC5"/>
    <w:rsid w:val="00C07753"/>
    <w:rsid w:val="00C11739"/>
    <w:rsid w:val="00C226DD"/>
    <w:rsid w:val="00C269D4"/>
    <w:rsid w:val="00C35535"/>
    <w:rsid w:val="00C35900"/>
    <w:rsid w:val="00C36544"/>
    <w:rsid w:val="00C36B4F"/>
    <w:rsid w:val="00C37ADB"/>
    <w:rsid w:val="00C4160D"/>
    <w:rsid w:val="00C418B9"/>
    <w:rsid w:val="00C464E5"/>
    <w:rsid w:val="00C504BB"/>
    <w:rsid w:val="00C53E94"/>
    <w:rsid w:val="00C62F3F"/>
    <w:rsid w:val="00C6327E"/>
    <w:rsid w:val="00C640B9"/>
    <w:rsid w:val="00C72E70"/>
    <w:rsid w:val="00C74DFC"/>
    <w:rsid w:val="00C8253A"/>
    <w:rsid w:val="00C8406E"/>
    <w:rsid w:val="00C85093"/>
    <w:rsid w:val="00C901D2"/>
    <w:rsid w:val="00C9111D"/>
    <w:rsid w:val="00C9797E"/>
    <w:rsid w:val="00C97D55"/>
    <w:rsid w:val="00CA2E39"/>
    <w:rsid w:val="00CA40EE"/>
    <w:rsid w:val="00CA490B"/>
    <w:rsid w:val="00CB2709"/>
    <w:rsid w:val="00CB6F89"/>
    <w:rsid w:val="00CB7FA7"/>
    <w:rsid w:val="00CC0AE9"/>
    <w:rsid w:val="00CC6F34"/>
    <w:rsid w:val="00CD2BE3"/>
    <w:rsid w:val="00CD55E8"/>
    <w:rsid w:val="00CD618A"/>
    <w:rsid w:val="00CE13A2"/>
    <w:rsid w:val="00CE228C"/>
    <w:rsid w:val="00CE640C"/>
    <w:rsid w:val="00CE71D9"/>
    <w:rsid w:val="00CF545B"/>
    <w:rsid w:val="00D04537"/>
    <w:rsid w:val="00D0788C"/>
    <w:rsid w:val="00D11008"/>
    <w:rsid w:val="00D209A7"/>
    <w:rsid w:val="00D25805"/>
    <w:rsid w:val="00D27704"/>
    <w:rsid w:val="00D27D69"/>
    <w:rsid w:val="00D33658"/>
    <w:rsid w:val="00D3597A"/>
    <w:rsid w:val="00D37CAF"/>
    <w:rsid w:val="00D448C2"/>
    <w:rsid w:val="00D46101"/>
    <w:rsid w:val="00D54624"/>
    <w:rsid w:val="00D576FA"/>
    <w:rsid w:val="00D63049"/>
    <w:rsid w:val="00D666C3"/>
    <w:rsid w:val="00D67AAE"/>
    <w:rsid w:val="00D71E8F"/>
    <w:rsid w:val="00D75656"/>
    <w:rsid w:val="00D7622C"/>
    <w:rsid w:val="00D77BCA"/>
    <w:rsid w:val="00D77DDE"/>
    <w:rsid w:val="00D8012D"/>
    <w:rsid w:val="00D9189F"/>
    <w:rsid w:val="00D94929"/>
    <w:rsid w:val="00D961DA"/>
    <w:rsid w:val="00DA6208"/>
    <w:rsid w:val="00DB3158"/>
    <w:rsid w:val="00DB39C6"/>
    <w:rsid w:val="00DC358C"/>
    <w:rsid w:val="00DD4406"/>
    <w:rsid w:val="00DE18EF"/>
    <w:rsid w:val="00DE2A67"/>
    <w:rsid w:val="00DE378D"/>
    <w:rsid w:val="00DE4B79"/>
    <w:rsid w:val="00DF47FE"/>
    <w:rsid w:val="00E0156A"/>
    <w:rsid w:val="00E05FE2"/>
    <w:rsid w:val="00E16CF3"/>
    <w:rsid w:val="00E20B77"/>
    <w:rsid w:val="00E2284A"/>
    <w:rsid w:val="00E26704"/>
    <w:rsid w:val="00E31980"/>
    <w:rsid w:val="00E5106B"/>
    <w:rsid w:val="00E53FA4"/>
    <w:rsid w:val="00E60C97"/>
    <w:rsid w:val="00E61175"/>
    <w:rsid w:val="00E6423C"/>
    <w:rsid w:val="00E706D6"/>
    <w:rsid w:val="00E751F5"/>
    <w:rsid w:val="00E85F23"/>
    <w:rsid w:val="00E93830"/>
    <w:rsid w:val="00E93E0E"/>
    <w:rsid w:val="00E945EF"/>
    <w:rsid w:val="00E954F6"/>
    <w:rsid w:val="00EA28BE"/>
    <w:rsid w:val="00EA4BFB"/>
    <w:rsid w:val="00EA4F7B"/>
    <w:rsid w:val="00EB1ED3"/>
    <w:rsid w:val="00ED010B"/>
    <w:rsid w:val="00ED22F4"/>
    <w:rsid w:val="00ED3B51"/>
    <w:rsid w:val="00ED6C34"/>
    <w:rsid w:val="00EE303F"/>
    <w:rsid w:val="00EF7147"/>
    <w:rsid w:val="00F01C01"/>
    <w:rsid w:val="00F05321"/>
    <w:rsid w:val="00F2206E"/>
    <w:rsid w:val="00F22541"/>
    <w:rsid w:val="00F31E60"/>
    <w:rsid w:val="00F37C3A"/>
    <w:rsid w:val="00F409D5"/>
    <w:rsid w:val="00F41565"/>
    <w:rsid w:val="00F50017"/>
    <w:rsid w:val="00F60480"/>
    <w:rsid w:val="00F638AB"/>
    <w:rsid w:val="00F7037F"/>
    <w:rsid w:val="00F70DE8"/>
    <w:rsid w:val="00F71262"/>
    <w:rsid w:val="00F75F2A"/>
    <w:rsid w:val="00F76455"/>
    <w:rsid w:val="00F81B69"/>
    <w:rsid w:val="00F847B6"/>
    <w:rsid w:val="00FA2BBE"/>
    <w:rsid w:val="00FA32CB"/>
    <w:rsid w:val="00FA574D"/>
    <w:rsid w:val="00FB13B2"/>
    <w:rsid w:val="00FB160E"/>
    <w:rsid w:val="00FB39A6"/>
    <w:rsid w:val="00FB53E0"/>
    <w:rsid w:val="00FB687C"/>
    <w:rsid w:val="00FC25E9"/>
    <w:rsid w:val="00FC620A"/>
    <w:rsid w:val="00FC6B07"/>
    <w:rsid w:val="00FD299D"/>
    <w:rsid w:val="00FD7432"/>
    <w:rsid w:val="00FE43C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hyperlink" Target="https://www.czso.cz/csu/czso/inflace-spotrebitelske-ceny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znamka-ke-spotrebitelskym-cenam-energii-prosinec-2022" TargetMode="External"/><Relationship Id="rId12" Type="http://schemas.openxmlformats.org/officeDocument/2006/relationships/hyperlink" Target="mailto:pavla.sediva@czs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iri.mrazek@czs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db.czso.cz/vdbvo2/faces/cs/index.jsf?page=statistiky&amp;katalog=31779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184EA-E4A4-4A19-9F31-2B78F1BDE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6B48B4-C5B1-4110-855E-112F0C218C71}"/>
</file>

<file path=customXml/itemProps3.xml><?xml version="1.0" encoding="utf-8"?>
<ds:datastoreItem xmlns:ds="http://schemas.openxmlformats.org/officeDocument/2006/customXml" ds:itemID="{55A61422-FAE4-4DA6-A692-4F2B6ED37E1F}"/>
</file>

<file path=customXml/itemProps4.xml><?xml version="1.0" encoding="utf-8"?>
<ds:datastoreItem xmlns:ds="http://schemas.openxmlformats.org/officeDocument/2006/customXml" ds:itemID="{99A5C27B-4311-43CB-857E-BD02219528B2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</TotalTime>
  <Pages>3</Pages>
  <Words>911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6279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Šedivá Pavla</cp:lastModifiedBy>
  <cp:revision>5</cp:revision>
  <cp:lastPrinted>2022-06-08T12:57:00Z</cp:lastPrinted>
  <dcterms:created xsi:type="dcterms:W3CDTF">2023-01-09T08:01:00Z</dcterms:created>
  <dcterms:modified xsi:type="dcterms:W3CDTF">2023-01-09T09:25:00Z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