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375B" w14:textId="2C410E48" w:rsidR="00F21B6A" w:rsidRDefault="005464D7" w:rsidP="00F21B6A">
      <w:pPr>
        <w:pStyle w:val="Nadpis1"/>
      </w:pPr>
      <w:r>
        <w:t>Dluh</w:t>
      </w:r>
      <w:r w:rsidR="00A15D05">
        <w:t xml:space="preserve"> vládních institucí </w:t>
      </w:r>
      <w:r w:rsidR="006E3C3B">
        <w:t>dosáhl 43,8% HDP</w:t>
      </w:r>
    </w:p>
    <w:p w14:paraId="117F53DC" w14:textId="0742B8F2" w:rsidR="00F21B6A" w:rsidRDefault="00B96228" w:rsidP="00200551">
      <w:pPr>
        <w:jc w:val="left"/>
      </w:pPr>
      <w:sdt>
        <w:sdtPr>
          <w:id w:val="902409853"/>
          <w:placeholder>
            <w:docPart w:val="A75872B8E9CF4C04BE3F32A742F7ED24"/>
          </w:placeholder>
          <w:date w:fullDate="2026-10-01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985B76">
            <w:t>01. 10. 2026</w:t>
          </w:r>
        </w:sdtContent>
      </w:sdt>
      <w:r w:rsidR="00C744B6" w:rsidRPr="00C744B6">
        <w:t xml:space="preserve"> </w:t>
      </w:r>
    </w:p>
    <w:p w14:paraId="1EF85033" w14:textId="01ECD762" w:rsidR="008350DE" w:rsidRDefault="008350DE" w:rsidP="008350DE">
      <w:pPr>
        <w:pStyle w:val="Nadpis2"/>
      </w:pPr>
      <w:r w:rsidRPr="005C2FE9">
        <w:t xml:space="preserve">Deficit a dluh vládních institucí – </w:t>
      </w:r>
      <w:r>
        <w:t>2</w:t>
      </w:r>
      <w:r w:rsidRPr="005C2FE9">
        <w:t>. čtvrtletí 202</w:t>
      </w:r>
      <w:r>
        <w:t>6</w:t>
      </w:r>
    </w:p>
    <w:p w14:paraId="6EBB890C" w14:textId="50F2F1CA" w:rsidR="006A57CC" w:rsidRDefault="008350DE" w:rsidP="00AB7FF3">
      <w:pPr>
        <w:pStyle w:val="Perex"/>
      </w:pPr>
      <w:r w:rsidRPr="00711C34">
        <w:t>Saldo hospodaření sektoru vládních institucí skončilo v</w:t>
      </w:r>
      <w:r w:rsidR="002F064E">
        <w:t>e</w:t>
      </w:r>
      <w:r w:rsidRPr="00711C34">
        <w:t xml:space="preserve"> </w:t>
      </w:r>
      <w:r w:rsidR="002F064E">
        <w:t>druhém</w:t>
      </w:r>
      <w:r w:rsidR="002F064E" w:rsidRPr="00711C34">
        <w:t xml:space="preserve"> </w:t>
      </w:r>
      <w:r w:rsidRPr="00711C34">
        <w:t xml:space="preserve">čtvrtletí roku 2026 v deficitu odpovídajícímu úrovni </w:t>
      </w:r>
      <w:r w:rsidR="008979A7">
        <w:t>1</w:t>
      </w:r>
      <w:r w:rsidR="00711C34" w:rsidRPr="00711C34">
        <w:t>,5</w:t>
      </w:r>
      <w:r w:rsidRPr="00711C34">
        <w:t xml:space="preserve"> % HDP. Míra zadlužení sektoru vládních institucí dosáhla </w:t>
      </w:r>
      <w:r w:rsidRPr="00253A88">
        <w:t>4</w:t>
      </w:r>
      <w:r w:rsidR="00253A88" w:rsidRPr="00253A88">
        <w:t>3,8</w:t>
      </w:r>
      <w:r w:rsidRPr="00253A88">
        <w:t xml:space="preserve"> %</w:t>
      </w:r>
      <w:r w:rsidRPr="00711C34">
        <w:t xml:space="preserve"> HDP.</w:t>
      </w:r>
    </w:p>
    <w:p w14:paraId="162980ED" w14:textId="77777777" w:rsidR="008350DE" w:rsidRPr="00773B0B" w:rsidRDefault="008350DE" w:rsidP="008350DE">
      <w:pPr>
        <w:pStyle w:val="Nadpis6"/>
      </w:pPr>
      <w:r>
        <w:t>Saldo hospodaření</w:t>
      </w:r>
    </w:p>
    <w:p w14:paraId="0A003196" w14:textId="6C3E22D4" w:rsidR="008350DE" w:rsidRPr="008350DE" w:rsidRDefault="008350DE" w:rsidP="008350DE">
      <w:pPr>
        <w:jc w:val="left"/>
        <w:rPr>
          <w:highlight w:val="yellow"/>
        </w:rPr>
      </w:pPr>
      <w:r w:rsidRPr="00711C34">
        <w:t>Schodek hospodaření vládních institucí v</w:t>
      </w:r>
      <w:r w:rsidR="002F064E">
        <w:t>e</w:t>
      </w:r>
      <w:r w:rsidRPr="00711C34">
        <w:t xml:space="preserve"> </w:t>
      </w:r>
      <w:r w:rsidR="00711C34" w:rsidRPr="00711C34">
        <w:t>2</w:t>
      </w:r>
      <w:r w:rsidRPr="00711C34">
        <w:t xml:space="preserve">. čtvrtletí roku 2026 dosáhl </w:t>
      </w:r>
      <w:r w:rsidR="00711C34" w:rsidRPr="00711C34">
        <w:t>33,3</w:t>
      </w:r>
      <w:r w:rsidRPr="00711C34">
        <w:t xml:space="preserve"> mld. Kč, což v meziročním srovnání znamená zhoršení o </w:t>
      </w:r>
      <w:r w:rsidR="00711C34" w:rsidRPr="00711C34">
        <w:t>42,6</w:t>
      </w:r>
      <w:r w:rsidRPr="00711C34">
        <w:t xml:space="preserve"> mld. Kč. Ústřední vládní instituce hospodařily se schodkem </w:t>
      </w:r>
      <w:r w:rsidR="00711C34" w:rsidRPr="00711C34">
        <w:t>107,1</w:t>
      </w:r>
      <w:r w:rsidRPr="00711C34">
        <w:t xml:space="preserve"> mld. Kč, který meziročně </w:t>
      </w:r>
      <w:r w:rsidR="00711C34" w:rsidRPr="00711C34">
        <w:t>vzrostl</w:t>
      </w:r>
      <w:r w:rsidRPr="00711C34">
        <w:t xml:space="preserve"> o </w:t>
      </w:r>
      <w:r w:rsidR="00711C34" w:rsidRPr="00711C34">
        <w:t>74,7</w:t>
      </w:r>
      <w:r w:rsidRPr="00711C34">
        <w:t xml:space="preserve"> mld. Kč. Hospodaření místních vládních institucí skončilo v přebytku ve výši </w:t>
      </w:r>
      <w:r w:rsidR="00711C34" w:rsidRPr="00711C34">
        <w:t>60,7</w:t>
      </w:r>
      <w:r w:rsidRPr="00711C34">
        <w:t xml:space="preserve"> mld. Kč, což v meziročním srovnání znamená </w:t>
      </w:r>
      <w:r w:rsidR="00711C34" w:rsidRPr="00711C34">
        <w:t>zlepšení</w:t>
      </w:r>
      <w:r w:rsidRPr="00711C34">
        <w:t xml:space="preserve"> o 19,</w:t>
      </w:r>
      <w:r w:rsidR="00711C34" w:rsidRPr="00711C34">
        <w:t>6</w:t>
      </w:r>
      <w:r w:rsidRPr="00711C34">
        <w:t xml:space="preserve"> mld. Kč. Hospodaření fondů sociálního zabezpečení (zdravotních pojišťoven) skončilo </w:t>
      </w:r>
      <w:r w:rsidR="00711C34" w:rsidRPr="00711C34">
        <w:t>přebytkem</w:t>
      </w:r>
      <w:r w:rsidRPr="00711C34">
        <w:t xml:space="preserve"> ve výši 1</w:t>
      </w:r>
      <w:r w:rsidR="00711C34" w:rsidRPr="00711C34">
        <w:t>3</w:t>
      </w:r>
      <w:r w:rsidRPr="00711C34">
        <w:t>,</w:t>
      </w:r>
      <w:r w:rsidR="00711C34" w:rsidRPr="00711C34">
        <w:t>1</w:t>
      </w:r>
      <w:r w:rsidRPr="00711C34">
        <w:t xml:space="preserve"> mld. Kč, meziročně o 1</w:t>
      </w:r>
      <w:r w:rsidR="00711C34" w:rsidRPr="00711C34">
        <w:t>2,5</w:t>
      </w:r>
      <w:r w:rsidRPr="00711C34">
        <w:t xml:space="preserve"> mld. Kč </w:t>
      </w:r>
      <w:r w:rsidR="00711C34" w:rsidRPr="008979A7">
        <w:t>vyšším</w:t>
      </w:r>
      <w:r w:rsidR="008979A7" w:rsidRPr="008979A7">
        <w:t>.</w:t>
      </w:r>
    </w:p>
    <w:p w14:paraId="447AF978" w14:textId="279C56B1" w:rsidR="008350DE" w:rsidRDefault="008350DE" w:rsidP="008350DE">
      <w:pPr>
        <w:jc w:val="left"/>
      </w:pPr>
      <w:r w:rsidRPr="006C482E">
        <w:t>„</w:t>
      </w:r>
      <w:r w:rsidRPr="006C482E">
        <w:rPr>
          <w:i/>
          <w:iCs/>
        </w:rPr>
        <w:t>Hospodaření sektoru vládních institucí v</w:t>
      </w:r>
      <w:r w:rsidR="006C482E" w:rsidRPr="006C482E">
        <w:rPr>
          <w:i/>
          <w:iCs/>
        </w:rPr>
        <w:t>e</w:t>
      </w:r>
      <w:r w:rsidRPr="006C482E">
        <w:rPr>
          <w:i/>
          <w:iCs/>
        </w:rPr>
        <w:t xml:space="preserve"> </w:t>
      </w:r>
      <w:r w:rsidR="006C482E" w:rsidRPr="006C482E">
        <w:rPr>
          <w:i/>
          <w:iCs/>
        </w:rPr>
        <w:t>druhém</w:t>
      </w:r>
      <w:r w:rsidRPr="006C482E">
        <w:rPr>
          <w:i/>
          <w:iCs/>
        </w:rPr>
        <w:t xml:space="preserve"> čtvrtletí roku 2026 skončilo v deficitu ve výši </w:t>
      </w:r>
      <w:r w:rsidR="006C482E" w:rsidRPr="006C482E">
        <w:rPr>
          <w:i/>
          <w:iCs/>
        </w:rPr>
        <w:t>33</w:t>
      </w:r>
      <w:r w:rsidRPr="006C482E">
        <w:rPr>
          <w:i/>
          <w:iCs/>
        </w:rPr>
        <w:t xml:space="preserve">,3 miliard Kč, což v relativním vyjádření odpovídá úrovni </w:t>
      </w:r>
      <w:r w:rsidR="006C482E" w:rsidRPr="006C482E">
        <w:rPr>
          <w:i/>
          <w:iCs/>
        </w:rPr>
        <w:t>1</w:t>
      </w:r>
      <w:r w:rsidRPr="006C482E">
        <w:rPr>
          <w:i/>
          <w:iCs/>
        </w:rPr>
        <w:t xml:space="preserve">,5 % HDP. Relativní míra zadlužení sektoru vládních institucí meziročně stoupla na úroveň </w:t>
      </w:r>
      <w:r w:rsidR="00253A88">
        <w:rPr>
          <w:i/>
          <w:iCs/>
        </w:rPr>
        <w:t>43,8</w:t>
      </w:r>
      <w:r w:rsidRPr="006C482E">
        <w:rPr>
          <w:i/>
          <w:iCs/>
        </w:rPr>
        <w:t xml:space="preserve"> % HDP</w:t>
      </w:r>
      <w:r w:rsidRPr="006C482E">
        <w:t xml:space="preserve">,“ uvedl </w:t>
      </w:r>
      <w:r w:rsidR="00747746">
        <w:t>Petr Musil</w:t>
      </w:r>
      <w:r w:rsidRPr="006C482E">
        <w:t>, ředitel</w:t>
      </w:r>
      <w:r w:rsidR="00747746">
        <w:t xml:space="preserve"> odboru vládních a finančních účtů</w:t>
      </w:r>
      <w:r w:rsidRPr="006C482E">
        <w:t xml:space="preserve"> ČSÚ.</w:t>
      </w:r>
    </w:p>
    <w:p w14:paraId="3177FD4E" w14:textId="46D2F547" w:rsidR="00773B0B" w:rsidRDefault="00270529" w:rsidP="00773B0B">
      <w:pPr>
        <w:jc w:val="left"/>
        <w:rPr>
          <w:b/>
          <w:bCs/>
        </w:rPr>
      </w:pPr>
      <w:r>
        <w:rPr>
          <w:b/>
          <w:bCs/>
        </w:rPr>
        <w:t xml:space="preserve">Tabulka: Saldo hospodaření </w:t>
      </w:r>
      <w:r w:rsidR="00D67C2A">
        <w:rPr>
          <w:b/>
          <w:bCs/>
        </w:rPr>
        <w:t>vládních institucí</w:t>
      </w:r>
    </w:p>
    <w:tbl>
      <w:tblPr>
        <w:tblStyle w:val="TabulkaJVS2-modr"/>
        <w:tblW w:w="0" w:type="auto"/>
        <w:tblLayout w:type="fixed"/>
        <w:tblLook w:val="0420" w:firstRow="1" w:lastRow="0" w:firstColumn="0" w:lastColumn="0" w:noHBand="0" w:noVBand="1"/>
      </w:tblPr>
      <w:tblGrid>
        <w:gridCol w:w="909"/>
        <w:gridCol w:w="909"/>
        <w:gridCol w:w="906"/>
        <w:gridCol w:w="906"/>
        <w:gridCol w:w="906"/>
        <w:gridCol w:w="905"/>
        <w:gridCol w:w="905"/>
        <w:gridCol w:w="905"/>
        <w:gridCol w:w="905"/>
        <w:gridCol w:w="905"/>
      </w:tblGrid>
      <w:tr w:rsidR="00417003" w:rsidRPr="00F562EF" w14:paraId="096CE38D" w14:textId="77777777" w:rsidTr="004170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9" w:type="dxa"/>
          </w:tcPr>
          <w:p w14:paraId="61088DC6" w14:textId="7B07033F" w:rsidR="00417003" w:rsidRPr="00F562EF" w:rsidRDefault="00417003" w:rsidP="00014C63"/>
        </w:tc>
        <w:tc>
          <w:tcPr>
            <w:tcW w:w="909" w:type="dxa"/>
          </w:tcPr>
          <w:p w14:paraId="2033DADE" w14:textId="5E8D01F2" w:rsidR="00417003" w:rsidRPr="00F562EF" w:rsidRDefault="00417003" w:rsidP="00111AFD">
            <w:pPr>
              <w:jc w:val="right"/>
            </w:pPr>
            <w:r>
              <w:t>2.Q 2024</w:t>
            </w:r>
          </w:p>
        </w:tc>
        <w:tc>
          <w:tcPr>
            <w:tcW w:w="906" w:type="dxa"/>
          </w:tcPr>
          <w:p w14:paraId="5ED2E80C" w14:textId="52900C78" w:rsidR="00417003" w:rsidRPr="00285806" w:rsidRDefault="00417003" w:rsidP="00111AFD">
            <w:pPr>
              <w:jc w:val="right"/>
            </w:pPr>
            <w:r>
              <w:t>3.Q 2024</w:t>
            </w:r>
          </w:p>
        </w:tc>
        <w:tc>
          <w:tcPr>
            <w:tcW w:w="906" w:type="dxa"/>
          </w:tcPr>
          <w:p w14:paraId="3315901D" w14:textId="2ADB4A5E" w:rsidR="00417003" w:rsidRPr="00285806" w:rsidRDefault="00417003" w:rsidP="00111AFD">
            <w:pPr>
              <w:jc w:val="right"/>
            </w:pPr>
            <w:r>
              <w:t>4.Q 2024</w:t>
            </w:r>
          </w:p>
        </w:tc>
        <w:tc>
          <w:tcPr>
            <w:tcW w:w="906" w:type="dxa"/>
          </w:tcPr>
          <w:p w14:paraId="6F3F5DE5" w14:textId="351C4999" w:rsidR="00417003" w:rsidRPr="00285806" w:rsidRDefault="00417003" w:rsidP="00111AFD">
            <w:pPr>
              <w:jc w:val="right"/>
            </w:pPr>
            <w:r>
              <w:t>1.Q 2025</w:t>
            </w:r>
          </w:p>
        </w:tc>
        <w:tc>
          <w:tcPr>
            <w:tcW w:w="905" w:type="dxa"/>
          </w:tcPr>
          <w:p w14:paraId="42E27E05" w14:textId="50A9F4F6" w:rsidR="00417003" w:rsidRPr="00285806" w:rsidRDefault="00417003" w:rsidP="00111AFD">
            <w:pPr>
              <w:jc w:val="right"/>
            </w:pPr>
            <w:r>
              <w:t>2.Q 2025</w:t>
            </w:r>
          </w:p>
        </w:tc>
        <w:tc>
          <w:tcPr>
            <w:tcW w:w="905" w:type="dxa"/>
          </w:tcPr>
          <w:p w14:paraId="382B1F7B" w14:textId="391D6864" w:rsidR="00417003" w:rsidRPr="00285806" w:rsidRDefault="00417003" w:rsidP="00111AFD">
            <w:pPr>
              <w:jc w:val="right"/>
            </w:pPr>
            <w:r>
              <w:t>3.Q 2025</w:t>
            </w:r>
          </w:p>
        </w:tc>
        <w:tc>
          <w:tcPr>
            <w:tcW w:w="905" w:type="dxa"/>
          </w:tcPr>
          <w:p w14:paraId="39EFF7F9" w14:textId="47D534FC" w:rsidR="00417003" w:rsidRPr="00285806" w:rsidRDefault="00417003" w:rsidP="00111AFD">
            <w:pPr>
              <w:jc w:val="right"/>
            </w:pPr>
            <w:r>
              <w:t>4.Q 2025</w:t>
            </w:r>
          </w:p>
        </w:tc>
        <w:tc>
          <w:tcPr>
            <w:tcW w:w="905" w:type="dxa"/>
          </w:tcPr>
          <w:p w14:paraId="1C9A8A21" w14:textId="03AE885F" w:rsidR="00417003" w:rsidRPr="00285806" w:rsidRDefault="00417003" w:rsidP="00111AFD">
            <w:pPr>
              <w:jc w:val="right"/>
            </w:pPr>
            <w:r>
              <w:t>1.Q 2026</w:t>
            </w:r>
          </w:p>
        </w:tc>
        <w:tc>
          <w:tcPr>
            <w:tcW w:w="905" w:type="dxa"/>
          </w:tcPr>
          <w:p w14:paraId="00604CBF" w14:textId="2B47E6AD" w:rsidR="00417003" w:rsidRPr="00F562EF" w:rsidRDefault="00417003" w:rsidP="00111AFD">
            <w:pPr>
              <w:jc w:val="right"/>
            </w:pPr>
            <w:r>
              <w:t>2.Q 2026</w:t>
            </w:r>
          </w:p>
        </w:tc>
      </w:tr>
      <w:tr w:rsidR="00111AFD" w:rsidRPr="00F562EF" w14:paraId="66A62D28" w14:textId="77777777" w:rsidTr="00FF766A">
        <w:tc>
          <w:tcPr>
            <w:tcW w:w="909" w:type="dxa"/>
          </w:tcPr>
          <w:p w14:paraId="3162597D" w14:textId="10B2B45F" w:rsidR="00111AFD" w:rsidRPr="00F562EF" w:rsidRDefault="00111AFD" w:rsidP="00111AFD">
            <w:r>
              <w:t>mld. Kč</w:t>
            </w:r>
          </w:p>
        </w:tc>
        <w:tc>
          <w:tcPr>
            <w:tcW w:w="909" w:type="dxa"/>
            <w:vAlign w:val="center"/>
          </w:tcPr>
          <w:p w14:paraId="250FDA48" w14:textId="13A28A73" w:rsidR="00111AFD" w:rsidRPr="00F562EF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5,3</w:t>
            </w:r>
          </w:p>
        </w:tc>
        <w:tc>
          <w:tcPr>
            <w:tcW w:w="906" w:type="dxa"/>
            <w:vAlign w:val="center"/>
          </w:tcPr>
          <w:p w14:paraId="5FF30948" w14:textId="5DA6246F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-30,1</w:t>
            </w:r>
          </w:p>
        </w:tc>
        <w:tc>
          <w:tcPr>
            <w:tcW w:w="906" w:type="dxa"/>
            <w:vAlign w:val="center"/>
          </w:tcPr>
          <w:p w14:paraId="749173B8" w14:textId="49D09B2D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-75,5</w:t>
            </w:r>
          </w:p>
        </w:tc>
        <w:tc>
          <w:tcPr>
            <w:tcW w:w="906" w:type="dxa"/>
            <w:vAlign w:val="center"/>
          </w:tcPr>
          <w:p w14:paraId="03EC6FC1" w14:textId="62DDF9EB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-70,0</w:t>
            </w:r>
          </w:p>
        </w:tc>
        <w:tc>
          <w:tcPr>
            <w:tcW w:w="905" w:type="dxa"/>
            <w:vAlign w:val="center"/>
          </w:tcPr>
          <w:p w14:paraId="307F4384" w14:textId="78C98DC6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9,4</w:t>
            </w:r>
          </w:p>
        </w:tc>
        <w:tc>
          <w:tcPr>
            <w:tcW w:w="905" w:type="dxa"/>
            <w:vAlign w:val="center"/>
          </w:tcPr>
          <w:p w14:paraId="29E11161" w14:textId="6750EA3A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-24,5</w:t>
            </w:r>
          </w:p>
        </w:tc>
        <w:tc>
          <w:tcPr>
            <w:tcW w:w="905" w:type="dxa"/>
            <w:vAlign w:val="center"/>
          </w:tcPr>
          <w:p w14:paraId="5FB01680" w14:textId="2636924E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-100,4</w:t>
            </w:r>
          </w:p>
        </w:tc>
        <w:tc>
          <w:tcPr>
            <w:tcW w:w="905" w:type="dxa"/>
            <w:vAlign w:val="center"/>
          </w:tcPr>
          <w:p w14:paraId="1212D3D8" w14:textId="16978F02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-73,2</w:t>
            </w:r>
          </w:p>
        </w:tc>
        <w:tc>
          <w:tcPr>
            <w:tcW w:w="905" w:type="dxa"/>
            <w:vAlign w:val="center"/>
          </w:tcPr>
          <w:p w14:paraId="6C35CA7E" w14:textId="4F55FCF1" w:rsidR="00111AFD" w:rsidRPr="00F562EF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-33,3</w:t>
            </w:r>
          </w:p>
        </w:tc>
      </w:tr>
      <w:tr w:rsidR="00111AFD" w:rsidRPr="00F562EF" w14:paraId="224DB03F" w14:textId="77777777" w:rsidTr="00FF766A">
        <w:tc>
          <w:tcPr>
            <w:tcW w:w="909" w:type="dxa"/>
          </w:tcPr>
          <w:p w14:paraId="101F56FD" w14:textId="3EE17B62" w:rsidR="00111AFD" w:rsidRPr="00F562EF" w:rsidRDefault="00111AFD" w:rsidP="00111AFD">
            <w:r>
              <w:t>% HDP</w:t>
            </w:r>
          </w:p>
        </w:tc>
        <w:tc>
          <w:tcPr>
            <w:tcW w:w="909" w:type="dxa"/>
            <w:vAlign w:val="center"/>
          </w:tcPr>
          <w:p w14:paraId="1D58DA44" w14:textId="30D592C0" w:rsidR="00111AFD" w:rsidRPr="00F562EF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0,3</w:t>
            </w:r>
          </w:p>
        </w:tc>
        <w:tc>
          <w:tcPr>
            <w:tcW w:w="906" w:type="dxa"/>
            <w:vAlign w:val="center"/>
          </w:tcPr>
          <w:p w14:paraId="6F5B5157" w14:textId="0C6BAA7E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-1,5</w:t>
            </w:r>
          </w:p>
        </w:tc>
        <w:tc>
          <w:tcPr>
            <w:tcW w:w="906" w:type="dxa"/>
            <w:vAlign w:val="center"/>
          </w:tcPr>
          <w:p w14:paraId="2F9C3F71" w14:textId="197855FA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-3,6</w:t>
            </w:r>
          </w:p>
        </w:tc>
        <w:tc>
          <w:tcPr>
            <w:tcW w:w="906" w:type="dxa"/>
            <w:vAlign w:val="center"/>
          </w:tcPr>
          <w:p w14:paraId="19E862BD" w14:textId="3887261F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-3,6</w:t>
            </w:r>
          </w:p>
        </w:tc>
        <w:tc>
          <w:tcPr>
            <w:tcW w:w="905" w:type="dxa"/>
            <w:vAlign w:val="center"/>
          </w:tcPr>
          <w:p w14:paraId="5062F70B" w14:textId="33CE45FC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0,4</w:t>
            </w:r>
          </w:p>
        </w:tc>
        <w:tc>
          <w:tcPr>
            <w:tcW w:w="905" w:type="dxa"/>
            <w:vAlign w:val="center"/>
          </w:tcPr>
          <w:p w14:paraId="3ED8825C" w14:textId="0B5F9C68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-1,1</w:t>
            </w:r>
          </w:p>
        </w:tc>
        <w:tc>
          <w:tcPr>
            <w:tcW w:w="905" w:type="dxa"/>
            <w:vAlign w:val="center"/>
          </w:tcPr>
          <w:p w14:paraId="477F4ED2" w14:textId="6DFFFCAC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-4,5</w:t>
            </w:r>
          </w:p>
        </w:tc>
        <w:tc>
          <w:tcPr>
            <w:tcW w:w="905" w:type="dxa"/>
            <w:vAlign w:val="center"/>
          </w:tcPr>
          <w:p w14:paraId="321A45C1" w14:textId="108D49D9" w:rsidR="00111AFD" w:rsidRPr="002A6969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-3,6</w:t>
            </w:r>
          </w:p>
        </w:tc>
        <w:tc>
          <w:tcPr>
            <w:tcW w:w="905" w:type="dxa"/>
            <w:vAlign w:val="center"/>
          </w:tcPr>
          <w:p w14:paraId="74BA1893" w14:textId="1756CAF3" w:rsidR="00111AFD" w:rsidRPr="00F562EF" w:rsidRDefault="00111AFD" w:rsidP="00111AFD">
            <w:pPr>
              <w:jc w:val="right"/>
            </w:pPr>
            <w:r>
              <w:rPr>
                <w:rFonts w:ascii="Arial" w:hAnsi="Arial" w:cs="Arial"/>
                <w:color w:val="000000"/>
              </w:rPr>
              <w:t>-1,5</w:t>
            </w:r>
          </w:p>
        </w:tc>
      </w:tr>
    </w:tbl>
    <w:p w14:paraId="61930A8C" w14:textId="0035E385" w:rsidR="00270529" w:rsidRDefault="00D93A80" w:rsidP="00773B0B">
      <w:pPr>
        <w:jc w:val="left"/>
      </w:pPr>
      <w:r>
        <w:rPr>
          <w:sz w:val="16"/>
          <w:szCs w:val="16"/>
        </w:rPr>
        <w:t>Údaje</w:t>
      </w:r>
      <w:r w:rsidRPr="00B46173">
        <w:rPr>
          <w:sz w:val="16"/>
          <w:szCs w:val="16"/>
        </w:rPr>
        <w:t xml:space="preserve"> v tabulce nejsou sezónně očištěny, nelze je srovnávat mezičtvrtletně</w:t>
      </w:r>
    </w:p>
    <w:p w14:paraId="5BBBEC70" w14:textId="33D7D4DD" w:rsidR="00C90F2F" w:rsidRDefault="002B3EFF" w:rsidP="00B6024F">
      <w:pPr>
        <w:jc w:val="left"/>
      </w:pPr>
      <w:r w:rsidRPr="004B4A46">
        <w:rPr>
          <w:rFonts w:cs="Arial"/>
        </w:rPr>
        <w:t xml:space="preserve">Celkové příjmy sektoru vládních institucí stouply meziročně o </w:t>
      </w:r>
      <w:r w:rsidR="006408B5" w:rsidRPr="004B4A46">
        <w:rPr>
          <w:rFonts w:cs="Arial"/>
        </w:rPr>
        <w:t>4,8</w:t>
      </w:r>
      <w:r w:rsidRPr="004B4A46">
        <w:rPr>
          <w:rFonts w:cs="Arial"/>
        </w:rPr>
        <w:t xml:space="preserve"> % a dosáhly 4</w:t>
      </w:r>
      <w:r w:rsidR="006408B5" w:rsidRPr="004B4A46">
        <w:rPr>
          <w:rFonts w:cs="Arial"/>
        </w:rPr>
        <w:t>3,1</w:t>
      </w:r>
      <w:r w:rsidRPr="004B4A46">
        <w:rPr>
          <w:rFonts w:cs="Arial"/>
        </w:rPr>
        <w:t xml:space="preserve"> % HDP. Na meziročním růstu příjmů se podílely zejména přijaté sociální příspěvky </w:t>
      </w:r>
      <w:r w:rsidR="00EC7BFB" w:rsidRPr="004B4A46">
        <w:rPr>
          <w:rFonts w:cs="Arial"/>
        </w:rPr>
        <w:t>(</w:t>
      </w:r>
      <w:r w:rsidR="004E48B0">
        <w:rPr>
          <w:rFonts w:cs="Arial"/>
        </w:rPr>
        <w:t>+</w:t>
      </w:r>
      <w:r w:rsidR="004B4A46" w:rsidRPr="004B4A46">
        <w:rPr>
          <w:rFonts w:cs="Arial"/>
        </w:rPr>
        <w:t>32,9 mld. Kč)</w:t>
      </w:r>
      <w:r w:rsidR="00EC7BFB" w:rsidRPr="004B4A46">
        <w:rPr>
          <w:rFonts w:cs="Arial"/>
        </w:rPr>
        <w:t xml:space="preserve">. </w:t>
      </w:r>
      <w:r w:rsidRPr="004B4A46">
        <w:rPr>
          <w:rFonts w:cs="Arial"/>
        </w:rPr>
        <w:t xml:space="preserve">Celkové výdaje vládních institucí meziročně vzrostly o </w:t>
      </w:r>
      <w:r w:rsidR="00EC7BFB" w:rsidRPr="004B4A46">
        <w:rPr>
          <w:rFonts w:cs="Arial"/>
        </w:rPr>
        <w:t>9,5</w:t>
      </w:r>
      <w:r w:rsidRPr="004B4A46">
        <w:rPr>
          <w:rFonts w:cs="Arial"/>
        </w:rPr>
        <w:t xml:space="preserve"> % a dosáhly 4</w:t>
      </w:r>
      <w:r w:rsidR="00EC7BFB" w:rsidRPr="004B4A46">
        <w:rPr>
          <w:rFonts w:cs="Arial"/>
        </w:rPr>
        <w:t>4</w:t>
      </w:r>
      <w:r w:rsidRPr="004B4A46">
        <w:rPr>
          <w:rFonts w:cs="Arial"/>
        </w:rPr>
        <w:t>,</w:t>
      </w:r>
      <w:r w:rsidR="00EC7BFB" w:rsidRPr="004B4A46">
        <w:rPr>
          <w:rFonts w:cs="Arial"/>
        </w:rPr>
        <w:t>6</w:t>
      </w:r>
      <w:r w:rsidRPr="004B4A46">
        <w:rPr>
          <w:rFonts w:cs="Arial"/>
        </w:rPr>
        <w:t xml:space="preserve"> % HDP. Objemově největší růst byl zaznamenán především u vyplacených sociálních dávek</w:t>
      </w:r>
      <w:r w:rsidR="00EC7BFB" w:rsidRPr="004B4A46">
        <w:rPr>
          <w:rFonts w:cs="Arial"/>
        </w:rPr>
        <w:t xml:space="preserve"> (</w:t>
      </w:r>
      <w:r w:rsidR="004E48B0">
        <w:rPr>
          <w:rFonts w:cs="Arial"/>
        </w:rPr>
        <w:t>+</w:t>
      </w:r>
      <w:r w:rsidR="00EC7BFB" w:rsidRPr="004B4A46">
        <w:rPr>
          <w:rFonts w:cs="Arial"/>
        </w:rPr>
        <w:t>27,5 mld. Kč)</w:t>
      </w:r>
      <w:r w:rsidRPr="004B4A46">
        <w:rPr>
          <w:rFonts w:cs="Arial"/>
        </w:rPr>
        <w:t xml:space="preserve">, </w:t>
      </w:r>
      <w:r w:rsidR="00EC7BFB" w:rsidRPr="004B4A46">
        <w:rPr>
          <w:rFonts w:cs="Arial"/>
        </w:rPr>
        <w:t>náhrad zaměstnancům (</w:t>
      </w:r>
      <w:r w:rsidR="004E48B0">
        <w:rPr>
          <w:rFonts w:cs="Arial"/>
        </w:rPr>
        <w:t>+</w:t>
      </w:r>
      <w:r w:rsidR="00EC7BFB" w:rsidRPr="004B4A46">
        <w:rPr>
          <w:rFonts w:cs="Arial"/>
        </w:rPr>
        <w:t xml:space="preserve">19,2 mld. </w:t>
      </w:r>
      <w:r w:rsidR="002F064E">
        <w:rPr>
          <w:rFonts w:cs="Arial"/>
        </w:rPr>
        <w:t>K</w:t>
      </w:r>
      <w:r w:rsidR="00EC7BFB" w:rsidRPr="004B4A46">
        <w:rPr>
          <w:rFonts w:cs="Arial"/>
        </w:rPr>
        <w:t xml:space="preserve">č) a </w:t>
      </w:r>
      <w:r w:rsidRPr="004B4A46">
        <w:rPr>
          <w:rFonts w:cs="Arial"/>
        </w:rPr>
        <w:t xml:space="preserve">tvorby hrubého fixního kapitálu </w:t>
      </w:r>
      <w:r w:rsidR="00EC7BFB" w:rsidRPr="004B4A46">
        <w:rPr>
          <w:rFonts w:cs="Arial"/>
        </w:rPr>
        <w:t>(</w:t>
      </w:r>
      <w:r w:rsidR="004E48B0">
        <w:rPr>
          <w:rFonts w:cs="Arial"/>
        </w:rPr>
        <w:t>+</w:t>
      </w:r>
      <w:r w:rsidR="004B4A46" w:rsidRPr="004B4A46">
        <w:rPr>
          <w:rFonts w:cs="Arial"/>
        </w:rPr>
        <w:t>17,8 mld. Kč)</w:t>
      </w:r>
      <w:r w:rsidRPr="004B4A46">
        <w:rPr>
          <w:rFonts w:cs="Arial"/>
        </w:rPr>
        <w:t>.</w:t>
      </w:r>
    </w:p>
    <w:p w14:paraId="4A222360" w14:textId="645315F6" w:rsidR="001B5603" w:rsidRPr="00773B0B" w:rsidRDefault="001B5603" w:rsidP="001B5603">
      <w:pPr>
        <w:pStyle w:val="Nadpis6"/>
      </w:pPr>
      <w:r>
        <w:t>Dluh</w:t>
      </w:r>
    </w:p>
    <w:p w14:paraId="481FA29D" w14:textId="31CD8A07" w:rsidR="00164867" w:rsidRDefault="00164867" w:rsidP="00164867">
      <w:pPr>
        <w:jc w:val="left"/>
        <w:rPr>
          <w:rFonts w:cs="Arial"/>
        </w:rPr>
      </w:pPr>
      <w:r w:rsidRPr="00253A88">
        <w:rPr>
          <w:rFonts w:cs="Arial"/>
        </w:rPr>
        <w:t>Nominální dluh vládních institucí meziročně stoupl o 2</w:t>
      </w:r>
      <w:r w:rsidR="00253A88" w:rsidRPr="00253A88">
        <w:rPr>
          <w:rFonts w:cs="Arial"/>
        </w:rPr>
        <w:t>15,1</w:t>
      </w:r>
      <w:r w:rsidRPr="00253A88">
        <w:rPr>
          <w:rFonts w:cs="Arial"/>
        </w:rPr>
        <w:t xml:space="preserve"> mld. Kč na 3</w:t>
      </w:r>
      <w:r w:rsidR="00253A88" w:rsidRPr="00253A88">
        <w:rPr>
          <w:rFonts w:cs="Arial"/>
        </w:rPr>
        <w:t> </w:t>
      </w:r>
      <w:r w:rsidRPr="00253A88">
        <w:rPr>
          <w:rFonts w:cs="Arial"/>
        </w:rPr>
        <w:t>8</w:t>
      </w:r>
      <w:r w:rsidR="00253A88" w:rsidRPr="00253A88">
        <w:rPr>
          <w:rFonts w:cs="Arial"/>
        </w:rPr>
        <w:t>42,4</w:t>
      </w:r>
      <w:r w:rsidRPr="00253A88">
        <w:rPr>
          <w:rFonts w:cs="Arial"/>
        </w:rPr>
        <w:t xml:space="preserve"> mld. Kč. Míra zadlužení sektoru vládních institucí meziročně stoupla ze 43,</w:t>
      </w:r>
      <w:r w:rsidR="00253A88" w:rsidRPr="00253A88">
        <w:rPr>
          <w:rFonts w:cs="Arial"/>
        </w:rPr>
        <w:t>7</w:t>
      </w:r>
      <w:r w:rsidRPr="00253A88">
        <w:rPr>
          <w:rFonts w:cs="Arial"/>
        </w:rPr>
        <w:t xml:space="preserve"> % na 4</w:t>
      </w:r>
      <w:r w:rsidR="00253A88" w:rsidRPr="00253A88">
        <w:rPr>
          <w:rFonts w:cs="Arial"/>
        </w:rPr>
        <w:t>3,8</w:t>
      </w:r>
      <w:r w:rsidRPr="00253A88">
        <w:rPr>
          <w:rFonts w:cs="Arial"/>
        </w:rPr>
        <w:t xml:space="preserve"> % HDP, vliv nominální změny dluhu činil + </w:t>
      </w:r>
      <w:r w:rsidR="00253A88" w:rsidRPr="00253A88">
        <w:rPr>
          <w:rFonts w:cs="Arial"/>
        </w:rPr>
        <w:t>2,4</w:t>
      </w:r>
      <w:r w:rsidRPr="00253A88">
        <w:rPr>
          <w:rFonts w:cs="Arial"/>
        </w:rPr>
        <w:t xml:space="preserve"> p. b., přičemž rostoucí nominální HDP poměr dluhu snižoval o - 2,</w:t>
      </w:r>
      <w:r w:rsidR="00253A88" w:rsidRPr="00253A88">
        <w:rPr>
          <w:rFonts w:cs="Arial"/>
        </w:rPr>
        <w:t>3</w:t>
      </w:r>
      <w:r w:rsidRPr="00253A88">
        <w:rPr>
          <w:rFonts w:cs="Arial"/>
        </w:rPr>
        <w:t xml:space="preserve"> p. b. Mezičtvrtletně dluh stoupl o </w:t>
      </w:r>
      <w:r w:rsidR="00253A88" w:rsidRPr="00253A88">
        <w:rPr>
          <w:rFonts w:cs="Arial"/>
        </w:rPr>
        <w:t>14,9</w:t>
      </w:r>
      <w:r w:rsidRPr="00253A88">
        <w:rPr>
          <w:rFonts w:cs="Arial"/>
        </w:rPr>
        <w:t xml:space="preserve"> mld. Kč, samotná nominální změna dluhu činila 0,</w:t>
      </w:r>
      <w:r w:rsidR="00253A88" w:rsidRPr="00253A88">
        <w:rPr>
          <w:rFonts w:cs="Arial"/>
        </w:rPr>
        <w:t>1</w:t>
      </w:r>
      <w:r w:rsidRPr="00253A88">
        <w:rPr>
          <w:rFonts w:cs="Arial"/>
        </w:rPr>
        <w:t xml:space="preserve"> p. b., zatímco růst nominálního HDP přispěl k poklesu zadlužení o - 0,</w:t>
      </w:r>
      <w:r w:rsidR="00253A88" w:rsidRPr="00253A88">
        <w:rPr>
          <w:rFonts w:cs="Arial"/>
        </w:rPr>
        <w:t>4</w:t>
      </w:r>
      <w:r w:rsidRPr="00253A88">
        <w:rPr>
          <w:rFonts w:cs="Arial"/>
        </w:rPr>
        <w:t xml:space="preserve"> p. b., což ve výsledku mezičtvrtletně vedlo ke snížení míry zadlužení o 0,</w:t>
      </w:r>
      <w:r w:rsidR="00253A88" w:rsidRPr="00253A88">
        <w:rPr>
          <w:rFonts w:cs="Arial"/>
        </w:rPr>
        <w:t>3</w:t>
      </w:r>
      <w:r w:rsidRPr="00253A88">
        <w:rPr>
          <w:rFonts w:cs="Arial"/>
        </w:rPr>
        <w:t xml:space="preserve"> p. b.</w:t>
      </w:r>
    </w:p>
    <w:p w14:paraId="512B3434" w14:textId="77777777" w:rsidR="003E40E4" w:rsidRDefault="003E40E4" w:rsidP="00546E9A">
      <w:pPr>
        <w:jc w:val="left"/>
        <w:rPr>
          <w:b/>
          <w:bCs/>
        </w:rPr>
      </w:pPr>
    </w:p>
    <w:p w14:paraId="70A064F6" w14:textId="2F4F59EB" w:rsidR="003E40E4" w:rsidRDefault="003E40E4" w:rsidP="00183D97">
      <w:pPr>
        <w:keepNext/>
        <w:jc w:val="left"/>
        <w:rPr>
          <w:b/>
          <w:bCs/>
        </w:rPr>
      </w:pPr>
      <w:r>
        <w:rPr>
          <w:b/>
          <w:bCs/>
        </w:rPr>
        <w:lastRenderedPageBreak/>
        <w:t>Graf</w:t>
      </w:r>
      <w:r w:rsidR="005B52E7">
        <w:rPr>
          <w:b/>
          <w:bCs/>
        </w:rPr>
        <w:t xml:space="preserve"> 1</w:t>
      </w:r>
      <w:r>
        <w:rPr>
          <w:b/>
          <w:bCs/>
        </w:rPr>
        <w:t>: Dluh sektoru vládních institucí</w:t>
      </w:r>
    </w:p>
    <w:p w14:paraId="560194A3" w14:textId="3A0DBC71" w:rsidR="003E40E4" w:rsidRDefault="003E40E4" w:rsidP="00546E9A">
      <w:pPr>
        <w:jc w:val="left"/>
        <w:rPr>
          <w:b/>
          <w:bCs/>
        </w:rPr>
      </w:pPr>
      <w:r>
        <w:rPr>
          <w:noProof/>
        </w:rPr>
        <w:drawing>
          <wp:inline distT="0" distB="0" distL="0" distR="0" wp14:anchorId="3C030288" wp14:editId="374C0CD8">
            <wp:extent cx="5760085" cy="2752090"/>
            <wp:effectExtent l="0" t="0" r="0" b="0"/>
            <wp:docPr id="31727745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DBA4E44" w14:textId="3BCB9D0E" w:rsidR="00546E9A" w:rsidRPr="00546E9A" w:rsidRDefault="0094310D" w:rsidP="00183D97">
      <w:pPr>
        <w:keepNext/>
        <w:jc w:val="left"/>
        <w:rPr>
          <w:rFonts w:cs="Arial"/>
          <w:highlight w:val="yellow"/>
        </w:rPr>
      </w:pPr>
      <w:r>
        <w:rPr>
          <w:b/>
          <w:bCs/>
        </w:rPr>
        <w:t>Graf</w:t>
      </w:r>
      <w:r w:rsidR="005B52E7">
        <w:rPr>
          <w:b/>
          <w:bCs/>
        </w:rPr>
        <w:t xml:space="preserve"> 2</w:t>
      </w:r>
      <w:r>
        <w:rPr>
          <w:b/>
          <w:bCs/>
        </w:rPr>
        <w:t xml:space="preserve">: </w:t>
      </w:r>
      <w:r w:rsidRPr="0094310D">
        <w:rPr>
          <w:b/>
          <w:bCs/>
        </w:rPr>
        <w:t>Meziroční relativní změna zadlužení</w:t>
      </w:r>
      <w:r>
        <w:rPr>
          <w:noProof/>
        </w:rPr>
        <w:drawing>
          <wp:inline distT="0" distB="0" distL="0" distR="0" wp14:anchorId="3BF3584B" wp14:editId="224ADD15">
            <wp:extent cx="5760085" cy="2571115"/>
            <wp:effectExtent l="0" t="0" r="0" b="635"/>
            <wp:docPr id="169420549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B250572" w14:textId="127CA315" w:rsidR="006F17AD" w:rsidRPr="00773B0B" w:rsidRDefault="006F17AD" w:rsidP="006F17AD">
      <w:pPr>
        <w:pStyle w:val="Nadpis6"/>
      </w:pPr>
      <w:r>
        <w:t>Sezó</w:t>
      </w:r>
      <w:r w:rsidR="005F25D6">
        <w:t>n</w:t>
      </w:r>
      <w:r>
        <w:t>ně očištěné saldo hospodaření</w:t>
      </w:r>
    </w:p>
    <w:p w14:paraId="2AF81D28" w14:textId="62580771" w:rsidR="001B5603" w:rsidRDefault="006F17AD" w:rsidP="006F17AD">
      <w:pPr>
        <w:jc w:val="left"/>
      </w:pPr>
      <w:r w:rsidRPr="007A1904">
        <w:t xml:space="preserve">Saldo hospodaření vládních institucí po očištění o sezónní a kalendářní vlivy skončilo v deficitu </w:t>
      </w:r>
      <w:r w:rsidR="007A1904" w:rsidRPr="007A1904">
        <w:t>72,5</w:t>
      </w:r>
      <w:r w:rsidRPr="007A1904">
        <w:t xml:space="preserve"> mld. Kč, který odpovídal </w:t>
      </w:r>
      <w:r w:rsidR="007A1904" w:rsidRPr="007A1904">
        <w:t>3</w:t>
      </w:r>
      <w:r w:rsidRPr="007A1904">
        <w:t xml:space="preserve">,3 % HDP. Mezičtvrtletně se saldo hospodaření zhoršilo o </w:t>
      </w:r>
      <w:r w:rsidR="007A1904" w:rsidRPr="007A1904">
        <w:t>16,3</w:t>
      </w:r>
      <w:r w:rsidRPr="007A1904">
        <w:t xml:space="preserve"> mld. Kč. Vývoj salda hospodaření vládních institucí očištěného o sezónní a kalendářní vlivy ilustruje následující graf.</w:t>
      </w:r>
      <w:r w:rsidRPr="006F17AD">
        <w:t xml:space="preserve"> </w:t>
      </w:r>
    </w:p>
    <w:p w14:paraId="1480E717" w14:textId="77777777" w:rsidR="00183D97" w:rsidRDefault="00183D97" w:rsidP="006F17AD">
      <w:pPr>
        <w:jc w:val="left"/>
      </w:pPr>
    </w:p>
    <w:p w14:paraId="7647DF02" w14:textId="0C9CEF73" w:rsidR="00183D97" w:rsidRDefault="00183D97" w:rsidP="00183D97">
      <w:pPr>
        <w:keepNext/>
        <w:jc w:val="left"/>
      </w:pPr>
      <w:r>
        <w:rPr>
          <w:b/>
          <w:bCs/>
        </w:rPr>
        <w:lastRenderedPageBreak/>
        <w:t>Graf</w:t>
      </w:r>
      <w:r w:rsidR="005B52E7">
        <w:rPr>
          <w:b/>
          <w:bCs/>
        </w:rPr>
        <w:t xml:space="preserve"> 3</w:t>
      </w:r>
      <w:r>
        <w:rPr>
          <w:b/>
          <w:bCs/>
        </w:rPr>
        <w:t>: Sezónně očištěné saldo hospodaření v % HDP</w:t>
      </w:r>
    </w:p>
    <w:p w14:paraId="2CB87F6A" w14:textId="42355207" w:rsidR="001B5603" w:rsidRDefault="007A1904" w:rsidP="001B5603">
      <w:pPr>
        <w:jc w:val="left"/>
      </w:pPr>
      <w:r>
        <w:rPr>
          <w:noProof/>
        </w:rPr>
        <w:drawing>
          <wp:inline distT="0" distB="0" distL="0" distR="0" wp14:anchorId="1298A60C" wp14:editId="21F4410A">
            <wp:extent cx="5760085" cy="1982470"/>
            <wp:effectExtent l="0" t="0" r="0" b="0"/>
            <wp:docPr id="899952377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F5CA2C1" w14:textId="2CE6F523" w:rsidR="00172037" w:rsidRPr="00172037" w:rsidRDefault="002C4C20" w:rsidP="00172037">
      <w:pPr>
        <w:pStyle w:val="Poznmky0"/>
        <w:jc w:val="left"/>
        <w:rPr>
          <w:rFonts w:cs="Arial"/>
        </w:rPr>
      </w:pPr>
      <w:r>
        <w:t xml:space="preserve">Poznámky: </w:t>
      </w:r>
      <w:r w:rsidR="00172037" w:rsidRPr="00172037">
        <w:rPr>
          <w:rFonts w:cs="Arial"/>
        </w:rPr>
        <w:t xml:space="preserve">Kvantifikace fiskálních ukazatelů je založena na metodice Evropského systému národních účtů (ESA 2010). Uvedené údaje jsou v metodickém souladu s údaji sloužícími pro účely statistiky nadměrného schodku (EDP, Excessive Deficit Procedure) a pro hodnocení plnění maastrichtských konvergenčních kritérií.  </w:t>
      </w:r>
    </w:p>
    <w:p w14:paraId="7FDCB4A1" w14:textId="77777777" w:rsidR="00172037" w:rsidRPr="00172037" w:rsidRDefault="00172037" w:rsidP="00172037">
      <w:pPr>
        <w:pStyle w:val="Poznmky0"/>
        <w:jc w:val="left"/>
        <w:rPr>
          <w:rFonts w:cs="Arial"/>
        </w:rPr>
      </w:pPr>
      <w:r w:rsidRPr="00172037">
        <w:rPr>
          <w:rFonts w:cs="Arial"/>
        </w:rPr>
        <w:t>Přebytek/deficit vládních institucí je výše čistých půjček (+) nebo výpůjček (−) v systému národního účetnictví. Ukazatel vyjadřuje schopnost sektoru v daném období financovat (+) jiné sektory ekonomiky nebo potřebu tohoto sektoru být ostatními sektory financován (−).</w:t>
      </w:r>
    </w:p>
    <w:p w14:paraId="510A819E" w14:textId="77777777" w:rsidR="00172037" w:rsidRPr="00172037" w:rsidRDefault="00172037" w:rsidP="00172037">
      <w:pPr>
        <w:pStyle w:val="Poznmky0"/>
        <w:jc w:val="left"/>
        <w:rPr>
          <w:rFonts w:cs="Arial"/>
        </w:rPr>
      </w:pPr>
      <w:r w:rsidRPr="00172037">
        <w:rPr>
          <w:rFonts w:cs="Arial"/>
        </w:rPr>
        <w:t>Dluh vládních institucí představuje výši konsolidovaných závazků sektoru vládních institucí vyplývající z přijatých vkladů, emitovaných dluhových cenných papírů a přijatých půjček. U cizoměnových dluhových nástrojů zajištěných proti měnovému riziku je ocenění provedeno na bázi smluvního kurzu.</w:t>
      </w:r>
    </w:p>
    <w:p w14:paraId="3B801DC5" w14:textId="4F090951" w:rsidR="00985B76" w:rsidRDefault="00172037" w:rsidP="00172037">
      <w:pPr>
        <w:pStyle w:val="Poznmky0"/>
        <w:jc w:val="left"/>
        <w:rPr>
          <w:rFonts w:cs="Arial"/>
        </w:rPr>
      </w:pPr>
      <w:r w:rsidRPr="00172037">
        <w:rPr>
          <w:rFonts w:cs="Arial"/>
        </w:rPr>
        <w:t>Saldo hospodaření je porovnáno s výší HDP v daném čtvrtletí v běžných cenách. Výše konsolidovaného dluhu vládních institucí je porovnána se součtem posledních čtyř čtvrtletních HDP v běžných cenách</w:t>
      </w:r>
      <w:r>
        <w:rPr>
          <w:rFonts w:cs="Arial"/>
        </w:rPr>
        <w:t xml:space="preserve">. </w:t>
      </w:r>
      <w:r>
        <w:t>Pokud není uvedeno jinak, data nejsou očištěna o sezónní a kalendářní vlivy.</w:t>
      </w:r>
    </w:p>
    <w:p w14:paraId="2E84F962" w14:textId="77777777" w:rsidR="00172037" w:rsidRPr="00172037" w:rsidRDefault="00172037" w:rsidP="00172037"/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275"/>
      </w:tblGrid>
      <w:tr w:rsidR="00985B76" w:rsidRPr="00A3199C" w14:paraId="6CFA635B" w14:textId="77777777" w:rsidTr="00A019EB">
        <w:tc>
          <w:tcPr>
            <w:tcW w:w="3369" w:type="dxa"/>
          </w:tcPr>
          <w:p w14:paraId="4B52D20B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Zodpovědný vedoucí pracovník ČSÚ:</w:t>
            </w:r>
          </w:p>
        </w:tc>
        <w:tc>
          <w:tcPr>
            <w:tcW w:w="5275" w:type="dxa"/>
          </w:tcPr>
          <w:p w14:paraId="4350BC7F" w14:textId="72FBF8CD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</w:t>
            </w:r>
            <w:r>
              <w:rPr>
                <w:i/>
                <w:iCs/>
                <w:sz w:val="18"/>
                <w:szCs w:val="18"/>
              </w:rPr>
              <w:t>Petr Musil, Ph.D.</w:t>
            </w:r>
            <w:r w:rsidRPr="00A3199C">
              <w:rPr>
                <w:i/>
                <w:iCs/>
                <w:sz w:val="18"/>
                <w:szCs w:val="18"/>
              </w:rPr>
              <w:t xml:space="preserve">, ředitel </w:t>
            </w:r>
            <w:r>
              <w:rPr>
                <w:i/>
                <w:iCs/>
                <w:sz w:val="18"/>
                <w:szCs w:val="18"/>
              </w:rPr>
              <w:t>odboru vládních a finančních účtů</w:t>
            </w:r>
            <w:r w:rsidRPr="00A3199C">
              <w:rPr>
                <w:i/>
                <w:iCs/>
                <w:sz w:val="18"/>
                <w:szCs w:val="18"/>
              </w:rPr>
              <w:t xml:space="preserve">, </w:t>
            </w:r>
          </w:p>
          <w:p w14:paraId="0B5C3F70" w14:textId="3557D435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</w:t>
            </w:r>
            <w:r w:rsidR="00FF347B" w:rsidRPr="00FF347B">
              <w:rPr>
                <w:i/>
                <w:iCs/>
                <w:sz w:val="18"/>
                <w:szCs w:val="18"/>
              </w:rPr>
              <w:t>734</w:t>
            </w:r>
            <w:r w:rsidR="00FF347B">
              <w:rPr>
                <w:i/>
                <w:iCs/>
                <w:sz w:val="18"/>
                <w:szCs w:val="18"/>
              </w:rPr>
              <w:t> </w:t>
            </w:r>
            <w:r w:rsidR="00FF347B" w:rsidRPr="00FF347B">
              <w:rPr>
                <w:i/>
                <w:iCs/>
                <w:sz w:val="18"/>
                <w:szCs w:val="18"/>
              </w:rPr>
              <w:t>352</w:t>
            </w:r>
            <w:r w:rsidR="00FF347B">
              <w:rPr>
                <w:i/>
                <w:iCs/>
                <w:sz w:val="18"/>
                <w:szCs w:val="18"/>
              </w:rPr>
              <w:t xml:space="preserve"> </w:t>
            </w:r>
            <w:r w:rsidR="00FF347B" w:rsidRPr="00FF347B">
              <w:rPr>
                <w:i/>
                <w:iCs/>
                <w:sz w:val="18"/>
                <w:szCs w:val="18"/>
              </w:rPr>
              <w:t>286</w:t>
            </w:r>
            <w:r w:rsidRPr="00A3199C">
              <w:rPr>
                <w:i/>
                <w:iCs/>
                <w:sz w:val="18"/>
                <w:szCs w:val="18"/>
              </w:rPr>
              <w:t xml:space="preserve">, e-mail: </w:t>
            </w:r>
            <w:hyperlink r:id="rId14" w:history="1">
              <w:r w:rsidRPr="00172037">
                <w:rPr>
                  <w:rStyle w:val="Hypertextovodkaz"/>
                  <w:i/>
                  <w:iCs/>
                  <w:sz w:val="18"/>
                  <w:szCs w:val="18"/>
                </w:rPr>
                <w:t>petr.musil@csu.gov.cz</w:t>
              </w:r>
            </w:hyperlink>
            <w:r w:rsidRPr="00A3199C">
              <w:rPr>
                <w:sz w:val="18"/>
              </w:rPr>
              <w:t xml:space="preserve"> </w:t>
            </w:r>
          </w:p>
        </w:tc>
      </w:tr>
      <w:tr w:rsidR="00985B76" w:rsidRPr="00A3199C" w14:paraId="548C2A0D" w14:textId="77777777" w:rsidTr="00A019EB">
        <w:tc>
          <w:tcPr>
            <w:tcW w:w="3369" w:type="dxa"/>
          </w:tcPr>
          <w:p w14:paraId="6F7FFB4B" w14:textId="77777777" w:rsidR="00985B76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Kontaktní osoba:</w:t>
            </w:r>
          </w:p>
          <w:p w14:paraId="58D688BF" w14:textId="77777777" w:rsidR="00456191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  <w:p w14:paraId="5CC298B0" w14:textId="6A2E6148" w:rsidR="00456191" w:rsidRPr="00A3199C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Navazující informace:</w:t>
            </w:r>
          </w:p>
        </w:tc>
        <w:tc>
          <w:tcPr>
            <w:tcW w:w="5275" w:type="dxa"/>
          </w:tcPr>
          <w:p w14:paraId="306870E1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Jaroslav Kahoun, vedoucí oddělení vládních účtů, </w:t>
            </w:r>
          </w:p>
          <w:p w14:paraId="31BF3285" w14:textId="77777777" w:rsidR="00985B76" w:rsidRDefault="00985B76" w:rsidP="00985B76">
            <w:pPr>
              <w:spacing w:after="0"/>
              <w:rPr>
                <w:sz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274 054 232, e-mail: </w:t>
            </w:r>
            <w:hyperlink r:id="rId15" w:history="1">
              <w:r w:rsidRPr="00172037">
                <w:rPr>
                  <w:rStyle w:val="Hypertextovodkaz"/>
                  <w:i/>
                  <w:iCs/>
                  <w:sz w:val="18"/>
                </w:rPr>
                <w:t>jaroslav.kahoun@csu.gov.cz</w:t>
              </w:r>
            </w:hyperlink>
            <w:r w:rsidRPr="00A3199C">
              <w:rPr>
                <w:sz w:val="18"/>
              </w:rPr>
              <w:t xml:space="preserve"> </w:t>
            </w:r>
          </w:p>
          <w:p w14:paraId="7AE94D1C" w14:textId="77777777" w:rsidR="00456191" w:rsidRPr="00172037" w:rsidRDefault="00456191" w:rsidP="00456191">
            <w:pPr>
              <w:rPr>
                <w:i/>
                <w:iCs/>
              </w:rPr>
            </w:pPr>
            <w:hyperlink r:id="rId16" w:history="1">
              <w:r w:rsidRPr="00172037">
                <w:rPr>
                  <w:rStyle w:val="Hypertextovodkaz"/>
                  <w:i/>
                  <w:iCs/>
                </w:rPr>
                <w:t>https://csu.gov.cz/vladni-financni-statistika</w:t>
              </w:r>
            </w:hyperlink>
          </w:p>
          <w:p w14:paraId="0F01D66F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</w:tc>
      </w:tr>
      <w:tr w:rsidR="00985B76" w:rsidRPr="00A3199C" w14:paraId="2DE1D2D4" w14:textId="77777777" w:rsidTr="00A019EB">
        <w:tc>
          <w:tcPr>
            <w:tcW w:w="3369" w:type="dxa"/>
          </w:tcPr>
          <w:p w14:paraId="20362ABD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Termín zveřejnění další RI:</w:t>
            </w:r>
          </w:p>
        </w:tc>
        <w:tc>
          <w:tcPr>
            <w:tcW w:w="5275" w:type="dxa"/>
          </w:tcPr>
          <w:p w14:paraId="59124B5B" w14:textId="7F9646E0" w:rsidR="00985B76" w:rsidRPr="00A3199C" w:rsidRDefault="006E397D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</w:t>
            </w:r>
            <w:r w:rsidR="00985B76" w:rsidRPr="00A3199C">
              <w:rPr>
                <w:i/>
                <w:iCs/>
                <w:sz w:val="18"/>
                <w:szCs w:val="18"/>
              </w:rPr>
              <w:t xml:space="preserve">. </w:t>
            </w:r>
            <w:r w:rsidR="00FF347B">
              <w:rPr>
                <w:i/>
                <w:iCs/>
                <w:sz w:val="18"/>
                <w:szCs w:val="18"/>
              </w:rPr>
              <w:t>1</w:t>
            </w:r>
            <w:r w:rsidR="00985B76" w:rsidRPr="00A3199C">
              <w:rPr>
                <w:i/>
                <w:iCs/>
                <w:sz w:val="18"/>
                <w:szCs w:val="18"/>
              </w:rPr>
              <w:t>. 202</w:t>
            </w:r>
            <w:r>
              <w:rPr>
                <w:i/>
                <w:iCs/>
                <w:sz w:val="18"/>
                <w:szCs w:val="18"/>
              </w:rPr>
              <w:t>7</w:t>
            </w:r>
          </w:p>
        </w:tc>
      </w:tr>
    </w:tbl>
    <w:p w14:paraId="7E778C6B" w14:textId="77777777" w:rsidR="00985B76" w:rsidRDefault="00985B76" w:rsidP="00985B76">
      <w:pPr>
        <w:rPr>
          <w:rFonts w:cs="Arial"/>
          <w:i/>
          <w:sz w:val="18"/>
          <w:szCs w:val="18"/>
        </w:rPr>
      </w:pPr>
    </w:p>
    <w:p w14:paraId="1A598238" w14:textId="3D02D8D2" w:rsidR="00A7786D" w:rsidRDefault="00A7786D" w:rsidP="00A7786D">
      <w:pPr>
        <w:pStyle w:val="Poznmky"/>
      </w:pPr>
    </w:p>
    <w:p w14:paraId="76E54E5F" w14:textId="77777777" w:rsidR="00200551" w:rsidRDefault="00200551" w:rsidP="00A7786D">
      <w:pPr>
        <w:pStyle w:val="Poznmky"/>
      </w:pPr>
    </w:p>
    <w:sectPr w:rsidR="00200551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A891" w14:textId="77777777" w:rsidR="00B96228" w:rsidRDefault="00B96228" w:rsidP="004A01A7">
      <w:pPr>
        <w:spacing w:after="0" w:line="240" w:lineRule="auto"/>
      </w:pPr>
      <w:r>
        <w:separator/>
      </w:r>
    </w:p>
  </w:endnote>
  <w:endnote w:type="continuationSeparator" w:id="0">
    <w:p w14:paraId="501750F3" w14:textId="77777777" w:rsidR="00B96228" w:rsidRDefault="00B96228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6A20" w14:textId="77777777" w:rsidR="006A57CC" w:rsidRDefault="006A57CC" w:rsidP="00F21B6A">
    <w:pPr>
      <w:pStyle w:val="Zpat"/>
    </w:pPr>
    <w:r w:rsidRPr="006A57CC">
      <w:t>Český statistický úřad</w:t>
    </w:r>
  </w:p>
  <w:p w14:paraId="46D01A6D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892A868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D536B54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078B4" w14:textId="77777777" w:rsidR="00B96228" w:rsidRDefault="00B96228" w:rsidP="004A01A7">
      <w:pPr>
        <w:spacing w:after="0" w:line="240" w:lineRule="auto"/>
      </w:pPr>
    </w:p>
  </w:footnote>
  <w:footnote w:type="continuationSeparator" w:id="0">
    <w:p w14:paraId="0520CB87" w14:textId="77777777" w:rsidR="00B96228" w:rsidRDefault="00B96228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79E2A5AF" w14:textId="77777777" w:rsidTr="00F21B6A">
      <w:trPr>
        <w:jc w:val="right"/>
      </w:trPr>
      <w:tc>
        <w:tcPr>
          <w:tcW w:w="4253" w:type="dxa"/>
        </w:tcPr>
        <w:p w14:paraId="19374F1C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06FB137A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AB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11AFD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64867"/>
    <w:rsid w:val="001712FE"/>
    <w:rsid w:val="00171B3E"/>
    <w:rsid w:val="00172037"/>
    <w:rsid w:val="00175680"/>
    <w:rsid w:val="00183D97"/>
    <w:rsid w:val="00185E57"/>
    <w:rsid w:val="001909FA"/>
    <w:rsid w:val="0019514E"/>
    <w:rsid w:val="001B5603"/>
    <w:rsid w:val="001D16E0"/>
    <w:rsid w:val="001D52C5"/>
    <w:rsid w:val="001D52C8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53A88"/>
    <w:rsid w:val="00260DCA"/>
    <w:rsid w:val="00270529"/>
    <w:rsid w:val="00275B42"/>
    <w:rsid w:val="00280346"/>
    <w:rsid w:val="00280D21"/>
    <w:rsid w:val="0028101B"/>
    <w:rsid w:val="002826B4"/>
    <w:rsid w:val="00293F29"/>
    <w:rsid w:val="00297C33"/>
    <w:rsid w:val="002B1BA1"/>
    <w:rsid w:val="002B3EFF"/>
    <w:rsid w:val="002C4C20"/>
    <w:rsid w:val="002D11B9"/>
    <w:rsid w:val="002D53AB"/>
    <w:rsid w:val="002D796B"/>
    <w:rsid w:val="002F064E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40FA"/>
    <w:rsid w:val="00356332"/>
    <w:rsid w:val="00363815"/>
    <w:rsid w:val="003654CD"/>
    <w:rsid w:val="00370110"/>
    <w:rsid w:val="00372598"/>
    <w:rsid w:val="00392F53"/>
    <w:rsid w:val="00393EC0"/>
    <w:rsid w:val="003A2A49"/>
    <w:rsid w:val="003A3966"/>
    <w:rsid w:val="003A7E6A"/>
    <w:rsid w:val="003C027F"/>
    <w:rsid w:val="003C3F6A"/>
    <w:rsid w:val="003D1629"/>
    <w:rsid w:val="003D2BE1"/>
    <w:rsid w:val="003D639F"/>
    <w:rsid w:val="003E0572"/>
    <w:rsid w:val="003E3910"/>
    <w:rsid w:val="003E40E4"/>
    <w:rsid w:val="003E6369"/>
    <w:rsid w:val="003F36C7"/>
    <w:rsid w:val="003F3EEC"/>
    <w:rsid w:val="003F54C8"/>
    <w:rsid w:val="003F69B1"/>
    <w:rsid w:val="004027D2"/>
    <w:rsid w:val="0040303E"/>
    <w:rsid w:val="00407B47"/>
    <w:rsid w:val="004136C9"/>
    <w:rsid w:val="00417003"/>
    <w:rsid w:val="00420F82"/>
    <w:rsid w:val="00421717"/>
    <w:rsid w:val="00426C60"/>
    <w:rsid w:val="00427375"/>
    <w:rsid w:val="00430BB6"/>
    <w:rsid w:val="00431E30"/>
    <w:rsid w:val="0043243E"/>
    <w:rsid w:val="00433E54"/>
    <w:rsid w:val="00436EC2"/>
    <w:rsid w:val="00450156"/>
    <w:rsid w:val="00454DC7"/>
    <w:rsid w:val="00456191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46"/>
    <w:rsid w:val="004B4A94"/>
    <w:rsid w:val="004C7DCA"/>
    <w:rsid w:val="004D273A"/>
    <w:rsid w:val="004E48B0"/>
    <w:rsid w:val="004E7E0E"/>
    <w:rsid w:val="004F700B"/>
    <w:rsid w:val="00500A63"/>
    <w:rsid w:val="00521746"/>
    <w:rsid w:val="00534403"/>
    <w:rsid w:val="00542A56"/>
    <w:rsid w:val="00542CA8"/>
    <w:rsid w:val="005464D7"/>
    <w:rsid w:val="00546E9A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3FA2"/>
    <w:rsid w:val="005970F5"/>
    <w:rsid w:val="005A012C"/>
    <w:rsid w:val="005A1038"/>
    <w:rsid w:val="005A4EC9"/>
    <w:rsid w:val="005A60C3"/>
    <w:rsid w:val="005B52E7"/>
    <w:rsid w:val="005C14EB"/>
    <w:rsid w:val="005C29C9"/>
    <w:rsid w:val="005C781E"/>
    <w:rsid w:val="005F25D6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8B5"/>
    <w:rsid w:val="00640E73"/>
    <w:rsid w:val="0064237D"/>
    <w:rsid w:val="00647757"/>
    <w:rsid w:val="00650D3D"/>
    <w:rsid w:val="0067042F"/>
    <w:rsid w:val="006950C1"/>
    <w:rsid w:val="0069631F"/>
    <w:rsid w:val="006A4940"/>
    <w:rsid w:val="006A57CC"/>
    <w:rsid w:val="006C0860"/>
    <w:rsid w:val="006C482E"/>
    <w:rsid w:val="006E397D"/>
    <w:rsid w:val="006E3C3B"/>
    <w:rsid w:val="006E7273"/>
    <w:rsid w:val="006F12B5"/>
    <w:rsid w:val="006F17AD"/>
    <w:rsid w:val="006F4755"/>
    <w:rsid w:val="006F51DB"/>
    <w:rsid w:val="00702BED"/>
    <w:rsid w:val="007049E6"/>
    <w:rsid w:val="00711C34"/>
    <w:rsid w:val="00713213"/>
    <w:rsid w:val="007141CA"/>
    <w:rsid w:val="0071455E"/>
    <w:rsid w:val="00716F0E"/>
    <w:rsid w:val="00724E67"/>
    <w:rsid w:val="0073040F"/>
    <w:rsid w:val="007371E0"/>
    <w:rsid w:val="00747746"/>
    <w:rsid w:val="0076442C"/>
    <w:rsid w:val="00765263"/>
    <w:rsid w:val="00773B0B"/>
    <w:rsid w:val="00787190"/>
    <w:rsid w:val="007A1904"/>
    <w:rsid w:val="007D6A0E"/>
    <w:rsid w:val="007D6F07"/>
    <w:rsid w:val="00800E88"/>
    <w:rsid w:val="00801CDD"/>
    <w:rsid w:val="00811964"/>
    <w:rsid w:val="00820D78"/>
    <w:rsid w:val="0082165A"/>
    <w:rsid w:val="008340C9"/>
    <w:rsid w:val="00834A49"/>
    <w:rsid w:val="008350DE"/>
    <w:rsid w:val="00837E45"/>
    <w:rsid w:val="0084277E"/>
    <w:rsid w:val="00851074"/>
    <w:rsid w:val="008541DA"/>
    <w:rsid w:val="0085454B"/>
    <w:rsid w:val="00870D3E"/>
    <w:rsid w:val="00877CF1"/>
    <w:rsid w:val="00881BA3"/>
    <w:rsid w:val="00884306"/>
    <w:rsid w:val="008979A7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310D"/>
    <w:rsid w:val="00945FB9"/>
    <w:rsid w:val="009475A7"/>
    <w:rsid w:val="00951930"/>
    <w:rsid w:val="009610E2"/>
    <w:rsid w:val="0096469E"/>
    <w:rsid w:val="0097303D"/>
    <w:rsid w:val="00983393"/>
    <w:rsid w:val="00984352"/>
    <w:rsid w:val="00985819"/>
    <w:rsid w:val="00985B76"/>
    <w:rsid w:val="00985E6B"/>
    <w:rsid w:val="009A389D"/>
    <w:rsid w:val="009B032C"/>
    <w:rsid w:val="009B0804"/>
    <w:rsid w:val="009C081A"/>
    <w:rsid w:val="009C0BC3"/>
    <w:rsid w:val="009C31A6"/>
    <w:rsid w:val="009C5386"/>
    <w:rsid w:val="009D72AA"/>
    <w:rsid w:val="009E4B81"/>
    <w:rsid w:val="009F3E9D"/>
    <w:rsid w:val="00A15A28"/>
    <w:rsid w:val="00A15D05"/>
    <w:rsid w:val="00A274A1"/>
    <w:rsid w:val="00A32120"/>
    <w:rsid w:val="00A3283F"/>
    <w:rsid w:val="00A47859"/>
    <w:rsid w:val="00A55A71"/>
    <w:rsid w:val="00A7786D"/>
    <w:rsid w:val="00A81466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B7FF3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3112C"/>
    <w:rsid w:val="00B31BB1"/>
    <w:rsid w:val="00B40D87"/>
    <w:rsid w:val="00B43D9B"/>
    <w:rsid w:val="00B47092"/>
    <w:rsid w:val="00B51C8F"/>
    <w:rsid w:val="00B6024F"/>
    <w:rsid w:val="00B602D0"/>
    <w:rsid w:val="00B62344"/>
    <w:rsid w:val="00B70022"/>
    <w:rsid w:val="00B7165F"/>
    <w:rsid w:val="00B733E5"/>
    <w:rsid w:val="00B759AD"/>
    <w:rsid w:val="00B8724F"/>
    <w:rsid w:val="00B90BD8"/>
    <w:rsid w:val="00B9622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3A86"/>
    <w:rsid w:val="00BF58C9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34D06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8268D"/>
    <w:rsid w:val="00C90F2F"/>
    <w:rsid w:val="00C921B7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2AC4"/>
    <w:rsid w:val="00D15B3B"/>
    <w:rsid w:val="00D20AC3"/>
    <w:rsid w:val="00D50FAD"/>
    <w:rsid w:val="00D63056"/>
    <w:rsid w:val="00D67C2A"/>
    <w:rsid w:val="00D70040"/>
    <w:rsid w:val="00D7143F"/>
    <w:rsid w:val="00D74036"/>
    <w:rsid w:val="00D93A80"/>
    <w:rsid w:val="00DA10DB"/>
    <w:rsid w:val="00DB0E83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C7BFB"/>
    <w:rsid w:val="00EF1981"/>
    <w:rsid w:val="00EF4611"/>
    <w:rsid w:val="00F0418D"/>
    <w:rsid w:val="00F049CC"/>
    <w:rsid w:val="00F04EC6"/>
    <w:rsid w:val="00F126E5"/>
    <w:rsid w:val="00F152C4"/>
    <w:rsid w:val="00F21784"/>
    <w:rsid w:val="00F21B6A"/>
    <w:rsid w:val="00F26AB3"/>
    <w:rsid w:val="00F30E1E"/>
    <w:rsid w:val="00F34410"/>
    <w:rsid w:val="00F40BA4"/>
    <w:rsid w:val="00F46D75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B84B"/>
  <w15:chartTrackingRefBased/>
  <w15:docId w15:val="{8F924623-3C60-4298-A004-980D9F4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6E9A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985B76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paragraph" w:styleId="Zkladntext2">
    <w:name w:val="Body Text 2"/>
    <w:basedOn w:val="Normln"/>
    <w:link w:val="Zkladntext2Char"/>
    <w:semiHidden/>
    <w:rsid w:val="00985B76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semiHidden/>
    <w:rsid w:val="00985B76"/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56191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2F064E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su.gov.cz/vladni-financni-statistika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yperlink" Target="mailto:jaroslav.kahoun@csu.gov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etr.musil@csu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ABFS3\BARANNU\nu\vl&#225;da\RYCHL&#193;%20INFORMACE%20-%20Q%20deficit%20a%20dluh\DATA\2Q2026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FS3\BARANNU\nu\vl&#225;da\RYCHL&#193;%20INFORMACE%20-%20Q%20deficit%20a%20dluh\DATA\2Q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FS3\BARANNU\nu\vl&#225;da\RYCHL&#193;%20INFORMACE%20-%20Q%20deficit%20a%20dluh\DATA\2Q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533573928258968"/>
          <c:y val="5.1400554097404488E-2"/>
          <c:w val="0.79323140857392815"/>
          <c:h val="0.736258719141981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graf!$B$3</c:f>
              <c:strCache>
                <c:ptCount val="1"/>
                <c:pt idx="0">
                  <c:v>mld. Kč</c:v>
                </c:pt>
              </c:strCache>
            </c:strRef>
          </c:tx>
          <c:spPr>
            <a:solidFill>
              <a:srgbClr val="00469B"/>
            </a:solidFill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cs-CZ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graf!$AH$2:$AP$2</c:f>
              <c:strCache>
                <c:ptCount val="9"/>
                <c:pt idx="0">
                  <c:v>2.Q 2024</c:v>
                </c:pt>
                <c:pt idx="1">
                  <c:v>3.Q 2024</c:v>
                </c:pt>
                <c:pt idx="2">
                  <c:v>4.Q 2024</c:v>
                </c:pt>
                <c:pt idx="3">
                  <c:v>1.Q 2025</c:v>
                </c:pt>
                <c:pt idx="4">
                  <c:v>2.Q 2025</c:v>
                </c:pt>
                <c:pt idx="5">
                  <c:v>3.Q 2025</c:v>
                </c:pt>
                <c:pt idx="6">
                  <c:v>4.Q 2025</c:v>
                </c:pt>
                <c:pt idx="7">
                  <c:v>1.Q 2026</c:v>
                </c:pt>
                <c:pt idx="8">
                  <c:v>2.Q 2026</c:v>
                </c:pt>
              </c:strCache>
            </c:strRef>
          </c:cat>
          <c:val>
            <c:numRef>
              <c:f>graf!$AH$3:$AP$3</c:f>
              <c:numCache>
                <c:formatCode>#,##0</c:formatCode>
                <c:ptCount val="9"/>
                <c:pt idx="0">
                  <c:v>3320.7979999999998</c:v>
                </c:pt>
                <c:pt idx="1">
                  <c:v>3449.3519999999999</c:v>
                </c:pt>
                <c:pt idx="2">
                  <c:v>3488.5</c:v>
                </c:pt>
                <c:pt idx="3">
                  <c:v>3535.25</c:v>
                </c:pt>
                <c:pt idx="4">
                  <c:v>3627.252</c:v>
                </c:pt>
                <c:pt idx="5">
                  <c:v>3623.3649999999998</c:v>
                </c:pt>
                <c:pt idx="6">
                  <c:v>3787.2530000000002</c:v>
                </c:pt>
                <c:pt idx="7">
                  <c:v>3827.5160000000001</c:v>
                </c:pt>
                <c:pt idx="8">
                  <c:v>3842.3739999999998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D4-4F36-8F59-99E95B8885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199040384"/>
        <c:axId val="199062656"/>
      </c:barChart>
      <c:scatterChart>
        <c:scatterStyle val="lineMarker"/>
        <c:varyColors val="0"/>
        <c:ser>
          <c:idx val="1"/>
          <c:order val="1"/>
          <c:tx>
            <c:strRef>
              <c:f>graf!$B$4</c:f>
              <c:strCache>
                <c:ptCount val="1"/>
                <c:pt idx="0">
                  <c:v>% HDP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D70C0F"/>
              </a:solidFill>
              <a:ln>
                <a:solidFill>
                  <a:srgbClr val="D70C0F"/>
                </a:solidFill>
              </a:ln>
            </c:spPr>
          </c:marker>
          <c:dLbls>
            <c:dLbl>
              <c:idx val="8"/>
              <c:layout>
                <c:manualLayout>
                  <c:x val="-4.6496379859362273E-2"/>
                  <c:y val="-6.14810855840001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D4-4F36-8F59-99E95B8885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strRef>
              <c:f>graf!$AH$2:$AP$2</c:f>
              <c:strCache>
                <c:ptCount val="9"/>
                <c:pt idx="0">
                  <c:v>2.Q 2024</c:v>
                </c:pt>
                <c:pt idx="1">
                  <c:v>3.Q 2024</c:v>
                </c:pt>
                <c:pt idx="2">
                  <c:v>4.Q 2024</c:v>
                </c:pt>
                <c:pt idx="3">
                  <c:v>1.Q 2025</c:v>
                </c:pt>
                <c:pt idx="4">
                  <c:v>2.Q 2025</c:v>
                </c:pt>
                <c:pt idx="5">
                  <c:v>3.Q 2025</c:v>
                </c:pt>
                <c:pt idx="6">
                  <c:v>4.Q 2025</c:v>
                </c:pt>
                <c:pt idx="7">
                  <c:v>1.Q 2026</c:v>
                </c:pt>
                <c:pt idx="8">
                  <c:v>2.Q 2026</c:v>
                </c:pt>
              </c:strCache>
            </c:strRef>
          </c:xVal>
          <c:yVal>
            <c:numRef>
              <c:f>graf!$AH$4:$AP$4</c:f>
              <c:numCache>
                <c:formatCode>0.0</c:formatCode>
                <c:ptCount val="9"/>
                <c:pt idx="0">
                  <c:v>42.4</c:v>
                </c:pt>
                <c:pt idx="1">
                  <c:v>43.4</c:v>
                </c:pt>
                <c:pt idx="2">
                  <c:v>43.2</c:v>
                </c:pt>
                <c:pt idx="3">
                  <c:v>43.3</c:v>
                </c:pt>
                <c:pt idx="4">
                  <c:v>43.7</c:v>
                </c:pt>
                <c:pt idx="5">
                  <c:v>43</c:v>
                </c:pt>
                <c:pt idx="6">
                  <c:v>44.2</c:v>
                </c:pt>
                <c:pt idx="7">
                  <c:v>44.1</c:v>
                </c:pt>
                <c:pt idx="8">
                  <c:v>43.8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2D4-4F36-8F59-99E95B8885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066752"/>
        <c:axId val="199064576"/>
      </c:scatterChart>
      <c:catAx>
        <c:axId val="1990403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crossAx val="199062656"/>
        <c:crosses val="autoZero"/>
        <c:auto val="1"/>
        <c:lblAlgn val="ctr"/>
        <c:lblOffset val="100"/>
        <c:noMultiLvlLbl val="0"/>
      </c:catAx>
      <c:valAx>
        <c:axId val="199062656"/>
        <c:scaling>
          <c:orientation val="minMax"/>
          <c:min val="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 anchor="ctr" anchorCtr="1"/>
              <a:lstStyle/>
              <a:p>
                <a:pPr>
                  <a:defRPr b="0"/>
                </a:pPr>
                <a:r>
                  <a:rPr lang="cs-CZ" b="0"/>
                  <a:t>mld. Kč</a:t>
                </a:r>
                <a:endParaRPr lang="en-US" b="0"/>
              </a:p>
            </c:rich>
          </c:tx>
          <c:layout>
            <c:manualLayout>
              <c:xMode val="edge"/>
              <c:yMode val="edge"/>
              <c:x val="5.5555837926807676E-3"/>
              <c:y val="0.36214553122441356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9040384"/>
        <c:crosses val="autoZero"/>
        <c:crossBetween val="between"/>
      </c:valAx>
      <c:valAx>
        <c:axId val="199064576"/>
        <c:scaling>
          <c:orientation val="minMax"/>
          <c:max val="50"/>
          <c:min val="0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cs-CZ" b="0"/>
                  <a:t>%</a:t>
                </a:r>
                <a:r>
                  <a:rPr lang="cs-CZ" b="0" baseline="0"/>
                  <a:t> H</a:t>
                </a:r>
                <a:r>
                  <a:rPr lang="cs-CZ" b="0"/>
                  <a:t>DP</a:t>
                </a:r>
                <a:endParaRPr lang="en-US" b="0"/>
              </a:p>
            </c:rich>
          </c:tx>
          <c:overlay val="0"/>
        </c:title>
        <c:numFmt formatCode="0" sourceLinked="0"/>
        <c:majorTickMark val="out"/>
        <c:minorTickMark val="none"/>
        <c:tickLblPos val="high"/>
        <c:spPr>
          <a:ln>
            <a:solidFill>
              <a:schemeClr val="tx1"/>
            </a:solidFill>
          </a:ln>
        </c:spPr>
        <c:crossAx val="199066752"/>
        <c:crosses val="max"/>
        <c:crossBetween val="midCat"/>
      </c:valAx>
      <c:valAx>
        <c:axId val="199066752"/>
        <c:scaling>
          <c:orientation val="minMax"/>
        </c:scaling>
        <c:delete val="1"/>
        <c:axPos val="b"/>
        <c:majorTickMark val="out"/>
        <c:minorTickMark val="none"/>
        <c:tickLblPos val="nextTo"/>
        <c:crossAx val="199064576"/>
        <c:crossesAt val="0"/>
        <c:crossBetween val="midCat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717070315915722E-2"/>
          <c:y val="0.17835626196279958"/>
          <c:w val="0.85717001152802641"/>
          <c:h val="0.60008852633563825"/>
        </c:manualLayout>
      </c:layout>
      <c:barChart>
        <c:barDir val="col"/>
        <c:grouping val="stacked"/>
        <c:varyColors val="0"/>
        <c:ser>
          <c:idx val="2"/>
          <c:order val="1"/>
          <c:tx>
            <c:strRef>
              <c:f>dluh!$B$19</c:f>
              <c:strCache>
                <c:ptCount val="1"/>
                <c:pt idx="0">
                  <c:v>vliv změny HDP</c:v>
                </c:pt>
              </c:strCache>
            </c:strRef>
          </c:tx>
          <c:spPr>
            <a:solidFill>
              <a:srgbClr val="00469B"/>
            </a:solidFill>
            <a:ln>
              <a:noFill/>
            </a:ln>
            <a:effectLst/>
          </c:spPr>
          <c:invertIfNegative val="0"/>
          <c:cat>
            <c:strRef>
              <c:f>dluh!$DA$3:$DI$3</c:f>
              <c:strCache>
                <c:ptCount val="9"/>
                <c:pt idx="0">
                  <c:v>2.Q 2024</c:v>
                </c:pt>
                <c:pt idx="1">
                  <c:v>3.Q 2024</c:v>
                </c:pt>
                <c:pt idx="2">
                  <c:v>4.Q 2024</c:v>
                </c:pt>
                <c:pt idx="3">
                  <c:v>1.Q 2025</c:v>
                </c:pt>
                <c:pt idx="4">
                  <c:v>2.Q 2025</c:v>
                </c:pt>
                <c:pt idx="5">
                  <c:v>3.Q 2025</c:v>
                </c:pt>
                <c:pt idx="6">
                  <c:v>4.Q 2025</c:v>
                </c:pt>
                <c:pt idx="7">
                  <c:v>1.Q 2026</c:v>
                </c:pt>
                <c:pt idx="8">
                  <c:v>2.Q 2026</c:v>
                </c:pt>
              </c:strCache>
            </c:strRef>
          </c:cat>
          <c:val>
            <c:numRef>
              <c:f>dluh!$DA$19:$DI$19</c:f>
              <c:numCache>
                <c:formatCode>0.0</c:formatCode>
                <c:ptCount val="9"/>
                <c:pt idx="0">
                  <c:v>-2.2329966183661298</c:v>
                </c:pt>
                <c:pt idx="1">
                  <c:v>-2.2526078551476445</c:v>
                </c:pt>
                <c:pt idx="2">
                  <c:v>-2.121039254083918</c:v>
                </c:pt>
                <c:pt idx="3">
                  <c:v>-2.2720420714278546</c:v>
                </c:pt>
                <c:pt idx="4">
                  <c:v>-2.3794642754920403</c:v>
                </c:pt>
                <c:pt idx="5">
                  <c:v>-2.5070139311232751</c:v>
                </c:pt>
                <c:pt idx="6">
                  <c:v>-2.5088820364665239</c:v>
                </c:pt>
                <c:pt idx="7">
                  <c:v>-2.528136524300848</c:v>
                </c:pt>
                <c:pt idx="8">
                  <c:v>-2.321539329222702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37-4258-920E-40A09BCFB4A3}"/>
            </c:ext>
          </c:extLst>
        </c:ser>
        <c:ser>
          <c:idx val="3"/>
          <c:order val="2"/>
          <c:tx>
            <c:strRef>
              <c:f>dluh!$B$20</c:f>
              <c:strCache>
                <c:ptCount val="1"/>
                <c:pt idx="0">
                  <c:v>vliv změny dluhu</c:v>
                </c:pt>
              </c:strCache>
            </c:strRef>
          </c:tx>
          <c:spPr>
            <a:solidFill>
              <a:srgbClr val="D70C0F"/>
            </a:solidFill>
            <a:ln>
              <a:noFill/>
            </a:ln>
            <a:effectLst/>
          </c:spPr>
          <c:invertIfNegative val="0"/>
          <c:cat>
            <c:strRef>
              <c:f>dluh!$DA$3:$DI$3</c:f>
              <c:strCache>
                <c:ptCount val="9"/>
                <c:pt idx="0">
                  <c:v>2.Q 2024</c:v>
                </c:pt>
                <c:pt idx="1">
                  <c:v>3.Q 2024</c:v>
                </c:pt>
                <c:pt idx="2">
                  <c:v>4.Q 2024</c:v>
                </c:pt>
                <c:pt idx="3">
                  <c:v>1.Q 2025</c:v>
                </c:pt>
                <c:pt idx="4">
                  <c:v>2.Q 2025</c:v>
                </c:pt>
                <c:pt idx="5">
                  <c:v>3.Q 2025</c:v>
                </c:pt>
                <c:pt idx="6">
                  <c:v>4.Q 2025</c:v>
                </c:pt>
                <c:pt idx="7">
                  <c:v>1.Q 2026</c:v>
                </c:pt>
                <c:pt idx="8">
                  <c:v>2.Q 2026</c:v>
                </c:pt>
              </c:strCache>
            </c:strRef>
          </c:cat>
          <c:val>
            <c:numRef>
              <c:f>dluh!$DA$20:$DI$20</c:f>
              <c:numCache>
                <c:formatCode>0.0</c:formatCode>
                <c:ptCount val="9"/>
                <c:pt idx="0">
                  <c:v>2.1329966183661297</c:v>
                </c:pt>
                <c:pt idx="1">
                  <c:v>2.9526078551476447</c:v>
                </c:pt>
                <c:pt idx="2">
                  <c:v>3.121039254083918</c:v>
                </c:pt>
                <c:pt idx="3">
                  <c:v>2.4720420714278548</c:v>
                </c:pt>
                <c:pt idx="4">
                  <c:v>3.6794642754920401</c:v>
                </c:pt>
                <c:pt idx="5">
                  <c:v>2.1070139311232752</c:v>
                </c:pt>
                <c:pt idx="6">
                  <c:v>3.5088820364665239</c:v>
                </c:pt>
                <c:pt idx="7">
                  <c:v>3.3281365243008478</c:v>
                </c:pt>
                <c:pt idx="8">
                  <c:v>2.4215393292227021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37-4258-920E-40A09BCFB4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515520352"/>
        <c:axId val="1515512032"/>
      </c:barChart>
      <c:scatterChart>
        <c:scatterStyle val="lineMarker"/>
        <c:varyColors val="0"/>
        <c:ser>
          <c:idx val="1"/>
          <c:order val="0"/>
          <c:tx>
            <c:strRef>
              <c:f>dluh!$B$18</c:f>
              <c:strCache>
                <c:ptCount val="1"/>
                <c:pt idx="0">
                  <c:v>celková změna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25400">
                <a:solidFill>
                  <a:schemeClr val="bg1"/>
                </a:solidFill>
              </a:ln>
              <a:effectLst/>
            </c:spPr>
          </c:marker>
          <c:dPt>
            <c:idx val="3"/>
            <c:marker>
              <c:symbol val="circle"/>
              <c:size val="5"/>
              <c:spPr>
                <a:solidFill>
                  <a:schemeClr val="bg1"/>
                </a:solidFill>
                <a:ln w="25400">
                  <a:solidFill>
                    <a:schemeClr val="bg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8837-4258-920E-40A09BCFB4A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yVal>
            <c:numRef>
              <c:f>dluh!$DA$18:$DI$18</c:f>
              <c:numCache>
                <c:formatCode>0.0</c:formatCode>
                <c:ptCount val="9"/>
                <c:pt idx="0">
                  <c:v>-0.1</c:v>
                </c:pt>
                <c:pt idx="1">
                  <c:v>0.7</c:v>
                </c:pt>
                <c:pt idx="2">
                  <c:v>1</c:v>
                </c:pt>
                <c:pt idx="3">
                  <c:v>0.2</c:v>
                </c:pt>
                <c:pt idx="4">
                  <c:v>1.3</c:v>
                </c:pt>
                <c:pt idx="5">
                  <c:v>-0.4</c:v>
                </c:pt>
                <c:pt idx="6">
                  <c:v>1</c:v>
                </c:pt>
                <c:pt idx="7">
                  <c:v>0.8</c:v>
                </c:pt>
                <c:pt idx="8">
                  <c:v>0.1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8837-4258-920E-40A09BCFB4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5520352"/>
        <c:axId val="1515512032"/>
      </c:scatterChart>
      <c:catAx>
        <c:axId val="1515520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515512032"/>
        <c:crosses val="autoZero"/>
        <c:auto val="1"/>
        <c:lblAlgn val="ctr"/>
        <c:lblOffset val="100"/>
        <c:noMultiLvlLbl val="0"/>
      </c:catAx>
      <c:valAx>
        <c:axId val="1515512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>
                    <a:solidFill>
                      <a:srgbClr val="000000"/>
                    </a:solidFill>
                  </a:rPr>
                  <a:t>p. b.</a:t>
                </a:r>
              </a:p>
            </c:rich>
          </c:tx>
          <c:layout>
            <c:manualLayout>
              <c:xMode val="edge"/>
              <c:yMode val="edge"/>
              <c:x val="2.2868034200291487E-2"/>
              <c:y val="0.4282891464310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rgbClr val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 w="9525"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515520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810798642542496E-2"/>
          <c:y val="3.9331753660506064E-2"/>
          <c:w val="0.90350569010863835"/>
          <c:h val="0.93476979790929948"/>
        </c:manualLayout>
      </c:layout>
      <c:lineChart>
        <c:grouping val="standard"/>
        <c:varyColors val="0"/>
        <c:ser>
          <c:idx val="0"/>
          <c:order val="0"/>
          <c:tx>
            <c:strRef>
              <c:f>SEZ!$E$2</c:f>
              <c:strCache>
                <c:ptCount val="1"/>
                <c:pt idx="0">
                  <c:v>% HDP</c:v>
                </c:pt>
              </c:strCache>
            </c:strRef>
          </c:tx>
          <c:spPr>
            <a:ln w="28575" cap="rnd">
              <a:solidFill>
                <a:srgbClr val="D70C0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D70C0F"/>
              </a:solidFill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3.3237534805866178E-2"/>
                  <c:y val="5.74940351450576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052-429E-912D-93B4747759D4}"/>
                </c:ext>
              </c:extLst>
            </c:dLbl>
            <c:dLbl>
              <c:idx val="1"/>
              <c:layout>
                <c:manualLayout>
                  <c:x val="-3.6903126835172967E-2"/>
                  <c:y val="6.23622331905664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052-429E-912D-93B4747759D4}"/>
                </c:ext>
              </c:extLst>
            </c:dLbl>
            <c:dLbl>
              <c:idx val="2"/>
              <c:layout>
                <c:manualLayout>
                  <c:x val="-2.6033389661908737E-2"/>
                  <c:y val="6.31332023887719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052-429E-912D-93B4747759D4}"/>
                </c:ext>
              </c:extLst>
            </c:dLbl>
            <c:dLbl>
              <c:idx val="3"/>
              <c:layout>
                <c:manualLayout>
                  <c:x val="-2.8922995666850033E-2"/>
                  <c:y val="8.31201973555195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241693481953824E-2"/>
                      <c:h val="0.1060883645149737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052-429E-912D-93B4747759D4}"/>
                </c:ext>
              </c:extLst>
            </c:dLbl>
            <c:dLbl>
              <c:idx val="4"/>
              <c:layout>
                <c:manualLayout>
                  <c:x val="-4.0543790473679377E-2"/>
                  <c:y val="5.43426015486027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052-429E-912D-93B4747759D4}"/>
                </c:ext>
              </c:extLst>
            </c:dLbl>
            <c:dLbl>
              <c:idx val="5"/>
              <c:layout>
                <c:manualLayout>
                  <c:x val="-3.3840610106385026E-2"/>
                  <c:y val="6.27876584674921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052-429E-912D-93B4747759D4}"/>
                </c:ext>
              </c:extLst>
            </c:dLbl>
            <c:dLbl>
              <c:idx val="6"/>
              <c:layout>
                <c:manualLayout>
                  <c:x val="-3.20425700212131E-2"/>
                  <c:y val="6.7087557725690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052-429E-912D-93B4747759D4}"/>
                </c:ext>
              </c:extLst>
            </c:dLbl>
            <c:dLbl>
              <c:idx val="7"/>
              <c:layout>
                <c:manualLayout>
                  <c:x val="-3.1117343208811227E-2"/>
                  <c:y val="5.18315881919836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052-429E-912D-93B4747759D4}"/>
                </c:ext>
              </c:extLst>
            </c:dLbl>
            <c:dLbl>
              <c:idx val="8"/>
              <c:layout>
                <c:manualLayout>
                  <c:x val="-2.7337791022181257E-2"/>
                  <c:y val="7.5809470004590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052-429E-912D-93B4747759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SEZ!$A$92:$A$100</c:f>
              <c:strCache>
                <c:ptCount val="9"/>
                <c:pt idx="0">
                  <c:v>2.Q 2024</c:v>
                </c:pt>
                <c:pt idx="1">
                  <c:v>3.Q 2024</c:v>
                </c:pt>
                <c:pt idx="2">
                  <c:v>4.Q 2024</c:v>
                </c:pt>
                <c:pt idx="3">
                  <c:v>1.Q 2025</c:v>
                </c:pt>
                <c:pt idx="4">
                  <c:v>2.Q 2025</c:v>
                </c:pt>
                <c:pt idx="5">
                  <c:v>3.Q 2025</c:v>
                </c:pt>
                <c:pt idx="6">
                  <c:v>4.Q 2025</c:v>
                </c:pt>
                <c:pt idx="7">
                  <c:v>1.Q 2026</c:v>
                </c:pt>
                <c:pt idx="8">
                  <c:v>2.Q 2026</c:v>
                </c:pt>
              </c:strCache>
            </c:strRef>
          </c:cat>
          <c:val>
            <c:numRef>
              <c:f>SEZ!$E$92:$E$100</c:f>
              <c:numCache>
                <c:formatCode>0.0</c:formatCode>
                <c:ptCount val="9"/>
                <c:pt idx="0">
                  <c:v>-2.1639921463874985</c:v>
                </c:pt>
                <c:pt idx="1">
                  <c:v>-2.3554058276273651</c:v>
                </c:pt>
                <c:pt idx="2">
                  <c:v>-1.6363439215364022</c:v>
                </c:pt>
                <c:pt idx="3">
                  <c:v>-2.1779457066995516</c:v>
                </c:pt>
                <c:pt idx="4">
                  <c:v>-1.8485557996425241</c:v>
                </c:pt>
                <c:pt idx="5">
                  <c:v>-2.1560440344429654</c:v>
                </c:pt>
                <c:pt idx="6">
                  <c:v>-2.4818029344759953</c:v>
                </c:pt>
                <c:pt idx="7">
                  <c:v>-2.5588769765256849</c:v>
                </c:pt>
                <c:pt idx="8">
                  <c:v>-3.2581419827441631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6052-429E-912D-93B4747759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8997200"/>
        <c:axId val="333288000"/>
      </c:lineChart>
      <c:catAx>
        <c:axId val="548997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333288000"/>
        <c:crosses val="autoZero"/>
        <c:auto val="1"/>
        <c:lblAlgn val="ctr"/>
        <c:lblOffset val="100"/>
        <c:noMultiLvlLbl val="0"/>
      </c:catAx>
      <c:valAx>
        <c:axId val="333288000"/>
        <c:scaling>
          <c:orientation val="minMax"/>
          <c:max val="3"/>
          <c:min val="-4.5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>
                    <a:solidFill>
                      <a:sysClr val="windowText" lastClr="000000"/>
                    </a:solidFill>
                  </a:rPr>
                  <a:t>% HDP</a:t>
                </a:r>
              </a:p>
            </c:rich>
          </c:tx>
          <c:layout>
            <c:manualLayout>
              <c:xMode val="edge"/>
              <c:yMode val="edge"/>
              <c:x val="8.3594580109196247E-3"/>
              <c:y val="0.341689536492804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.0" sourceLinked="1"/>
        <c:majorTickMark val="out"/>
        <c:minorTickMark val="none"/>
        <c:tickLblPos val="nextTo"/>
        <c:spPr>
          <a:solidFill>
            <a:sysClr val="window" lastClr="FFFFFF"/>
          </a:solidFill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548997200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5872B8E9CF4C04BE3F32A742F7ED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531E22-8245-4D26-831B-2AE7BCA0D57A}"/>
      </w:docPartPr>
      <w:docPartBody>
        <w:p w:rsidR="00FB1BC5" w:rsidRDefault="00FB1BC5">
          <w:pPr>
            <w:pStyle w:val="A75872B8E9CF4C04BE3F32A742F7ED24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C5"/>
    <w:rsid w:val="0014782C"/>
    <w:rsid w:val="001F02C6"/>
    <w:rsid w:val="003D1629"/>
    <w:rsid w:val="004F700B"/>
    <w:rsid w:val="006E5408"/>
    <w:rsid w:val="006F07D7"/>
    <w:rsid w:val="0076442C"/>
    <w:rsid w:val="00804281"/>
    <w:rsid w:val="0085454B"/>
    <w:rsid w:val="00B8183F"/>
    <w:rsid w:val="00C34D06"/>
    <w:rsid w:val="00D1307A"/>
    <w:rsid w:val="00DB0E83"/>
    <w:rsid w:val="00F126E5"/>
    <w:rsid w:val="00F46D75"/>
    <w:rsid w:val="00FB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A75872B8E9CF4C04BE3F32A742F7ED24">
    <w:name w:val="A75872B8E9CF4C04BE3F32A742F7ED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268876F2-3446-4525-B25B-304EEFCDEB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674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Musil Petr</dc:creator>
  <cp:keywords/>
  <dc:description/>
  <cp:lastModifiedBy>Musil Petr</cp:lastModifiedBy>
  <cp:revision>42</cp:revision>
  <cp:lastPrinted>2026-09-30T06:16:00Z</cp:lastPrinted>
  <dcterms:created xsi:type="dcterms:W3CDTF">2026-09-10T09:54:00Z</dcterms:created>
  <dcterms:modified xsi:type="dcterms:W3CDTF">2026-09-30T07:07:00Z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