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B430" w14:textId="2E1F4560" w:rsidR="00C86E2E" w:rsidRDefault="004532DE" w:rsidP="00C86E2E">
      <w:pPr>
        <w:pStyle w:val="Nadpis1"/>
      </w:pPr>
      <w:r>
        <w:t>Celková důvěra v ekonomiku se snížila</w:t>
      </w:r>
    </w:p>
    <w:p w14:paraId="43414965" w14:textId="586E3601" w:rsidR="00F21B6A" w:rsidRDefault="00000000" w:rsidP="00200551">
      <w:pPr>
        <w:jc w:val="left"/>
      </w:pPr>
      <w:sdt>
        <w:sdtPr>
          <w:id w:val="902409853"/>
          <w:placeholder>
            <w:docPart w:val="D2DC22C412C242BC85F5E324AAE3CB79"/>
          </w:placeholder>
          <w:date w:fullDate="2026-10-2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2974CB">
            <w:t>2</w:t>
          </w:r>
          <w:r w:rsidR="00750FDC">
            <w:t>6</w:t>
          </w:r>
          <w:r w:rsidR="002974CB">
            <w:t xml:space="preserve">. </w:t>
          </w:r>
          <w:r w:rsidR="00750FDC">
            <w:t>10</w:t>
          </w:r>
          <w:r w:rsidR="002974CB">
            <w:t>. 2026</w:t>
          </w:r>
        </w:sdtContent>
      </w:sdt>
      <w:r w:rsidR="00C744B6" w:rsidRPr="00C744B6">
        <w:t xml:space="preserve"> </w:t>
      </w:r>
    </w:p>
    <w:p w14:paraId="69E082DD" w14:textId="242E11C0" w:rsidR="002974CB" w:rsidRPr="002974CB" w:rsidRDefault="002974CB" w:rsidP="002974CB">
      <w:pPr>
        <w:pStyle w:val="Perex"/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</w:pPr>
      <w:r w:rsidRPr="002974CB"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 xml:space="preserve">Konjunkturální průzkum – </w:t>
      </w:r>
      <w:r w:rsidR="00750FDC"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>říjen</w:t>
      </w:r>
      <w:r w:rsidRPr="002974CB">
        <w:rPr>
          <w:rFonts w:asciiTheme="majorHAnsi" w:eastAsiaTheme="majorEastAsia" w:hAnsiTheme="majorHAnsi" w:cstheme="majorBidi"/>
          <w:bCs/>
          <w:color w:val="545860" w:themeColor="text2"/>
          <w:sz w:val="32"/>
          <w:szCs w:val="32"/>
        </w:rPr>
        <w:t xml:space="preserve"> 2026</w:t>
      </w:r>
    </w:p>
    <w:p w14:paraId="111DAFA3" w14:textId="1C46A27A" w:rsidR="006A57CC" w:rsidRDefault="00A17199" w:rsidP="006A57CC">
      <w:pPr>
        <w:pStyle w:val="Perex"/>
      </w:pPr>
      <w:bookmarkStart w:id="0" w:name="_Hlk219792778"/>
      <w:r w:rsidRPr="002974CB">
        <w:t xml:space="preserve">Souhrnný indikátor důvěry (indikátor ekonomického sentimentu), vyjádřený bazickým indexem, </w:t>
      </w:r>
      <w:r>
        <w:t>se v </w:t>
      </w:r>
      <w:r w:rsidR="004532DE">
        <w:t>říjnu</w:t>
      </w:r>
      <w:r>
        <w:t xml:space="preserve"> meziměsíčně snížil o 1,</w:t>
      </w:r>
      <w:r w:rsidR="004532DE">
        <w:t>6</w:t>
      </w:r>
      <w:r>
        <w:t xml:space="preserve"> bodu na hodnotu </w:t>
      </w:r>
      <w:r w:rsidR="004532DE">
        <w:t>97,9</w:t>
      </w:r>
      <w:r>
        <w:t xml:space="preserve">. </w:t>
      </w:r>
      <w:bookmarkEnd w:id="0"/>
      <w:r w:rsidR="00485AAC">
        <w:t>Snížila se jak důvěra podnikatelů, jejíž i</w:t>
      </w:r>
      <w:r w:rsidR="00485AAC" w:rsidRPr="002974CB">
        <w:t xml:space="preserve">ndikátor </w:t>
      </w:r>
      <w:r w:rsidR="00485AAC">
        <w:t>klesl</w:t>
      </w:r>
      <w:r>
        <w:t xml:space="preserve"> o 1,8 bodu na hodnotu</w:t>
      </w:r>
      <w:r w:rsidRPr="002974CB">
        <w:t xml:space="preserve"> </w:t>
      </w:r>
      <w:r w:rsidR="004532DE">
        <w:t>96,6</w:t>
      </w:r>
      <w:r w:rsidR="00485AAC">
        <w:t xml:space="preserve">, tak důvěra spotřebitelů, jejíž </w:t>
      </w:r>
      <w:r w:rsidRPr="002974CB">
        <w:t xml:space="preserve">indikátor </w:t>
      </w:r>
      <w:r w:rsidR="00485AAC">
        <w:t>poklesl</w:t>
      </w:r>
      <w:r w:rsidR="004532DE">
        <w:t xml:space="preserve"> o 0,8</w:t>
      </w:r>
      <w:r w:rsidRPr="002974CB">
        <w:t xml:space="preserve"> bodu na hodnotu </w:t>
      </w:r>
      <w:r w:rsidR="004532DE">
        <w:t>104,3</w:t>
      </w:r>
      <w:r>
        <w:t>.</w:t>
      </w:r>
    </w:p>
    <w:p w14:paraId="0CA71308" w14:textId="59A9292A" w:rsidR="002974CB" w:rsidRPr="002974CB" w:rsidRDefault="00A13645" w:rsidP="002974CB">
      <w:r>
        <w:rPr>
          <w:noProof/>
        </w:rPr>
        <w:drawing>
          <wp:inline distT="0" distB="0" distL="0" distR="0" wp14:anchorId="06BE4443" wp14:editId="6DF9CF3F">
            <wp:extent cx="5811209" cy="4057650"/>
            <wp:effectExtent l="0" t="0" r="0" b="0"/>
            <wp:docPr id="6251660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878" cy="4060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EB7F6B" w14:textId="34D7CD34" w:rsidR="002974CB" w:rsidRDefault="004532DE" w:rsidP="00394A3C">
      <w:pPr>
        <w:autoSpaceDE w:val="0"/>
        <w:autoSpaceDN w:val="0"/>
        <w:adjustRightInd w:val="0"/>
        <w:spacing w:after="280"/>
        <w:jc w:val="left"/>
        <w:rPr>
          <w:rFonts w:cs="Arial"/>
          <w:szCs w:val="18"/>
        </w:rPr>
      </w:pPr>
      <w:r>
        <w:rPr>
          <w:rFonts w:cs="Arial"/>
          <w:szCs w:val="18"/>
        </w:rPr>
        <w:t>V říjnu se důvěra podnikatelů v ekonomiku</w:t>
      </w:r>
      <w:r w:rsidR="00AD4BB4">
        <w:rPr>
          <w:rFonts w:cs="Arial"/>
          <w:szCs w:val="18"/>
        </w:rPr>
        <w:t xml:space="preserve"> zvýšila</w:t>
      </w:r>
      <w:r w:rsidR="002D0F1E">
        <w:rPr>
          <w:rFonts w:cs="Arial"/>
          <w:szCs w:val="18"/>
        </w:rPr>
        <w:t xml:space="preserve"> </w:t>
      </w:r>
      <w:r w:rsidR="008F2341">
        <w:rPr>
          <w:rFonts w:cs="Arial"/>
          <w:szCs w:val="18"/>
        </w:rPr>
        <w:t xml:space="preserve">pouze </w:t>
      </w:r>
      <w:r>
        <w:rPr>
          <w:rFonts w:cs="Arial"/>
          <w:szCs w:val="18"/>
        </w:rPr>
        <w:t>ve vybraných odvětvích služeb</w:t>
      </w:r>
      <w:r w:rsidR="008F2341">
        <w:rPr>
          <w:rFonts w:cs="Arial"/>
          <w:szCs w:val="18"/>
        </w:rPr>
        <w:t xml:space="preserve"> (+</w:t>
      </w:r>
      <w:r>
        <w:rPr>
          <w:rFonts w:cs="Arial"/>
          <w:szCs w:val="18"/>
        </w:rPr>
        <w:t>2,0</w:t>
      </w:r>
      <w:r w:rsidR="008F2341">
        <w:rPr>
          <w:rFonts w:cs="Arial"/>
          <w:szCs w:val="18"/>
        </w:rPr>
        <w:t xml:space="preserve"> bodu)</w:t>
      </w:r>
      <w:r w:rsidR="002D0F1E">
        <w:rPr>
          <w:rFonts w:cs="Arial"/>
          <w:szCs w:val="18"/>
        </w:rPr>
        <w:t xml:space="preserve">. </w:t>
      </w:r>
      <w:r>
        <w:rPr>
          <w:rFonts w:cs="Arial"/>
          <w:szCs w:val="18"/>
        </w:rPr>
        <w:t>V průmyslu</w:t>
      </w:r>
      <w:r w:rsidR="008F2341">
        <w:rPr>
          <w:rFonts w:cs="Arial"/>
          <w:szCs w:val="18"/>
        </w:rPr>
        <w:t xml:space="preserve"> se snížila</w:t>
      </w:r>
      <w:r w:rsidR="002D0F1E">
        <w:rPr>
          <w:rFonts w:cs="Arial"/>
          <w:szCs w:val="18"/>
        </w:rPr>
        <w:t xml:space="preserve"> o </w:t>
      </w:r>
      <w:r>
        <w:rPr>
          <w:rFonts w:cs="Arial"/>
          <w:szCs w:val="18"/>
        </w:rPr>
        <w:t>5,6</w:t>
      </w:r>
      <w:r w:rsidR="002D0F1E">
        <w:rPr>
          <w:rFonts w:cs="Arial"/>
          <w:szCs w:val="18"/>
        </w:rPr>
        <w:t xml:space="preserve"> bod</w:t>
      </w:r>
      <w:r w:rsidR="00D8733B">
        <w:rPr>
          <w:rFonts w:cs="Arial"/>
          <w:szCs w:val="18"/>
        </w:rPr>
        <w:t>u</w:t>
      </w:r>
      <w:r w:rsidR="002D0F1E">
        <w:rPr>
          <w:rFonts w:cs="Arial"/>
          <w:szCs w:val="18"/>
        </w:rPr>
        <w:t xml:space="preserve">, </w:t>
      </w:r>
      <w:r w:rsidR="00AD4BB4">
        <w:rPr>
          <w:rFonts w:cs="Arial"/>
          <w:szCs w:val="18"/>
        </w:rPr>
        <w:t xml:space="preserve">v </w:t>
      </w:r>
      <w:r>
        <w:rPr>
          <w:rFonts w:cs="Arial"/>
          <w:szCs w:val="18"/>
        </w:rPr>
        <w:t>obchodě</w:t>
      </w:r>
      <w:r w:rsidR="002D0F1E">
        <w:rPr>
          <w:rFonts w:cs="Arial"/>
          <w:szCs w:val="18"/>
        </w:rPr>
        <w:t xml:space="preserve"> o </w:t>
      </w:r>
      <w:r>
        <w:rPr>
          <w:rFonts w:cs="Arial"/>
          <w:szCs w:val="18"/>
        </w:rPr>
        <w:t>1,7</w:t>
      </w:r>
      <w:r w:rsidR="002D0F1E">
        <w:rPr>
          <w:rFonts w:cs="Arial"/>
          <w:szCs w:val="18"/>
        </w:rPr>
        <w:t xml:space="preserve"> bodu a </w:t>
      </w:r>
      <w:r>
        <w:rPr>
          <w:rFonts w:cs="Arial"/>
          <w:szCs w:val="18"/>
        </w:rPr>
        <w:t>mírně i</w:t>
      </w:r>
      <w:r w:rsidR="008F2341">
        <w:rPr>
          <w:rFonts w:cs="Arial"/>
          <w:szCs w:val="18"/>
        </w:rPr>
        <w:t xml:space="preserve"> </w:t>
      </w:r>
      <w:r w:rsidR="00AD4BB4">
        <w:rPr>
          <w:rFonts w:cs="Arial"/>
          <w:szCs w:val="18"/>
        </w:rPr>
        <w:t>ve stavebnictví</w:t>
      </w:r>
      <w:r w:rsidR="00FB64B7">
        <w:rPr>
          <w:rFonts w:cs="Arial"/>
          <w:szCs w:val="18"/>
        </w:rPr>
        <w:t xml:space="preserve"> </w:t>
      </w:r>
      <w:r w:rsidR="00195ACB">
        <w:rPr>
          <w:rFonts w:cs="Arial"/>
          <w:szCs w:val="18"/>
        </w:rPr>
        <w:t xml:space="preserve">o </w:t>
      </w:r>
      <w:r w:rsidR="00FB64B7">
        <w:rPr>
          <w:rFonts w:cs="Arial"/>
          <w:szCs w:val="18"/>
        </w:rPr>
        <w:t>0,</w:t>
      </w:r>
      <w:r w:rsidR="00AD4BB4">
        <w:rPr>
          <w:rFonts w:cs="Arial"/>
          <w:szCs w:val="18"/>
        </w:rPr>
        <w:t>6</w:t>
      </w:r>
      <w:r w:rsidR="00FB64B7">
        <w:rPr>
          <w:rFonts w:cs="Arial"/>
          <w:szCs w:val="18"/>
        </w:rPr>
        <w:t xml:space="preserve"> bodu</w:t>
      </w:r>
      <w:r w:rsidR="002974CB" w:rsidRPr="00822E7C">
        <w:rPr>
          <w:rFonts w:ascii="Arial" w:eastAsia="Calibri" w:hAnsi="Arial" w:cs="Arial"/>
          <w:kern w:val="0"/>
          <w:szCs w:val="18"/>
          <w14:ligatures w14:val="none"/>
        </w:rPr>
        <w:t>.</w:t>
      </w:r>
    </w:p>
    <w:p w14:paraId="6C83FF0A" w14:textId="3CA4C931" w:rsidR="002974CB" w:rsidRPr="00822E7C" w:rsidRDefault="002974CB" w:rsidP="00394A3C">
      <w:pPr>
        <w:spacing w:after="0" w:line="240" w:lineRule="auto"/>
        <w:jc w:val="left"/>
        <w:rPr>
          <w:rFonts w:ascii="Arial" w:eastAsia="Calibri" w:hAnsi="Arial" w:cs="Arial"/>
          <w:i/>
          <w:kern w:val="0"/>
          <w:szCs w:val="22"/>
          <w14:ligatures w14:val="none"/>
        </w:rPr>
      </w:pPr>
      <w:r w:rsidRPr="00C310BE">
        <w:rPr>
          <w:rFonts w:cs="Arial"/>
          <w:i/>
        </w:rPr>
        <w:t>„</w:t>
      </w:r>
      <w:r w:rsidR="00485AAC">
        <w:rPr>
          <w:rFonts w:cs="Arial"/>
          <w:i/>
        </w:rPr>
        <w:t>S</w:t>
      </w:r>
      <w:r w:rsidR="006D2155" w:rsidRPr="006D2155">
        <w:rPr>
          <w:rFonts w:cs="Arial"/>
          <w:i/>
        </w:rPr>
        <w:t xml:space="preserve">entiment mezi podnikateli se </w:t>
      </w:r>
      <w:r w:rsidR="006D2155">
        <w:rPr>
          <w:rFonts w:cs="Arial"/>
          <w:i/>
        </w:rPr>
        <w:t xml:space="preserve">v říjnu zhoršil zejména v průmyslu. </w:t>
      </w:r>
      <w:r w:rsidR="006A54DE">
        <w:rPr>
          <w:rFonts w:cs="Arial"/>
          <w:i/>
        </w:rPr>
        <w:t>P</w:t>
      </w:r>
      <w:r w:rsidR="006D2155" w:rsidRPr="006D2155">
        <w:rPr>
          <w:rFonts w:cs="Arial"/>
          <w:i/>
        </w:rPr>
        <w:t xml:space="preserve">odnikatele </w:t>
      </w:r>
      <w:r w:rsidR="006D2155">
        <w:rPr>
          <w:rFonts w:cs="Arial"/>
          <w:i/>
        </w:rPr>
        <w:t>významně</w:t>
      </w:r>
      <w:r w:rsidR="006D2155" w:rsidRPr="006D2155">
        <w:rPr>
          <w:rFonts w:cs="Arial"/>
          <w:i/>
        </w:rPr>
        <w:t xml:space="preserve"> </w:t>
      </w:r>
      <w:r w:rsidR="006D2155">
        <w:rPr>
          <w:rFonts w:cs="Arial"/>
          <w:i/>
        </w:rPr>
        <w:t>omezuj</w:t>
      </w:r>
      <w:r w:rsidR="006D2155" w:rsidRPr="006D2155">
        <w:rPr>
          <w:rFonts w:cs="Arial"/>
          <w:i/>
        </w:rPr>
        <w:t>e</w:t>
      </w:r>
      <w:r w:rsidR="006D2155">
        <w:rPr>
          <w:rFonts w:cs="Arial"/>
          <w:i/>
        </w:rPr>
        <w:t xml:space="preserve"> především</w:t>
      </w:r>
      <w:r w:rsidR="006D2155" w:rsidRPr="006D2155">
        <w:rPr>
          <w:rFonts w:cs="Arial"/>
          <w:i/>
        </w:rPr>
        <w:t xml:space="preserve"> nedostatečná poptávka, </w:t>
      </w:r>
      <w:r w:rsidR="006D2155">
        <w:rPr>
          <w:rFonts w:cs="Arial"/>
          <w:i/>
        </w:rPr>
        <w:t>ale</w:t>
      </w:r>
      <w:r w:rsidR="006D2155" w:rsidRPr="00E446D8">
        <w:rPr>
          <w:rFonts w:cs="Arial"/>
          <w:iCs/>
        </w:rPr>
        <w:t xml:space="preserve"> </w:t>
      </w:r>
      <w:r w:rsidR="00E446D8" w:rsidRPr="00E446D8">
        <w:rPr>
          <w:i/>
        </w:rPr>
        <w:t>také jiné bariéry související převážně s aktuální geopolitickou situací, které mají za následek prudce rostoucí ceny vstupů včetně energií a pohonných hmot</w:t>
      </w:r>
      <w:r w:rsidRPr="00E446D8">
        <w:rPr>
          <w:rFonts w:cs="Arial"/>
          <w:i/>
        </w:rPr>
        <w:t>,“</w:t>
      </w:r>
      <w:r w:rsidRPr="00E446D8">
        <w:rPr>
          <w:rFonts w:cs="Arial"/>
          <w:iCs/>
        </w:rPr>
        <w:t xml:space="preserve"> </w:t>
      </w:r>
      <w:r w:rsidRPr="006D5A77">
        <w:t>uvedl Jiří Obst, vedoucí oddělení konjunkturálních průzkumů ČSÚ.</w:t>
      </w:r>
    </w:p>
    <w:p w14:paraId="0A4FE129" w14:textId="77777777" w:rsidR="002974CB" w:rsidRPr="00822E7C" w:rsidRDefault="002974CB" w:rsidP="00394A3C">
      <w:pPr>
        <w:spacing w:after="0" w:line="240" w:lineRule="auto"/>
        <w:jc w:val="left"/>
        <w:rPr>
          <w:rFonts w:ascii="Arial" w:eastAsia="Calibri" w:hAnsi="Arial" w:cs="Arial"/>
          <w:i/>
          <w:kern w:val="0"/>
          <w:szCs w:val="22"/>
          <w14:ligatures w14:val="none"/>
        </w:rPr>
      </w:pPr>
    </w:p>
    <w:p w14:paraId="7C039693" w14:textId="4FDF858F" w:rsidR="002974CB" w:rsidRPr="00822E7C" w:rsidRDefault="003914DB" w:rsidP="00394A3C">
      <w:pPr>
        <w:spacing w:after="0"/>
        <w:jc w:val="left"/>
        <w:rPr>
          <w:rFonts w:ascii="Arial" w:eastAsia="Times New Roman" w:hAnsi="Arial" w:cs="Times New Roman"/>
          <w:bCs/>
          <w:kern w:val="0"/>
          <w14:ligatures w14:val="none"/>
        </w:rPr>
      </w:pPr>
      <w:r>
        <w:t>Mezi</w:t>
      </w:r>
      <w:r w:rsidR="002974CB" w:rsidRPr="0052303D">
        <w:rPr>
          <w:b/>
        </w:rPr>
        <w:t xml:space="preserve"> spotřebitel</w:t>
      </w:r>
      <w:r>
        <w:rPr>
          <w:b/>
        </w:rPr>
        <w:t>i</w:t>
      </w:r>
      <w:r w:rsidR="002D0F1E">
        <w:rPr>
          <w:b/>
        </w:rPr>
        <w:t xml:space="preserve"> </w:t>
      </w:r>
      <w:r w:rsidR="006B6E9B" w:rsidRPr="006B6E9B">
        <w:rPr>
          <w:bCs/>
        </w:rPr>
        <w:t>se</w:t>
      </w:r>
      <w:r>
        <w:rPr>
          <w:bCs/>
        </w:rPr>
        <w:t xml:space="preserve"> důvěra v ekonomiku meziměsíčně</w:t>
      </w:r>
      <w:r w:rsidR="006B6E9B" w:rsidRPr="006B6E9B">
        <w:rPr>
          <w:bCs/>
        </w:rPr>
        <w:t xml:space="preserve"> </w:t>
      </w:r>
      <w:r>
        <w:rPr>
          <w:bCs/>
        </w:rPr>
        <w:t>mírně snížila</w:t>
      </w:r>
      <w:r w:rsidR="002974CB" w:rsidRPr="0052303D">
        <w:t xml:space="preserve">. </w:t>
      </w:r>
      <w:r w:rsidR="002D0F1E" w:rsidRPr="00152900">
        <w:t xml:space="preserve">Indikátor důvěry </w:t>
      </w:r>
      <w:r>
        <w:t>poklesl</w:t>
      </w:r>
      <w:r w:rsidR="00AD4BB4">
        <w:t xml:space="preserve"> o </w:t>
      </w:r>
      <w:r>
        <w:t>0</w:t>
      </w:r>
      <w:r w:rsidR="00AD4BB4">
        <w:t>,8</w:t>
      </w:r>
      <w:r w:rsidR="002D0F1E" w:rsidRPr="00152900">
        <w:t xml:space="preserve"> bodu na hodnotu </w:t>
      </w:r>
      <w:r>
        <w:t>104,3</w:t>
      </w:r>
      <w:r w:rsidR="002D0F1E" w:rsidRPr="00152900">
        <w:t xml:space="preserve">. </w:t>
      </w:r>
      <w:r w:rsidR="00AD4BB4" w:rsidRPr="0052303D">
        <w:t>P</w:t>
      </w:r>
      <w:r w:rsidR="00AD4BB4" w:rsidRPr="0052303D">
        <w:rPr>
          <w:rFonts w:eastAsia="Times New Roman"/>
          <w:bCs/>
        </w:rPr>
        <w:t xml:space="preserve">odíl spotřebitelů očekávajících pro období příštích dvanácti měsíců zhoršení </w:t>
      </w:r>
      <w:r w:rsidR="00AD4BB4" w:rsidRPr="0052303D">
        <w:rPr>
          <w:rFonts w:eastAsia="Times New Roman"/>
          <w:bCs/>
          <w:i/>
        </w:rPr>
        <w:t>celkové ekonomické situace</w:t>
      </w:r>
      <w:r w:rsidR="00AD4BB4" w:rsidRPr="0052303D">
        <w:rPr>
          <w:rFonts w:eastAsia="Times New Roman"/>
          <w:bCs/>
        </w:rPr>
        <w:t xml:space="preserve"> v Česku </w:t>
      </w:r>
      <w:r w:rsidR="00AD4BB4">
        <w:rPr>
          <w:rFonts w:eastAsia="Times New Roman"/>
          <w:bCs/>
        </w:rPr>
        <w:t xml:space="preserve">se </w:t>
      </w:r>
      <w:r>
        <w:rPr>
          <w:rFonts w:eastAsia="Times New Roman"/>
          <w:bCs/>
        </w:rPr>
        <w:t>ve srovnání se zářím zvýšil</w:t>
      </w:r>
      <w:r w:rsidR="00AD4BB4" w:rsidRPr="0052303D">
        <w:rPr>
          <w:rFonts w:eastAsia="Times New Roman"/>
          <w:bCs/>
        </w:rPr>
        <w:t xml:space="preserve">. </w:t>
      </w:r>
      <w:r w:rsidR="00AD4BB4" w:rsidRPr="0052303D">
        <w:t>P</w:t>
      </w:r>
      <w:r w:rsidR="00AD4BB4" w:rsidRPr="0052303D">
        <w:rPr>
          <w:rFonts w:eastAsia="Times New Roman"/>
          <w:bCs/>
        </w:rPr>
        <w:t xml:space="preserve">odíl respondentů, kteří </w:t>
      </w:r>
      <w:r w:rsidR="00AD4BB4" w:rsidRPr="0052303D">
        <w:rPr>
          <w:i/>
        </w:rPr>
        <w:t xml:space="preserve">hodnotí </w:t>
      </w:r>
      <w:r w:rsidR="00AD4BB4" w:rsidRPr="0052303D">
        <w:rPr>
          <w:i/>
        </w:rPr>
        <w:lastRenderedPageBreak/>
        <w:t>svou</w:t>
      </w:r>
      <w:r w:rsidR="00AD4BB4" w:rsidRPr="0052303D">
        <w:t xml:space="preserve"> </w:t>
      </w:r>
      <w:r w:rsidR="00AD4BB4" w:rsidRPr="0052303D">
        <w:rPr>
          <w:i/>
        </w:rPr>
        <w:t xml:space="preserve">současnou finanční situaci </w:t>
      </w:r>
      <w:r w:rsidR="00AD4BB4" w:rsidRPr="0052303D">
        <w:t>hůře, než tomu bylo v předchozích dvanácti měsících</w:t>
      </w:r>
      <w:r w:rsidR="00AD4BB4">
        <w:t xml:space="preserve">, se </w:t>
      </w:r>
      <w:r>
        <w:t>mírně snížil</w:t>
      </w:r>
      <w:r w:rsidR="008B7D7E">
        <w:t>.</w:t>
      </w:r>
      <w:r>
        <w:t xml:space="preserve"> </w:t>
      </w:r>
      <w:r w:rsidR="008B7D7E">
        <w:t>P</w:t>
      </w:r>
      <w:r w:rsidR="00AD4BB4">
        <w:t>odíl</w:t>
      </w:r>
      <w:r w:rsidR="00AD4BB4" w:rsidRPr="0052303D">
        <w:rPr>
          <w:rFonts w:eastAsia="Times New Roman"/>
          <w:bCs/>
        </w:rPr>
        <w:t xml:space="preserve"> domácností očekávajících </w:t>
      </w:r>
      <w:r w:rsidR="00AD4BB4">
        <w:rPr>
          <w:i/>
        </w:rPr>
        <w:t>zlepšení</w:t>
      </w:r>
      <w:r w:rsidR="00AD4BB4" w:rsidRPr="0052303D">
        <w:rPr>
          <w:i/>
        </w:rPr>
        <w:t xml:space="preserve"> své finanční situace </w:t>
      </w:r>
      <w:r w:rsidR="00AD4BB4" w:rsidRPr="0052303D">
        <w:t>v příštích dvanácti měsících</w:t>
      </w:r>
      <w:r w:rsidR="00AD4BB4">
        <w:t xml:space="preserve"> se </w:t>
      </w:r>
      <w:r>
        <w:t>meziměsíčně snížil</w:t>
      </w:r>
      <w:r w:rsidR="00AD4BB4" w:rsidRPr="0052303D">
        <w:t>.</w:t>
      </w:r>
      <w:r w:rsidR="00AD4BB4">
        <w:t xml:space="preserve"> </w:t>
      </w:r>
      <w:r w:rsidR="00AD4BB4" w:rsidRPr="0052303D">
        <w:t>Počet respondentů</w:t>
      </w:r>
      <w:r w:rsidR="00AD4BB4" w:rsidRPr="0052303D">
        <w:rPr>
          <w:rFonts w:eastAsia="Times New Roman"/>
          <w:bCs/>
        </w:rPr>
        <w:t xml:space="preserve">, kteří neplánují v příštích dvanácti měsících pořizovat </w:t>
      </w:r>
      <w:r w:rsidR="00AD4BB4" w:rsidRPr="0052303D">
        <w:rPr>
          <w:rFonts w:eastAsia="Times New Roman"/>
          <w:bCs/>
          <w:i/>
        </w:rPr>
        <w:t>velké nákupy</w:t>
      </w:r>
      <w:r w:rsidR="00AD4BB4" w:rsidRPr="0052303D">
        <w:rPr>
          <w:rFonts w:eastAsia="Times New Roman"/>
          <w:bCs/>
        </w:rPr>
        <w:t xml:space="preserve">, </w:t>
      </w:r>
      <w:r w:rsidR="00AD4BB4">
        <w:rPr>
          <w:rFonts w:eastAsia="Times New Roman"/>
          <w:bCs/>
        </w:rPr>
        <w:t>se snížil</w:t>
      </w:r>
      <w:r w:rsidR="00AD4BB4" w:rsidRPr="0052303D">
        <w:rPr>
          <w:rFonts w:eastAsia="Times New Roman"/>
          <w:bCs/>
        </w:rPr>
        <w:t>.</w:t>
      </w:r>
    </w:p>
    <w:p w14:paraId="2C1AA33B" w14:textId="77777777" w:rsidR="002974CB" w:rsidRPr="00822E7C" w:rsidRDefault="002974CB" w:rsidP="00394A3C">
      <w:pPr>
        <w:spacing w:after="0"/>
        <w:jc w:val="left"/>
        <w:rPr>
          <w:rFonts w:ascii="Arial" w:eastAsia="Times New Roman" w:hAnsi="Arial" w:cs="Times New Roman"/>
          <w:bCs/>
          <w:kern w:val="0"/>
          <w14:ligatures w14:val="none"/>
        </w:rPr>
      </w:pPr>
    </w:p>
    <w:p w14:paraId="1884BC56" w14:textId="3A8A9E77" w:rsidR="002974CB" w:rsidRPr="007E1F6F" w:rsidRDefault="004C6C5A" w:rsidP="00394A3C">
      <w:pPr>
        <w:jc w:val="left"/>
        <w:rPr>
          <w:rFonts w:ascii="Tahoma" w:eastAsia="Times New Roman" w:hAnsi="Tahoma" w:cs="Tahoma"/>
          <w:i/>
          <w:iCs/>
          <w:color w:val="333333"/>
          <w:kern w:val="0"/>
          <w:lang w:eastAsia="cs-CZ"/>
          <w14:ligatures w14:val="none"/>
        </w:rPr>
      </w:pPr>
      <w:r>
        <w:rPr>
          <w:rFonts w:cs="Arial"/>
          <w:i/>
        </w:rPr>
        <w:t>„</w:t>
      </w:r>
      <w:r w:rsidR="007E1F6F" w:rsidRPr="007E1F6F">
        <w:rPr>
          <w:rFonts w:cs="Arial"/>
          <w:i/>
        </w:rPr>
        <w:t xml:space="preserve">Po </w:t>
      </w:r>
      <w:r w:rsidR="00A87BB7">
        <w:rPr>
          <w:rFonts w:cs="Arial"/>
          <w:i/>
        </w:rPr>
        <w:t>zářijovém</w:t>
      </w:r>
      <w:r w:rsidR="007E1F6F" w:rsidRPr="007E1F6F">
        <w:rPr>
          <w:rFonts w:cs="Arial"/>
          <w:i/>
        </w:rPr>
        <w:t xml:space="preserve"> zlepšení se důvěra </w:t>
      </w:r>
      <w:r w:rsidR="007E1F6F">
        <w:rPr>
          <w:rFonts w:cs="Arial"/>
          <w:i/>
        </w:rPr>
        <w:t xml:space="preserve">v ekonomiku </w:t>
      </w:r>
      <w:r w:rsidR="007E1F6F" w:rsidRPr="007E1F6F">
        <w:rPr>
          <w:rFonts w:cs="Arial"/>
          <w:i/>
        </w:rPr>
        <w:t xml:space="preserve">mezi spotřebiteli </w:t>
      </w:r>
      <w:r w:rsidR="007E1F6F">
        <w:rPr>
          <w:rFonts w:cs="Arial"/>
          <w:i/>
        </w:rPr>
        <w:t>v říjnu</w:t>
      </w:r>
      <w:r w:rsidR="007E1F6F" w:rsidRPr="007E1F6F">
        <w:rPr>
          <w:rFonts w:cs="Arial"/>
          <w:i/>
        </w:rPr>
        <w:t xml:space="preserve"> opět mírně snížila. Z</w:t>
      </w:r>
      <w:r w:rsidR="007E1F6F">
        <w:rPr>
          <w:rFonts w:cs="Arial"/>
          <w:i/>
        </w:rPr>
        <w:t xml:space="preserve"> aktuálních </w:t>
      </w:r>
      <w:r w:rsidR="007E1F6F" w:rsidRPr="007E1F6F">
        <w:rPr>
          <w:rFonts w:cs="Arial"/>
          <w:i/>
        </w:rPr>
        <w:t xml:space="preserve">výsledků průzkumu vyplývá, že </w:t>
      </w:r>
      <w:r w:rsidR="007E1F6F">
        <w:rPr>
          <w:rFonts w:cs="Arial"/>
          <w:i/>
        </w:rPr>
        <w:t xml:space="preserve">se </w:t>
      </w:r>
      <w:r w:rsidR="007E1F6F" w:rsidRPr="007E1F6F">
        <w:rPr>
          <w:rFonts w:cs="Arial"/>
          <w:i/>
        </w:rPr>
        <w:t>domácnosti</w:t>
      </w:r>
      <w:r w:rsidR="007E1F6F">
        <w:rPr>
          <w:rFonts w:cs="Arial"/>
          <w:i/>
        </w:rPr>
        <w:t xml:space="preserve"> do budoucna více obávají zhoršení celkové hospodářské situace v Česku i své vlastní finanční situace</w:t>
      </w:r>
      <w:r w:rsidR="00BB359B" w:rsidRPr="00BB359B">
        <w:rPr>
          <w:rFonts w:cs="Arial"/>
          <w:i/>
        </w:rPr>
        <w:t>,“</w:t>
      </w:r>
      <w:r w:rsidR="004D2566">
        <w:rPr>
          <w:rFonts w:cs="Arial"/>
          <w:i/>
        </w:rPr>
        <w:t xml:space="preserve"> </w:t>
      </w:r>
      <w:r w:rsidR="002974CB" w:rsidRPr="005A40B8">
        <w:t xml:space="preserve">sdělila </w:t>
      </w:r>
      <w:r w:rsidR="004D2566">
        <w:t>Anastasija Neradová</w:t>
      </w:r>
      <w:r w:rsidR="002974CB" w:rsidRPr="005A40B8">
        <w:t xml:space="preserve"> z oddělení konjunkturálních průzkumů ČSÚ.</w:t>
      </w:r>
    </w:p>
    <w:p w14:paraId="455380A4" w14:textId="77777777" w:rsidR="002974CB" w:rsidRDefault="002974CB" w:rsidP="00394A3C">
      <w:pPr>
        <w:jc w:val="left"/>
      </w:pPr>
      <w:r>
        <w:t>***</w:t>
      </w:r>
    </w:p>
    <w:p w14:paraId="2F7AF416" w14:textId="279082E2" w:rsidR="002974CB" w:rsidRDefault="002974CB" w:rsidP="00394A3C">
      <w:pPr>
        <w:jc w:val="left"/>
        <w:rPr>
          <w:rStyle w:val="Hypertextovodkaz"/>
          <w:i/>
        </w:rPr>
      </w:pPr>
      <w:r w:rsidRPr="00E955F4">
        <w:t xml:space="preserve">Detailnější informace </w:t>
      </w:r>
      <w:r>
        <w:t>o vývoji podnikatelské a spotřebitelské důvěry naleznete v </w:t>
      </w:r>
      <w:hyperlink r:id="rId12" w:history="1">
        <w:r w:rsidRPr="00865E13">
          <w:rPr>
            <w:rStyle w:val="Hypertextovodkaz"/>
            <w:i/>
          </w:rPr>
          <w:t>doplňující informaci k RI konjunkturálních průzkumů</w:t>
        </w:r>
      </w:hyperlink>
      <w:r w:rsidRPr="00B4086A">
        <w:rPr>
          <w:rStyle w:val="Hypertextovodkaz"/>
          <w:i/>
        </w:rPr>
        <w:t xml:space="preserve">. </w:t>
      </w:r>
    </w:p>
    <w:p w14:paraId="79DFF452" w14:textId="77777777" w:rsidR="00200551" w:rsidRDefault="00200551" w:rsidP="006A57CC"/>
    <w:p w14:paraId="094911EA" w14:textId="77777777" w:rsidR="00822E7C" w:rsidRPr="0096305F" w:rsidRDefault="00822E7C" w:rsidP="00822E7C">
      <w:pPr>
        <w:pBdr>
          <w:top w:val="single" w:sz="4" w:space="9" w:color="auto"/>
        </w:pBdr>
        <w:spacing w:line="240" w:lineRule="auto"/>
        <w:rPr>
          <w:rFonts w:cs="ArialMT"/>
          <w:i/>
          <w:sz w:val="18"/>
          <w:szCs w:val="18"/>
        </w:rPr>
      </w:pPr>
      <w:r w:rsidRPr="0096305F">
        <w:rPr>
          <w:rFonts w:cs="ArialMT"/>
          <w:i/>
          <w:sz w:val="18"/>
          <w:szCs w:val="18"/>
        </w:rPr>
        <w:t>Poznámky:</w:t>
      </w:r>
    </w:p>
    <w:p w14:paraId="5340FCB9" w14:textId="77777777" w:rsidR="00822E7C" w:rsidRPr="0096305F" w:rsidRDefault="00822E7C" w:rsidP="00822E7C">
      <w:pPr>
        <w:pBdr>
          <w:top w:val="single" w:sz="4" w:space="9" w:color="auto"/>
        </w:pBdr>
        <w:spacing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</w:p>
    <w:p w14:paraId="7F2C2051" w14:textId="77777777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96305F">
        <w:rPr>
          <w:rFonts w:cs="ArialMT"/>
          <w:i/>
          <w:iCs/>
          <w:color w:val="000000"/>
          <w:sz w:val="18"/>
          <w:szCs w:val="18"/>
        </w:rPr>
        <w:t>Zodpovědný</w:t>
      </w:r>
      <w:r w:rsidRPr="0096305F">
        <w:rPr>
          <w:rFonts w:cs="ArialMT"/>
          <w:i/>
          <w:color w:val="000000"/>
          <w:sz w:val="18"/>
          <w:szCs w:val="18"/>
        </w:rPr>
        <w:t xml:space="preserve"> vedoucí pracovník ČSÚ:</w:t>
      </w:r>
      <w:r w:rsidRPr="0096305F">
        <w:rPr>
          <w:rFonts w:cs="ArialMT"/>
          <w:i/>
          <w:color w:val="000000"/>
          <w:sz w:val="18"/>
          <w:szCs w:val="18"/>
        </w:rPr>
        <w:tab/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Ing. Juraj Lojka, ředitel odboru koordinace podnikových statistik a konjunkturálních průzkumů, tel. 731439291, e-mail: juraj.lojka@csu.gov.cz</w:t>
      </w:r>
    </w:p>
    <w:p w14:paraId="5AE0BED5" w14:textId="77777777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Kontaktní osoba: 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 xml:space="preserve">Ing. Jiří Obst, vedoucí oddělení konjunkturálních průzkumů, tel. 604815440, e-mail: </w:t>
      </w:r>
      <w:hyperlink r:id="rId13" w:history="1">
        <w:r w:rsidRPr="00822E7C">
          <w:rPr>
            <w:rFonts w:ascii="Arial" w:eastAsia="Calibri" w:hAnsi="Arial" w:cs="ArialMT"/>
            <w:i/>
            <w:iCs/>
            <w:color w:val="000000"/>
            <w:kern w:val="0"/>
            <w:sz w:val="18"/>
            <w:szCs w:val="18"/>
            <w14:ligatures w14:val="none"/>
          </w:rPr>
          <w:t>jiri.obst@csu.gov.cz</w:t>
        </w:r>
      </w:hyperlink>
    </w:p>
    <w:p w14:paraId="7B05D182" w14:textId="77777777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Metoda získání dat: 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>Konjunkturální zjišťování ČSÚ, Spotřebitelský barometr Data Collect (https://www.datacollect.cz)</w:t>
      </w:r>
    </w:p>
    <w:p w14:paraId="29436A27" w14:textId="44064D5B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Termín sběru dat: 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 xml:space="preserve">podnikatelská část: od 1. do </w:t>
      </w:r>
      <w:r w:rsidR="00750FD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19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r w:rsidR="00750FD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10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. 2026, </w:t>
      </w:r>
    </w:p>
    <w:p w14:paraId="1A4C32D0" w14:textId="47AC75BF" w:rsidR="00822E7C" w:rsidRPr="00822E7C" w:rsidRDefault="00822E7C" w:rsidP="00822E7C">
      <w:pPr>
        <w:pBdr>
          <w:top w:val="single" w:sz="4" w:space="9" w:color="auto"/>
        </w:pBdr>
        <w:spacing w:after="0" w:line="240" w:lineRule="auto"/>
        <w:ind w:left="3600" w:hanging="3600"/>
        <w:jc w:val="left"/>
        <w:rPr>
          <w:rFonts w:cs="ArialMT"/>
          <w:iCs/>
          <w:color w:val="000000"/>
          <w:sz w:val="18"/>
          <w:szCs w:val="18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ab/>
        <w:t>spotřebitelská část: od 1. do 1</w:t>
      </w:r>
      <w:r w:rsidR="006411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5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. </w:t>
      </w:r>
      <w:r w:rsidR="00750FD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10</w:t>
      </w: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. 2026</w:t>
      </w:r>
    </w:p>
    <w:p w14:paraId="78460477" w14:textId="77777777" w:rsidR="00822E7C" w:rsidRPr="00822E7C" w:rsidRDefault="00822E7C" w:rsidP="00822E7C">
      <w:pPr>
        <w:spacing w:line="240" w:lineRule="auto"/>
        <w:ind w:left="3600" w:hanging="3600"/>
        <w:jc w:val="left"/>
        <w:rPr>
          <w:rFonts w:cs="ArialMT"/>
          <w:i/>
          <w:color w:val="000000"/>
          <w:sz w:val="18"/>
          <w:szCs w:val="18"/>
        </w:rPr>
      </w:pPr>
    </w:p>
    <w:p w14:paraId="31263E32" w14:textId="269AFAD9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96305F">
        <w:rPr>
          <w:rFonts w:cs="ArialMT"/>
          <w:i/>
          <w:iCs/>
          <w:color w:val="000000"/>
          <w:sz w:val="18"/>
          <w:szCs w:val="18"/>
        </w:rPr>
        <w:t xml:space="preserve">Termín zveřejnění další RI: </w:t>
      </w:r>
      <w:r w:rsidRPr="0096305F">
        <w:rPr>
          <w:rFonts w:cs="ArialMT"/>
          <w:i/>
          <w:iCs/>
          <w:color w:val="000000"/>
          <w:sz w:val="18"/>
          <w:szCs w:val="18"/>
        </w:rPr>
        <w:tab/>
      </w:r>
      <w:r w:rsidR="006343AE">
        <w:rPr>
          <w:rFonts w:cs="ArialMT"/>
          <w:i/>
          <w:iCs/>
          <w:color w:val="000000"/>
          <w:sz w:val="18"/>
          <w:szCs w:val="18"/>
        </w:rPr>
        <w:t>2</w:t>
      </w:r>
      <w:r w:rsidR="00750FDC">
        <w:rPr>
          <w:rFonts w:cs="ArialMT"/>
          <w:i/>
          <w:iCs/>
          <w:color w:val="000000"/>
          <w:sz w:val="18"/>
          <w:szCs w:val="18"/>
        </w:rPr>
        <w:t>4</w:t>
      </w:r>
      <w:r>
        <w:rPr>
          <w:rFonts w:cs="ArialMT"/>
          <w:i/>
          <w:iCs/>
          <w:color w:val="000000"/>
          <w:sz w:val="18"/>
          <w:szCs w:val="18"/>
        </w:rPr>
        <w:t xml:space="preserve">. </w:t>
      </w:r>
      <w:r w:rsidR="006343AE">
        <w:rPr>
          <w:rFonts w:cs="ArialMT"/>
          <w:i/>
          <w:iCs/>
          <w:color w:val="000000"/>
          <w:sz w:val="18"/>
          <w:szCs w:val="18"/>
        </w:rPr>
        <w:t>1</w:t>
      </w:r>
      <w:r w:rsidR="00750FDC">
        <w:rPr>
          <w:rFonts w:cs="ArialMT"/>
          <w:i/>
          <w:iCs/>
          <w:color w:val="000000"/>
          <w:sz w:val="18"/>
          <w:szCs w:val="18"/>
        </w:rPr>
        <w:t>1</w:t>
      </w:r>
      <w:r>
        <w:rPr>
          <w:rFonts w:cs="ArialMT"/>
          <w:i/>
          <w:iCs/>
          <w:color w:val="000000"/>
          <w:sz w:val="18"/>
          <w:szCs w:val="18"/>
        </w:rPr>
        <w:t>.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202</w:t>
      </w:r>
      <w:r>
        <w:rPr>
          <w:rFonts w:cs="ArialMT"/>
          <w:i/>
          <w:iCs/>
          <w:color w:val="000000"/>
          <w:sz w:val="18"/>
          <w:szCs w:val="18"/>
        </w:rPr>
        <w:t>6</w:t>
      </w:r>
    </w:p>
    <w:p w14:paraId="232CCC79" w14:textId="77777777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</w:p>
    <w:p w14:paraId="08ACFC4D" w14:textId="77777777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Podrobné časové řady sald jednotlivých </w:t>
      </w:r>
    </w:p>
    <w:p w14:paraId="6F57CE3E" w14:textId="77777777" w:rsidR="00822E7C" w:rsidRPr="00822E7C" w:rsidRDefault="00822E7C" w:rsidP="00822E7C">
      <w:pPr>
        <w:spacing w:after="0" w:line="240" w:lineRule="auto"/>
        <w:ind w:left="3600" w:hanging="3600"/>
        <w:jc w:val="left"/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 xml:space="preserve">ukazatelů, sald a bazických indexů </w:t>
      </w:r>
    </w:p>
    <w:p w14:paraId="16900A2D" w14:textId="77777777" w:rsidR="00822E7C" w:rsidRDefault="00822E7C" w:rsidP="00822E7C">
      <w:pPr>
        <w:spacing w:after="0"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  <w:r w:rsidRPr="00822E7C">
        <w:rPr>
          <w:rFonts w:ascii="Arial" w:eastAsia="Calibri" w:hAnsi="Arial" w:cs="ArialMT"/>
          <w:i/>
          <w:iCs/>
          <w:color w:val="000000"/>
          <w:kern w:val="0"/>
          <w:sz w:val="18"/>
          <w:szCs w:val="18"/>
          <w14:ligatures w14:val="none"/>
        </w:rPr>
        <w:t>indikátorů důvěry dle odvětví: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</w:t>
      </w:r>
      <w:r w:rsidRPr="0096305F">
        <w:rPr>
          <w:rFonts w:cs="ArialMT"/>
          <w:i/>
          <w:iCs/>
          <w:color w:val="000000"/>
          <w:sz w:val="18"/>
          <w:szCs w:val="18"/>
        </w:rPr>
        <w:tab/>
      </w:r>
      <w:hyperlink r:id="rId14" w:history="1">
        <w:r w:rsidRPr="0090681A">
          <w:rPr>
            <w:rStyle w:val="Hypertextovodkaz"/>
            <w:i/>
          </w:rPr>
          <w:t>https://csu.gov.cz/produkty/kpr_cr</w:t>
        </w:r>
      </w:hyperlink>
      <w:r>
        <w:rPr>
          <w:rFonts w:cs="ArialMT"/>
          <w:b/>
          <w:i/>
          <w:iCs/>
          <w:color w:val="000000"/>
          <w:sz w:val="18"/>
          <w:szCs w:val="18"/>
        </w:rPr>
        <w:t xml:space="preserve"> </w:t>
      </w:r>
      <w:r w:rsidRPr="0096305F">
        <w:rPr>
          <w:rFonts w:cs="ArialMT"/>
          <w:i/>
          <w:iCs/>
          <w:color w:val="000000"/>
          <w:sz w:val="18"/>
          <w:szCs w:val="18"/>
        </w:rPr>
        <w:t xml:space="preserve"> </w:t>
      </w:r>
    </w:p>
    <w:p w14:paraId="2EE31852" w14:textId="77777777" w:rsidR="00822E7C" w:rsidRDefault="00822E7C" w:rsidP="00822E7C">
      <w:pPr>
        <w:spacing w:line="240" w:lineRule="auto"/>
        <w:ind w:left="3600" w:hanging="3600"/>
        <w:jc w:val="left"/>
        <w:rPr>
          <w:rFonts w:cs="ArialMT"/>
          <w:i/>
          <w:iCs/>
          <w:color w:val="000000"/>
          <w:sz w:val="18"/>
          <w:szCs w:val="18"/>
        </w:rPr>
      </w:pPr>
    </w:p>
    <w:p w14:paraId="5928CF90" w14:textId="77777777" w:rsidR="00822E7C" w:rsidRDefault="00822E7C" w:rsidP="00822E7C">
      <w:pPr>
        <w:ind w:left="709" w:hanging="709"/>
        <w:jc w:val="left"/>
        <w:rPr>
          <w:i/>
          <w:sz w:val="18"/>
          <w:szCs w:val="18"/>
        </w:rPr>
      </w:pPr>
      <w:r w:rsidRPr="0096305F">
        <w:rPr>
          <w:i/>
          <w:sz w:val="18"/>
          <w:szCs w:val="18"/>
        </w:rPr>
        <w:t xml:space="preserve">Konjunkturální a spotřebitelské průzkumy jsou spolufinancovány </w:t>
      </w:r>
      <w:r>
        <w:rPr>
          <w:i/>
          <w:sz w:val="18"/>
          <w:szCs w:val="18"/>
        </w:rPr>
        <w:t>granty Evropské komise DG ECFIN</w:t>
      </w:r>
    </w:p>
    <w:p w14:paraId="0DAFB5FC" w14:textId="77777777" w:rsidR="00822E7C" w:rsidRDefault="00822E7C" w:rsidP="00822E7C">
      <w:pPr>
        <w:jc w:val="left"/>
        <w:rPr>
          <w:i/>
          <w:sz w:val="18"/>
          <w:szCs w:val="18"/>
        </w:rPr>
      </w:pPr>
      <w:hyperlink r:id="rId15" w:history="1">
        <w:r w:rsidRPr="00685856">
          <w:rPr>
            <w:rStyle w:val="Hypertextovodkaz"/>
            <w:i/>
            <w:sz w:val="18"/>
            <w:szCs w:val="18"/>
          </w:rPr>
          <w:t>https://ec.europa.eu/info/business-economy-euro/indicators-statistics/economic-databases/business-and-consumer-surveys_en</w:t>
        </w:r>
      </w:hyperlink>
    </w:p>
    <w:p w14:paraId="28E542E4" w14:textId="77777777" w:rsidR="00822E7C" w:rsidRPr="005C5678" w:rsidRDefault="00822E7C" w:rsidP="00822E7C">
      <w:pPr>
        <w:ind w:left="2410" w:hanging="241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Odkaz do evropské databáze: </w:t>
      </w:r>
      <w:hyperlink r:id="rId16" w:history="1">
        <w:r w:rsidRPr="005C5678">
          <w:rPr>
            <w:rStyle w:val="Hypertextovodkaz"/>
            <w:i/>
          </w:rPr>
          <w:t>https://ec.europa.eu/eurostat/web/euro-indicators/database</w:t>
        </w:r>
      </w:hyperlink>
      <w:r w:rsidRPr="005C5678">
        <w:rPr>
          <w:i/>
        </w:rPr>
        <w:t xml:space="preserve"> </w:t>
      </w:r>
    </w:p>
    <w:p w14:paraId="0C85F1BC" w14:textId="77777777" w:rsidR="00822E7C" w:rsidRPr="00865E13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Přílohy:</w:t>
      </w:r>
    </w:p>
    <w:p w14:paraId="09977146" w14:textId="77777777" w:rsidR="00822E7C" w:rsidRPr="00865E13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Doplňující informace k RI konjunkturálních průzkumů</w:t>
      </w:r>
    </w:p>
    <w:p w14:paraId="11E131D8" w14:textId="77777777" w:rsidR="00822E7C" w:rsidRPr="00865E13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Tab. Indikátory důvěry – salda indikátorů důvěry, bazické indexy</w:t>
      </w:r>
    </w:p>
    <w:p w14:paraId="0741F3C7" w14:textId="77777777" w:rsidR="00822E7C" w:rsidRPr="00865E13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Graf 1 Sezónně očištěné indikátory důvěry – bazické indexy (2003–2026)</w:t>
      </w:r>
    </w:p>
    <w:p w14:paraId="0831D7A3" w14:textId="77777777" w:rsidR="00822E7C" w:rsidRPr="00865E13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Graf 2.1 Sezónně očištěné indikátory důvěry v průmyslu, stavebnictví, obchodě a ve vybraných službách – bazické indexy (2003–2026)</w:t>
      </w:r>
    </w:p>
    <w:p w14:paraId="7B2A407C" w14:textId="77777777" w:rsidR="00822E7C" w:rsidRPr="00865E13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 xml:space="preserve">Graf 2.2 Salda sezónně očištěných indikátorů důvěry v průmyslu, stavebnictví, obchodě a ve vybraných službách (2003–2026) </w:t>
      </w:r>
    </w:p>
    <w:p w14:paraId="5A258FCC" w14:textId="7EAB573F" w:rsidR="00070445" w:rsidRPr="00865E13" w:rsidRDefault="00822E7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Graf 3 Indikátory ekonomického sentimentu – mezinárodní srovnání, sezónně očištěno, bazické indexy (2007–2026)</w:t>
      </w:r>
    </w:p>
    <w:p w14:paraId="3DD287EC" w14:textId="77777777" w:rsidR="00750FDC" w:rsidRPr="00865E13" w:rsidRDefault="00750FDC" w:rsidP="00750FD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 xml:space="preserve">Graf 4 Využití výrobních kapacit ve zpracovatelském průmyslu (2003–2026) </w:t>
      </w:r>
    </w:p>
    <w:p w14:paraId="50B544AC" w14:textId="77777777" w:rsidR="00750FDC" w:rsidRPr="00865E13" w:rsidRDefault="00750FDC" w:rsidP="00750FD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Graf 5 Bariéry růstu produkce v průmyslu (2005–2026)</w:t>
      </w:r>
      <w:r w:rsidRPr="00865E13">
        <w:rPr>
          <w:rFonts w:ascii="Arial" w:eastAsia="Calibri" w:hAnsi="Arial" w:cs="Times New Roman"/>
          <w:kern w:val="0"/>
          <w14:ligatures w14:val="none"/>
        </w:rPr>
        <w:tab/>
      </w:r>
    </w:p>
    <w:p w14:paraId="55184F74" w14:textId="77777777" w:rsidR="00750FDC" w:rsidRPr="00865E13" w:rsidRDefault="00750FDC" w:rsidP="00750FD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lastRenderedPageBreak/>
        <w:t>Graf 6 Bariéry růstu produkce ve stavebnictví (2005–2026)</w:t>
      </w:r>
    </w:p>
    <w:p w14:paraId="20ACEE3C" w14:textId="77777777" w:rsidR="00750FDC" w:rsidRPr="00865E13" w:rsidRDefault="00750FDC" w:rsidP="00750FD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  <w:r w:rsidRPr="00865E13">
        <w:rPr>
          <w:rFonts w:ascii="Arial" w:eastAsia="Calibri" w:hAnsi="Arial" w:cs="Times New Roman"/>
          <w:kern w:val="0"/>
          <w14:ligatures w14:val="none"/>
        </w:rPr>
        <w:t>Graf 7 Bariéry růstu produkce ve vybraných odvětvích služeb (2005-2026)</w:t>
      </w:r>
    </w:p>
    <w:p w14:paraId="0F5EAAFE" w14:textId="77777777" w:rsidR="00750FDC" w:rsidRPr="00865E13" w:rsidRDefault="00750FDC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</w:p>
    <w:p w14:paraId="7194FE58" w14:textId="77777777" w:rsidR="00EB0000" w:rsidRPr="00865E13" w:rsidRDefault="00EB0000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</w:p>
    <w:p w14:paraId="1A481063" w14:textId="77777777" w:rsidR="00EB0000" w:rsidRPr="00865E13" w:rsidRDefault="00EB0000" w:rsidP="00822E7C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14:ligatures w14:val="none"/>
        </w:rPr>
      </w:pPr>
    </w:p>
    <w:sectPr w:rsidR="00EB0000" w:rsidRPr="00865E13" w:rsidSect="00BE2E0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837DB" w14:textId="77777777" w:rsidR="004F6584" w:rsidRDefault="004F6584" w:rsidP="004A01A7">
      <w:pPr>
        <w:spacing w:after="0" w:line="240" w:lineRule="auto"/>
      </w:pPr>
      <w:r>
        <w:separator/>
      </w:r>
    </w:p>
  </w:endnote>
  <w:endnote w:type="continuationSeparator" w:id="0">
    <w:p w14:paraId="72A332D0" w14:textId="77777777" w:rsidR="004F6584" w:rsidRDefault="004F6584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85F29" w14:textId="77777777" w:rsidR="003C07AC" w:rsidRDefault="003C07A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AE6C" w14:textId="77777777" w:rsidR="006A57CC" w:rsidRDefault="006A57CC" w:rsidP="00F21B6A">
    <w:pPr>
      <w:pStyle w:val="Zpat"/>
    </w:pPr>
    <w:r w:rsidRPr="006A57CC">
      <w:t>Český statistický úřad</w:t>
    </w:r>
  </w:p>
  <w:p w14:paraId="341354F4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4AEE7CF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24FFE1DE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DCE34" w14:textId="77777777" w:rsidR="003C07AC" w:rsidRDefault="003C07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37A20" w14:textId="77777777" w:rsidR="004F6584" w:rsidRDefault="004F6584" w:rsidP="004A01A7">
      <w:pPr>
        <w:spacing w:after="0" w:line="240" w:lineRule="auto"/>
      </w:pPr>
    </w:p>
  </w:footnote>
  <w:footnote w:type="continuationSeparator" w:id="0">
    <w:p w14:paraId="17DAC134" w14:textId="77777777" w:rsidR="004F6584" w:rsidRDefault="004F6584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6B08" w14:textId="77777777" w:rsidR="003C07AC" w:rsidRDefault="003C07A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032BECC5" w14:textId="77777777" w:rsidTr="00F21B6A">
      <w:trPr>
        <w:jc w:val="right"/>
      </w:trPr>
      <w:tc>
        <w:tcPr>
          <w:tcW w:w="4253" w:type="dxa"/>
        </w:tcPr>
        <w:p w14:paraId="3B3BE0CD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4727024E" w14:textId="77777777" w:rsidR="004A01A7" w:rsidRDefault="003C07AC" w:rsidP="00550B3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6812BE2F" wp14:editId="024BF80E">
          <wp:simplePos x="0" y="0"/>
          <wp:positionH relativeFrom="margin">
            <wp:posOffset>1019649</wp:posOffset>
          </wp:positionH>
          <wp:positionV relativeFrom="paragraph">
            <wp:posOffset>-435610</wp:posOffset>
          </wp:positionV>
          <wp:extent cx="2894330" cy="964565"/>
          <wp:effectExtent l="0" t="0" r="1270" b="6985"/>
          <wp:wrapNone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100let_RI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94330" cy="964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1964"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0AACA2ED">
          <wp:simplePos x="0" y="0"/>
          <wp:positionH relativeFrom="page">
            <wp:posOffset>485775</wp:posOffset>
          </wp:positionH>
          <wp:positionV relativeFrom="page">
            <wp:posOffset>360045</wp:posOffset>
          </wp:positionV>
          <wp:extent cx="16020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19F5" w14:textId="77777777" w:rsidR="003C07AC" w:rsidRDefault="003C07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4CB"/>
    <w:rsid w:val="000106FE"/>
    <w:rsid w:val="000120B4"/>
    <w:rsid w:val="0002560E"/>
    <w:rsid w:val="00027BF8"/>
    <w:rsid w:val="00032CCE"/>
    <w:rsid w:val="00035F16"/>
    <w:rsid w:val="00043335"/>
    <w:rsid w:val="000516B6"/>
    <w:rsid w:val="00054392"/>
    <w:rsid w:val="0005510C"/>
    <w:rsid w:val="000608F2"/>
    <w:rsid w:val="00061CCF"/>
    <w:rsid w:val="00062565"/>
    <w:rsid w:val="0006321C"/>
    <w:rsid w:val="00070445"/>
    <w:rsid w:val="00071F0F"/>
    <w:rsid w:val="00072CE3"/>
    <w:rsid w:val="00073FFE"/>
    <w:rsid w:val="00081218"/>
    <w:rsid w:val="00083A55"/>
    <w:rsid w:val="00085436"/>
    <w:rsid w:val="00095076"/>
    <w:rsid w:val="000968A9"/>
    <w:rsid w:val="000A1765"/>
    <w:rsid w:val="000A79FD"/>
    <w:rsid w:val="000B13FD"/>
    <w:rsid w:val="000B232F"/>
    <w:rsid w:val="000B4F0B"/>
    <w:rsid w:val="000C11F2"/>
    <w:rsid w:val="000C2452"/>
    <w:rsid w:val="000C67FA"/>
    <w:rsid w:val="000C68F4"/>
    <w:rsid w:val="000C6B75"/>
    <w:rsid w:val="000D2954"/>
    <w:rsid w:val="000D5C58"/>
    <w:rsid w:val="000D7BC9"/>
    <w:rsid w:val="000E00C3"/>
    <w:rsid w:val="000E3099"/>
    <w:rsid w:val="000F141D"/>
    <w:rsid w:val="000F5A54"/>
    <w:rsid w:val="00102994"/>
    <w:rsid w:val="0010606B"/>
    <w:rsid w:val="00120C58"/>
    <w:rsid w:val="0012123A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17BF"/>
    <w:rsid w:val="00164790"/>
    <w:rsid w:val="001712FE"/>
    <w:rsid w:val="00171B3E"/>
    <w:rsid w:val="00175680"/>
    <w:rsid w:val="001909FA"/>
    <w:rsid w:val="0019514E"/>
    <w:rsid w:val="00195ACB"/>
    <w:rsid w:val="001C6BD1"/>
    <w:rsid w:val="001C7E55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384C"/>
    <w:rsid w:val="0020716F"/>
    <w:rsid w:val="00216463"/>
    <w:rsid w:val="00222610"/>
    <w:rsid w:val="002232E9"/>
    <w:rsid w:val="002234D1"/>
    <w:rsid w:val="0023306D"/>
    <w:rsid w:val="002363CA"/>
    <w:rsid w:val="0024676C"/>
    <w:rsid w:val="002575D6"/>
    <w:rsid w:val="00260DCA"/>
    <w:rsid w:val="00275B42"/>
    <w:rsid w:val="00280346"/>
    <w:rsid w:val="00280D21"/>
    <w:rsid w:val="0028101B"/>
    <w:rsid w:val="002826B4"/>
    <w:rsid w:val="00293F29"/>
    <w:rsid w:val="002974CB"/>
    <w:rsid w:val="00297C33"/>
    <w:rsid w:val="002A1D3B"/>
    <w:rsid w:val="002A74B9"/>
    <w:rsid w:val="002C22AF"/>
    <w:rsid w:val="002C4C20"/>
    <w:rsid w:val="002D0F1E"/>
    <w:rsid w:val="002D11B9"/>
    <w:rsid w:val="002D1929"/>
    <w:rsid w:val="002D64E0"/>
    <w:rsid w:val="002D796B"/>
    <w:rsid w:val="002F69F1"/>
    <w:rsid w:val="002F7004"/>
    <w:rsid w:val="002F7BC6"/>
    <w:rsid w:val="0030061B"/>
    <w:rsid w:val="00301296"/>
    <w:rsid w:val="00303222"/>
    <w:rsid w:val="00303A0E"/>
    <w:rsid w:val="00307360"/>
    <w:rsid w:val="0031448D"/>
    <w:rsid w:val="003206E7"/>
    <w:rsid w:val="003208E6"/>
    <w:rsid w:val="0032285E"/>
    <w:rsid w:val="00330CDF"/>
    <w:rsid w:val="003351B8"/>
    <w:rsid w:val="003355A0"/>
    <w:rsid w:val="00342E5E"/>
    <w:rsid w:val="003540FA"/>
    <w:rsid w:val="00355FAC"/>
    <w:rsid w:val="00356332"/>
    <w:rsid w:val="00363815"/>
    <w:rsid w:val="003654CD"/>
    <w:rsid w:val="00370110"/>
    <w:rsid w:val="00370241"/>
    <w:rsid w:val="00372598"/>
    <w:rsid w:val="003914DB"/>
    <w:rsid w:val="00392F53"/>
    <w:rsid w:val="0039322D"/>
    <w:rsid w:val="00393EC0"/>
    <w:rsid w:val="00394A3C"/>
    <w:rsid w:val="003A2A49"/>
    <w:rsid w:val="003A3966"/>
    <w:rsid w:val="003A7E6A"/>
    <w:rsid w:val="003B582A"/>
    <w:rsid w:val="003B5A46"/>
    <w:rsid w:val="003C027F"/>
    <w:rsid w:val="003C07AC"/>
    <w:rsid w:val="003C3F6A"/>
    <w:rsid w:val="003D0B54"/>
    <w:rsid w:val="003D2BE1"/>
    <w:rsid w:val="003D57D1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32DE"/>
    <w:rsid w:val="00454DC7"/>
    <w:rsid w:val="004573FA"/>
    <w:rsid w:val="004607B2"/>
    <w:rsid w:val="00463047"/>
    <w:rsid w:val="0046727D"/>
    <w:rsid w:val="004723B2"/>
    <w:rsid w:val="00485AAC"/>
    <w:rsid w:val="00493ED9"/>
    <w:rsid w:val="004977D7"/>
    <w:rsid w:val="004A01A7"/>
    <w:rsid w:val="004A09C5"/>
    <w:rsid w:val="004A0ED5"/>
    <w:rsid w:val="004A38DD"/>
    <w:rsid w:val="004A729F"/>
    <w:rsid w:val="004B4A94"/>
    <w:rsid w:val="004C675C"/>
    <w:rsid w:val="004C6C5A"/>
    <w:rsid w:val="004C7DCA"/>
    <w:rsid w:val="004D2566"/>
    <w:rsid w:val="004D3EEA"/>
    <w:rsid w:val="004E7E0E"/>
    <w:rsid w:val="004F6584"/>
    <w:rsid w:val="00500A63"/>
    <w:rsid w:val="005035FE"/>
    <w:rsid w:val="00521746"/>
    <w:rsid w:val="00525502"/>
    <w:rsid w:val="00534403"/>
    <w:rsid w:val="00542A56"/>
    <w:rsid w:val="00542CA8"/>
    <w:rsid w:val="0054581A"/>
    <w:rsid w:val="00550B36"/>
    <w:rsid w:val="005533D8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62F8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5E75ED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2798B"/>
    <w:rsid w:val="00632A8A"/>
    <w:rsid w:val="00633376"/>
    <w:rsid w:val="006343AE"/>
    <w:rsid w:val="00637E8B"/>
    <w:rsid w:val="00640E73"/>
    <w:rsid w:val="0064117C"/>
    <w:rsid w:val="0064237D"/>
    <w:rsid w:val="0064768E"/>
    <w:rsid w:val="00647757"/>
    <w:rsid w:val="00650D3D"/>
    <w:rsid w:val="0065428D"/>
    <w:rsid w:val="006609D6"/>
    <w:rsid w:val="0067042F"/>
    <w:rsid w:val="0068228E"/>
    <w:rsid w:val="00683B5C"/>
    <w:rsid w:val="006950C1"/>
    <w:rsid w:val="0069631F"/>
    <w:rsid w:val="006A4940"/>
    <w:rsid w:val="006A54DE"/>
    <w:rsid w:val="006A57CC"/>
    <w:rsid w:val="006B29E3"/>
    <w:rsid w:val="006B6E9B"/>
    <w:rsid w:val="006C0860"/>
    <w:rsid w:val="006D2155"/>
    <w:rsid w:val="006E02DD"/>
    <w:rsid w:val="006E7273"/>
    <w:rsid w:val="006F4755"/>
    <w:rsid w:val="006F4BA6"/>
    <w:rsid w:val="006F51DB"/>
    <w:rsid w:val="00702BED"/>
    <w:rsid w:val="007049E6"/>
    <w:rsid w:val="00713213"/>
    <w:rsid w:val="007141CA"/>
    <w:rsid w:val="0071455E"/>
    <w:rsid w:val="00716D33"/>
    <w:rsid w:val="00716F0E"/>
    <w:rsid w:val="00724E67"/>
    <w:rsid w:val="0073040F"/>
    <w:rsid w:val="007350F5"/>
    <w:rsid w:val="00736F57"/>
    <w:rsid w:val="007371E0"/>
    <w:rsid w:val="00743EA9"/>
    <w:rsid w:val="00750FDC"/>
    <w:rsid w:val="00760B9A"/>
    <w:rsid w:val="00765263"/>
    <w:rsid w:val="00773B0B"/>
    <w:rsid w:val="00782052"/>
    <w:rsid w:val="00787190"/>
    <w:rsid w:val="007D6A0E"/>
    <w:rsid w:val="007D6F07"/>
    <w:rsid w:val="007E1F6F"/>
    <w:rsid w:val="007F0213"/>
    <w:rsid w:val="007F0375"/>
    <w:rsid w:val="00801CDD"/>
    <w:rsid w:val="00803FD1"/>
    <w:rsid w:val="00811964"/>
    <w:rsid w:val="00822E7C"/>
    <w:rsid w:val="0082790E"/>
    <w:rsid w:val="008323C2"/>
    <w:rsid w:val="008340C9"/>
    <w:rsid w:val="00834A49"/>
    <w:rsid w:val="00837E45"/>
    <w:rsid w:val="0084277E"/>
    <w:rsid w:val="00851074"/>
    <w:rsid w:val="008541DA"/>
    <w:rsid w:val="00860519"/>
    <w:rsid w:val="00862F5A"/>
    <w:rsid w:val="00865E13"/>
    <w:rsid w:val="00870D3E"/>
    <w:rsid w:val="00877CF1"/>
    <w:rsid w:val="00881BA3"/>
    <w:rsid w:val="00884306"/>
    <w:rsid w:val="008876E2"/>
    <w:rsid w:val="0089104F"/>
    <w:rsid w:val="00897388"/>
    <w:rsid w:val="008A34B2"/>
    <w:rsid w:val="008A4895"/>
    <w:rsid w:val="008B0E87"/>
    <w:rsid w:val="008B4F3F"/>
    <w:rsid w:val="008B7D7E"/>
    <w:rsid w:val="008C4A49"/>
    <w:rsid w:val="008C4D94"/>
    <w:rsid w:val="008D19F0"/>
    <w:rsid w:val="008D405D"/>
    <w:rsid w:val="008D5575"/>
    <w:rsid w:val="008E789A"/>
    <w:rsid w:val="008F125B"/>
    <w:rsid w:val="008F2341"/>
    <w:rsid w:val="008F533C"/>
    <w:rsid w:val="008F65E5"/>
    <w:rsid w:val="009149E6"/>
    <w:rsid w:val="00916E60"/>
    <w:rsid w:val="00917C90"/>
    <w:rsid w:val="009277EF"/>
    <w:rsid w:val="009416DF"/>
    <w:rsid w:val="00945FB9"/>
    <w:rsid w:val="009475A7"/>
    <w:rsid w:val="00951930"/>
    <w:rsid w:val="00952297"/>
    <w:rsid w:val="009610E2"/>
    <w:rsid w:val="0096469E"/>
    <w:rsid w:val="0097303D"/>
    <w:rsid w:val="00973DC9"/>
    <w:rsid w:val="00980292"/>
    <w:rsid w:val="00983393"/>
    <w:rsid w:val="00984352"/>
    <w:rsid w:val="00985819"/>
    <w:rsid w:val="00985E6B"/>
    <w:rsid w:val="009931BC"/>
    <w:rsid w:val="009A1203"/>
    <w:rsid w:val="009A389D"/>
    <w:rsid w:val="009B032C"/>
    <w:rsid w:val="009B0804"/>
    <w:rsid w:val="009C0677"/>
    <w:rsid w:val="009C081A"/>
    <w:rsid w:val="009C0BC3"/>
    <w:rsid w:val="009C1C8E"/>
    <w:rsid w:val="009C31A6"/>
    <w:rsid w:val="009D37D6"/>
    <w:rsid w:val="009D45F6"/>
    <w:rsid w:val="009D72AA"/>
    <w:rsid w:val="009E4B81"/>
    <w:rsid w:val="009F3E9D"/>
    <w:rsid w:val="00A02FB5"/>
    <w:rsid w:val="00A10440"/>
    <w:rsid w:val="00A13645"/>
    <w:rsid w:val="00A13B5A"/>
    <w:rsid w:val="00A15A28"/>
    <w:rsid w:val="00A17199"/>
    <w:rsid w:val="00A22E6B"/>
    <w:rsid w:val="00A274A1"/>
    <w:rsid w:val="00A3283F"/>
    <w:rsid w:val="00A44B73"/>
    <w:rsid w:val="00A47859"/>
    <w:rsid w:val="00A4794D"/>
    <w:rsid w:val="00A55A71"/>
    <w:rsid w:val="00A6268F"/>
    <w:rsid w:val="00A73079"/>
    <w:rsid w:val="00A7786D"/>
    <w:rsid w:val="00A851CE"/>
    <w:rsid w:val="00A87BB7"/>
    <w:rsid w:val="00A90CC7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4BB4"/>
    <w:rsid w:val="00AE1317"/>
    <w:rsid w:val="00AE5C18"/>
    <w:rsid w:val="00AE6440"/>
    <w:rsid w:val="00AF06B0"/>
    <w:rsid w:val="00AF3319"/>
    <w:rsid w:val="00AF39AC"/>
    <w:rsid w:val="00AF6E9E"/>
    <w:rsid w:val="00B0330A"/>
    <w:rsid w:val="00B05BBD"/>
    <w:rsid w:val="00B0698C"/>
    <w:rsid w:val="00B07208"/>
    <w:rsid w:val="00B103F0"/>
    <w:rsid w:val="00B15882"/>
    <w:rsid w:val="00B2195A"/>
    <w:rsid w:val="00B31BB1"/>
    <w:rsid w:val="00B40D87"/>
    <w:rsid w:val="00B43D9B"/>
    <w:rsid w:val="00B47092"/>
    <w:rsid w:val="00B51C8F"/>
    <w:rsid w:val="00B5311A"/>
    <w:rsid w:val="00B60060"/>
    <w:rsid w:val="00B602D0"/>
    <w:rsid w:val="00B62344"/>
    <w:rsid w:val="00B66329"/>
    <w:rsid w:val="00B70022"/>
    <w:rsid w:val="00B7165F"/>
    <w:rsid w:val="00B733E5"/>
    <w:rsid w:val="00B759AD"/>
    <w:rsid w:val="00B7709C"/>
    <w:rsid w:val="00B811DA"/>
    <w:rsid w:val="00B8724F"/>
    <w:rsid w:val="00B90BD8"/>
    <w:rsid w:val="00B96F18"/>
    <w:rsid w:val="00BA3BDF"/>
    <w:rsid w:val="00BA64C3"/>
    <w:rsid w:val="00BA6934"/>
    <w:rsid w:val="00BB2466"/>
    <w:rsid w:val="00BB2B9A"/>
    <w:rsid w:val="00BB359B"/>
    <w:rsid w:val="00BB6195"/>
    <w:rsid w:val="00BB6635"/>
    <w:rsid w:val="00BB6853"/>
    <w:rsid w:val="00BC23FF"/>
    <w:rsid w:val="00BC5C99"/>
    <w:rsid w:val="00BC7024"/>
    <w:rsid w:val="00BD27B2"/>
    <w:rsid w:val="00BD5D97"/>
    <w:rsid w:val="00BE2E0B"/>
    <w:rsid w:val="00BE3BE4"/>
    <w:rsid w:val="00BE5550"/>
    <w:rsid w:val="00BF58C9"/>
    <w:rsid w:val="00BF6D06"/>
    <w:rsid w:val="00C044C1"/>
    <w:rsid w:val="00C063DD"/>
    <w:rsid w:val="00C12B28"/>
    <w:rsid w:val="00C15C5E"/>
    <w:rsid w:val="00C17623"/>
    <w:rsid w:val="00C206E5"/>
    <w:rsid w:val="00C21594"/>
    <w:rsid w:val="00C240F6"/>
    <w:rsid w:val="00C27B17"/>
    <w:rsid w:val="00C30639"/>
    <w:rsid w:val="00C311A5"/>
    <w:rsid w:val="00C32C68"/>
    <w:rsid w:val="00C4391D"/>
    <w:rsid w:val="00C47D31"/>
    <w:rsid w:val="00C5077B"/>
    <w:rsid w:val="00C559EC"/>
    <w:rsid w:val="00C5725B"/>
    <w:rsid w:val="00C61C26"/>
    <w:rsid w:val="00C678BE"/>
    <w:rsid w:val="00C72B9B"/>
    <w:rsid w:val="00C744B6"/>
    <w:rsid w:val="00C744B7"/>
    <w:rsid w:val="00C74A09"/>
    <w:rsid w:val="00C83B80"/>
    <w:rsid w:val="00C85CDE"/>
    <w:rsid w:val="00C86D74"/>
    <w:rsid w:val="00C86E2E"/>
    <w:rsid w:val="00CA1453"/>
    <w:rsid w:val="00CA3ABB"/>
    <w:rsid w:val="00CA6E26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673"/>
    <w:rsid w:val="00CE0BC6"/>
    <w:rsid w:val="00CF4F7D"/>
    <w:rsid w:val="00CF6697"/>
    <w:rsid w:val="00D066AA"/>
    <w:rsid w:val="00D12AC4"/>
    <w:rsid w:val="00D15B3B"/>
    <w:rsid w:val="00D20AC3"/>
    <w:rsid w:val="00D41F4D"/>
    <w:rsid w:val="00D50FAD"/>
    <w:rsid w:val="00D5163B"/>
    <w:rsid w:val="00D54F66"/>
    <w:rsid w:val="00D63056"/>
    <w:rsid w:val="00D70040"/>
    <w:rsid w:val="00D7143F"/>
    <w:rsid w:val="00D8733B"/>
    <w:rsid w:val="00D924D2"/>
    <w:rsid w:val="00DA10DB"/>
    <w:rsid w:val="00DB16B0"/>
    <w:rsid w:val="00DD3B2E"/>
    <w:rsid w:val="00DD3D93"/>
    <w:rsid w:val="00DD4E3E"/>
    <w:rsid w:val="00DD6689"/>
    <w:rsid w:val="00DF3F66"/>
    <w:rsid w:val="00E0689B"/>
    <w:rsid w:val="00E06B08"/>
    <w:rsid w:val="00E12747"/>
    <w:rsid w:val="00E14659"/>
    <w:rsid w:val="00E15309"/>
    <w:rsid w:val="00E20EE0"/>
    <w:rsid w:val="00E24FEA"/>
    <w:rsid w:val="00E34849"/>
    <w:rsid w:val="00E414DB"/>
    <w:rsid w:val="00E446D8"/>
    <w:rsid w:val="00E456D4"/>
    <w:rsid w:val="00E46FCA"/>
    <w:rsid w:val="00E47767"/>
    <w:rsid w:val="00E62893"/>
    <w:rsid w:val="00E648F2"/>
    <w:rsid w:val="00E67257"/>
    <w:rsid w:val="00E704CC"/>
    <w:rsid w:val="00E70D0E"/>
    <w:rsid w:val="00E721D1"/>
    <w:rsid w:val="00E72CDB"/>
    <w:rsid w:val="00E8736C"/>
    <w:rsid w:val="00E9571D"/>
    <w:rsid w:val="00E959A5"/>
    <w:rsid w:val="00E97FB6"/>
    <w:rsid w:val="00EA47B9"/>
    <w:rsid w:val="00EB0000"/>
    <w:rsid w:val="00EB272E"/>
    <w:rsid w:val="00EB5DA8"/>
    <w:rsid w:val="00EC2292"/>
    <w:rsid w:val="00ED6FEF"/>
    <w:rsid w:val="00EF1981"/>
    <w:rsid w:val="00EF4611"/>
    <w:rsid w:val="00F0418D"/>
    <w:rsid w:val="00F049CC"/>
    <w:rsid w:val="00F04EC6"/>
    <w:rsid w:val="00F06FEF"/>
    <w:rsid w:val="00F1264F"/>
    <w:rsid w:val="00F152C4"/>
    <w:rsid w:val="00F15BD8"/>
    <w:rsid w:val="00F17698"/>
    <w:rsid w:val="00F21784"/>
    <w:rsid w:val="00F21B6A"/>
    <w:rsid w:val="00F247FD"/>
    <w:rsid w:val="00F26AB3"/>
    <w:rsid w:val="00F30E1E"/>
    <w:rsid w:val="00F34410"/>
    <w:rsid w:val="00F562EF"/>
    <w:rsid w:val="00F65E93"/>
    <w:rsid w:val="00F668A6"/>
    <w:rsid w:val="00F70719"/>
    <w:rsid w:val="00F70F49"/>
    <w:rsid w:val="00F72E91"/>
    <w:rsid w:val="00F837DE"/>
    <w:rsid w:val="00F9617B"/>
    <w:rsid w:val="00FA0FB3"/>
    <w:rsid w:val="00FA634C"/>
    <w:rsid w:val="00FA79CC"/>
    <w:rsid w:val="00FA7B77"/>
    <w:rsid w:val="00FB11FD"/>
    <w:rsid w:val="00FB22C7"/>
    <w:rsid w:val="00FB4F1B"/>
    <w:rsid w:val="00FB57B9"/>
    <w:rsid w:val="00FB64B7"/>
    <w:rsid w:val="00FC022F"/>
    <w:rsid w:val="00FC186E"/>
    <w:rsid w:val="00FC717E"/>
    <w:rsid w:val="00FD2296"/>
    <w:rsid w:val="00FD2BDD"/>
    <w:rsid w:val="00FD5BC4"/>
    <w:rsid w:val="00FD5BEC"/>
    <w:rsid w:val="00FD5E47"/>
    <w:rsid w:val="00FD7332"/>
    <w:rsid w:val="00FE4FCC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8D08B3"/>
  <w15:chartTrackingRefBased/>
  <w15:docId w15:val="{8CDF609F-0BD7-4AC4-A2C2-19B3E258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kontaktytext">
    <w:name w:val="Poznámky kontakty text"/>
    <w:basedOn w:val="Normln"/>
    <w:qFormat/>
    <w:rsid w:val="00822E7C"/>
    <w:pPr>
      <w:spacing w:after="0" w:line="240" w:lineRule="exact"/>
      <w:ind w:left="3600" w:hanging="3600"/>
      <w:jc w:val="left"/>
    </w:pPr>
    <w:rPr>
      <w:rFonts w:ascii="Arial" w:eastAsia="Calibri" w:hAnsi="Arial" w:cs="ArialMT"/>
      <w:i/>
      <w:iCs/>
      <w:color w:val="000000"/>
      <w:kern w:val="0"/>
      <w:sz w:val="18"/>
      <w:szCs w:val="18"/>
      <w14:ligatures w14:val="none"/>
    </w:rPr>
  </w:style>
  <w:style w:type="paragraph" w:styleId="Revize">
    <w:name w:val="Revision"/>
    <w:hidden/>
    <w:uiPriority w:val="99"/>
    <w:semiHidden/>
    <w:rsid w:val="00BA3BDF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39322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9322D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39322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322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32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iri.obst@csu.gov.cz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csu.gov.cz/docs/107532/1a3df722-c46c-7e35-08e0-97d26dafa78b/ckpr102626_komentar.pdf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eurostat/web/euro-indicators/databas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ec.europa.eu/info/business-economy-euro/indicators-statistics/economic-databases/business-and-consumer-surveys_en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su.gov.cz/produkty/kpr_cr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\HNPA\00_RYCHLE_I\2026\&#269;erven\Form_c464_Rychl&#225;%20informace_CZ_konjunktur&#225;ln&#237;%20pr&#367;zk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DC22C412C242BC85F5E324AAE3CB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7572BA-E5D5-451F-838B-C8A085DAC340}"/>
      </w:docPartPr>
      <w:docPartBody>
        <w:p w:rsidR="00A22D52" w:rsidRDefault="00000000">
          <w:pPr>
            <w:pStyle w:val="D2DC22C412C242BC85F5E324AAE3CB7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09C"/>
    <w:rsid w:val="0006321C"/>
    <w:rsid w:val="000C5B0C"/>
    <w:rsid w:val="000C6B75"/>
    <w:rsid w:val="000D4229"/>
    <w:rsid w:val="000D7BC9"/>
    <w:rsid w:val="000F1A23"/>
    <w:rsid w:val="0016009C"/>
    <w:rsid w:val="001C7E55"/>
    <w:rsid w:val="001D7206"/>
    <w:rsid w:val="001E231E"/>
    <w:rsid w:val="00274EDD"/>
    <w:rsid w:val="002A1D3B"/>
    <w:rsid w:val="002A74B9"/>
    <w:rsid w:val="002F7BC6"/>
    <w:rsid w:val="00303222"/>
    <w:rsid w:val="0031448D"/>
    <w:rsid w:val="00340024"/>
    <w:rsid w:val="003D0B54"/>
    <w:rsid w:val="003D57D1"/>
    <w:rsid w:val="00420794"/>
    <w:rsid w:val="004B1B94"/>
    <w:rsid w:val="004C14A8"/>
    <w:rsid w:val="004C675C"/>
    <w:rsid w:val="004D3EEA"/>
    <w:rsid w:val="004D75D2"/>
    <w:rsid w:val="004F69B5"/>
    <w:rsid w:val="00525502"/>
    <w:rsid w:val="0054581A"/>
    <w:rsid w:val="00557DE2"/>
    <w:rsid w:val="005C4B97"/>
    <w:rsid w:val="005D74BF"/>
    <w:rsid w:val="00633376"/>
    <w:rsid w:val="006B29E3"/>
    <w:rsid w:val="006E02DD"/>
    <w:rsid w:val="00732BA5"/>
    <w:rsid w:val="007350F5"/>
    <w:rsid w:val="007F4134"/>
    <w:rsid w:val="007F7ECE"/>
    <w:rsid w:val="008057A5"/>
    <w:rsid w:val="0081053A"/>
    <w:rsid w:val="00862F5A"/>
    <w:rsid w:val="008707F1"/>
    <w:rsid w:val="008732D4"/>
    <w:rsid w:val="008D5AB7"/>
    <w:rsid w:val="008F65E5"/>
    <w:rsid w:val="00925281"/>
    <w:rsid w:val="0092758C"/>
    <w:rsid w:val="009277EF"/>
    <w:rsid w:val="00976BB6"/>
    <w:rsid w:val="00980292"/>
    <w:rsid w:val="009C0677"/>
    <w:rsid w:val="009C1C8E"/>
    <w:rsid w:val="009D45F6"/>
    <w:rsid w:val="009D5D64"/>
    <w:rsid w:val="00A22D52"/>
    <w:rsid w:val="00A44B73"/>
    <w:rsid w:val="00A92013"/>
    <w:rsid w:val="00A9442C"/>
    <w:rsid w:val="00B05BBD"/>
    <w:rsid w:val="00B0689A"/>
    <w:rsid w:val="00B15882"/>
    <w:rsid w:val="00B4106F"/>
    <w:rsid w:val="00B437BB"/>
    <w:rsid w:val="00B5311A"/>
    <w:rsid w:val="00B64E44"/>
    <w:rsid w:val="00B66329"/>
    <w:rsid w:val="00B6743F"/>
    <w:rsid w:val="00B811DA"/>
    <w:rsid w:val="00BB1DA1"/>
    <w:rsid w:val="00BB6853"/>
    <w:rsid w:val="00C354BC"/>
    <w:rsid w:val="00C85CDE"/>
    <w:rsid w:val="00CA6E26"/>
    <w:rsid w:val="00CE0673"/>
    <w:rsid w:val="00D001AF"/>
    <w:rsid w:val="00D3208E"/>
    <w:rsid w:val="00D422DA"/>
    <w:rsid w:val="00D5163B"/>
    <w:rsid w:val="00DD3B2E"/>
    <w:rsid w:val="00DE4422"/>
    <w:rsid w:val="00E06B08"/>
    <w:rsid w:val="00E15309"/>
    <w:rsid w:val="00E27A60"/>
    <w:rsid w:val="00E648F2"/>
    <w:rsid w:val="00ED0344"/>
    <w:rsid w:val="00F0343B"/>
    <w:rsid w:val="00F1264F"/>
    <w:rsid w:val="00F14B7A"/>
    <w:rsid w:val="00F15BD8"/>
    <w:rsid w:val="00F464C0"/>
    <w:rsid w:val="00F7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D2DC22C412C242BC85F5E324AAE3CB79">
    <w:name w:val="D2DC22C412C242BC85F5E324AAE3CB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04896A-A19F-4B6F-A010-99A25159CA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Form_c464_Rychlá informace_CZ_konjunkturální průzkum.dotx</Template>
  <TotalTime>16</TotalTime>
  <Pages>3</Pages>
  <Words>622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 Jiří</dc:creator>
  <cp:keywords/>
  <dc:description/>
  <cp:lastModifiedBy>Koláčková Helena</cp:lastModifiedBy>
  <cp:revision>6</cp:revision>
  <cp:lastPrinted>2026-07-21T12:25:00Z</cp:lastPrinted>
  <dcterms:created xsi:type="dcterms:W3CDTF">2026-10-21T07:18:00Z</dcterms:created>
  <dcterms:modified xsi:type="dcterms:W3CDTF">2026-10-23T08:45:00Z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</Properties>
</file>