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7" w:rsidRDefault="003B4747" w:rsidP="003B4747">
      <w:pPr>
        <w:pStyle w:val="Datum"/>
      </w:pPr>
      <w:r>
        <w:t>12. 6. 2015</w:t>
      </w:r>
    </w:p>
    <w:p w:rsidR="008B3970" w:rsidRDefault="003B4747" w:rsidP="008B3970">
      <w:pPr>
        <w:pStyle w:val="Nzev"/>
      </w:pPr>
      <w:r>
        <w:t>Pohyb obyvatelstv</w:t>
      </w:r>
      <w:r w:rsidR="00C92A6C">
        <w:t>a</w:t>
      </w:r>
      <w:r>
        <w:t xml:space="preserve"> – 1. čtvrtletí 2015</w:t>
      </w:r>
    </w:p>
    <w:p w:rsidR="003B4747" w:rsidRPr="00411173" w:rsidRDefault="003B4747" w:rsidP="003B4747">
      <w:pPr>
        <w:pStyle w:val="Podtitulek"/>
      </w:pPr>
      <w:r>
        <w:t>Obyvatel ubylo v důsledku vyššího počtu zemřelých</w:t>
      </w:r>
    </w:p>
    <w:p w:rsidR="003B4747" w:rsidRPr="005E13EB" w:rsidRDefault="003B4747" w:rsidP="003B4747">
      <w:pPr>
        <w:pStyle w:val="Perex"/>
      </w:pPr>
      <w:r>
        <w:t xml:space="preserve">Počet obyvatel České republiky </w:t>
      </w:r>
      <w:r w:rsidR="00C92A6C">
        <w:t xml:space="preserve">se </w:t>
      </w:r>
      <w:r>
        <w:t xml:space="preserve">v prvních třech měsících roku 2015 snížil o 0,5 tisíce na 10 537,8 tisíce. Saldo zahraniční migrace, ač kladné (4,5 tisíce), plně nedorovnalo pokles obyvatel bilancí přirozené měny (-4,9 tisíce). Počet živě narozených se meziročně nezměnil (26,3 tisíce), výrazně více však bylo zemřelých (31,2 tisíce). Počet sňatků, rozvodů a potratů byl ve srovnání s obdobím leden-březen 2014 letos nižší. </w:t>
      </w:r>
    </w:p>
    <w:p w:rsidR="003B4747" w:rsidRDefault="003B4747" w:rsidP="003B4747">
      <w:r w:rsidRPr="00755691">
        <w:t>Po</w:t>
      </w:r>
      <w:r>
        <w:t>dle</w:t>
      </w:r>
      <w:r w:rsidRPr="00755691">
        <w:t xml:space="preserve"> předběžné statistické bilance se </w:t>
      </w:r>
      <w:r w:rsidRPr="00755691">
        <w:rPr>
          <w:b/>
        </w:rPr>
        <w:t>počet obyvatel</w:t>
      </w:r>
      <w:r w:rsidRPr="00755691">
        <w:t xml:space="preserve"> České republiky </w:t>
      </w:r>
      <w:r>
        <w:t>mezi 1. lednem a 31. březnem ro</w:t>
      </w:r>
      <w:r w:rsidRPr="00755691">
        <w:t>ku 201</w:t>
      </w:r>
      <w:r>
        <w:t>5</w:t>
      </w:r>
      <w:r w:rsidRPr="00755691">
        <w:t xml:space="preserve"> </w:t>
      </w:r>
      <w:r>
        <w:t>snížil</w:t>
      </w:r>
      <w:r w:rsidRPr="00755691">
        <w:t xml:space="preserve"> o </w:t>
      </w:r>
      <w:r>
        <w:t>457 osob na 10 537</w:t>
      </w:r>
      <w:r w:rsidRPr="00755691">
        <w:t>,</w:t>
      </w:r>
      <w:r>
        <w:t>8</w:t>
      </w:r>
      <w:r w:rsidRPr="00755691">
        <w:t xml:space="preserve"> tisíce. </w:t>
      </w:r>
      <w:r>
        <w:t>Úbytek obyvatelstva byl důsledkem záporné bilance přirozené měny, kdy počet živě narozených byl o 4,9 tisíce nižší než počet zemřelých. Saldo zahraničního stěhování bylo nadále kladné (4,5 tisíce), avšak ztrátu přirozené měny plně nevykompenzovalo.</w:t>
      </w:r>
    </w:p>
    <w:p w:rsidR="003B4747" w:rsidRDefault="003B4747" w:rsidP="003B4747">
      <w:pPr>
        <w:rPr>
          <w:spacing w:val="-4"/>
        </w:rPr>
      </w:pPr>
      <w:r>
        <w:rPr>
          <w:spacing w:val="-4"/>
        </w:rPr>
        <w:t xml:space="preserve"> </w:t>
      </w:r>
    </w:p>
    <w:p w:rsidR="003B4747" w:rsidRPr="00755691" w:rsidRDefault="003B4747" w:rsidP="003B4747">
      <w:pPr>
        <w:rPr>
          <w:color w:val="000000" w:themeColor="text1"/>
        </w:rPr>
      </w:pPr>
      <w:r>
        <w:t xml:space="preserve">V 1. čtvrtletí 2015 se podle předběžných údajů </w:t>
      </w:r>
      <w:r w:rsidRPr="00755691">
        <w:rPr>
          <w:b/>
          <w:bCs/>
        </w:rPr>
        <w:t>živě narodilo</w:t>
      </w:r>
      <w:r w:rsidRPr="00D564BE">
        <w:rPr>
          <w:bCs/>
        </w:rPr>
        <w:t xml:space="preserve"> 2</w:t>
      </w:r>
      <w:r>
        <w:rPr>
          <w:bCs/>
        </w:rPr>
        <w:t>6</w:t>
      </w:r>
      <w:r w:rsidRPr="00D564BE">
        <w:rPr>
          <w:bCs/>
        </w:rPr>
        <w:t>,</w:t>
      </w:r>
      <w:r>
        <w:rPr>
          <w:bCs/>
        </w:rPr>
        <w:t>3</w:t>
      </w:r>
      <w:r w:rsidRPr="00D564BE">
        <w:rPr>
          <w:bCs/>
        </w:rPr>
        <w:t xml:space="preserve"> </w:t>
      </w:r>
      <w:r w:rsidRPr="00755691">
        <w:t xml:space="preserve">tisíce dětí, </w:t>
      </w:r>
      <w:r>
        <w:t>shodně jako ve stejném období předchozího roku. Meziročně se mírně zvýšil počet dětí narozených svobodným ženám (+283), vdané ženy porodily dětí méně (-261</w:t>
      </w:r>
      <w:r w:rsidR="00AB43EF">
        <w:t>)</w:t>
      </w:r>
      <w:r>
        <w:t xml:space="preserve">. </w:t>
      </w:r>
      <w:r w:rsidRPr="00755691">
        <w:t>Po</w:t>
      </w:r>
      <w:r>
        <w:t xml:space="preserve">díl dětí narozených mimo manželství tak dále vzrostl na 47,5 %, když v úhrnu za rok 2014 byl 46,7 %. </w:t>
      </w:r>
      <w:r w:rsidRPr="00755691">
        <w:t xml:space="preserve">Nejvíce dětí </w:t>
      </w:r>
      <w:r>
        <w:t>se narodilo</w:t>
      </w:r>
      <w:r w:rsidRPr="00755691">
        <w:t xml:space="preserve"> žen</w:t>
      </w:r>
      <w:r>
        <w:t>ám</w:t>
      </w:r>
      <w:r w:rsidRPr="00755691">
        <w:t xml:space="preserve"> ve věku </w:t>
      </w:r>
      <w:r>
        <w:t>30</w:t>
      </w:r>
      <w:r w:rsidRPr="00755691">
        <w:t xml:space="preserve"> let</w:t>
      </w:r>
      <w:r>
        <w:t xml:space="preserve">, resp. ženám ročníku 1984. </w:t>
      </w:r>
    </w:p>
    <w:p w:rsidR="003B4747" w:rsidRPr="00CB261D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3B4747" w:rsidRPr="00CB261D" w:rsidRDefault="003B4747" w:rsidP="003B4747">
      <w:pPr>
        <w:rPr>
          <w:color w:val="0070C0"/>
        </w:rPr>
      </w:pPr>
      <w:r>
        <w:t>Počet</w:t>
      </w:r>
      <w:r w:rsidRPr="00A42D26">
        <w:t xml:space="preserve"> </w:t>
      </w:r>
      <w:r w:rsidRPr="00A42D26">
        <w:rPr>
          <w:b/>
          <w:bCs/>
        </w:rPr>
        <w:t>zemřel</w:t>
      </w:r>
      <w:r>
        <w:rPr>
          <w:b/>
          <w:bCs/>
        </w:rPr>
        <w:t>ých</w:t>
      </w:r>
      <w:r w:rsidRPr="00A42D26">
        <w:t xml:space="preserve"> </w:t>
      </w:r>
      <w:r>
        <w:t>za 1. čtvrtletí roku 2015 byl výrazně vyšší než v přecházejícím roce. Celkem bylo zaznamenáno 31,2 tisíce zemřelých, o 4,5 tisíce více než v roce 2014. V loňském roce však byl počet zemřelých výjimečně nízký. V meziročním srovnání letos nejvíce přibylo zemřelých ve věkové skupině 85-</w:t>
      </w:r>
      <w:r w:rsidRPr="00EB6044">
        <w:t xml:space="preserve">89 let (+1,1 tisíce). Ve vyšších věkových skupinách (nad 90 let) byl nárůst zemřelých </w:t>
      </w:r>
      <w:r>
        <w:t xml:space="preserve">více než </w:t>
      </w:r>
      <w:r w:rsidRPr="00EB6044">
        <w:t>třetinový</w:t>
      </w:r>
      <w:r>
        <w:t>, odrážející vyšší intenzitu úmrtnosti</w:t>
      </w:r>
      <w:r w:rsidRPr="00EB6044">
        <w:t>. Před dosažením jednoho roku věku zemřelo do konce března letošního roku 62 dětí. Kojenecká</w:t>
      </w:r>
      <w:r>
        <w:t xml:space="preserve"> úmrtnost se oproti roku 2014 nezměnila: zemřelo 2,4 kojenců na tisíc živě narozených. </w:t>
      </w:r>
    </w:p>
    <w:p w:rsidR="003B4747" w:rsidRPr="00CB261D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3B4747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>
        <w:rPr>
          <w:spacing w:val="-2"/>
        </w:rPr>
        <w:t xml:space="preserve">V průběhu prvních tří měsíců roku 2015 </w:t>
      </w:r>
      <w:r w:rsidRPr="00E66FAB">
        <w:rPr>
          <w:spacing w:val="-2"/>
        </w:rPr>
        <w:t xml:space="preserve">bylo uzavřeno </w:t>
      </w:r>
      <w:r>
        <w:rPr>
          <w:spacing w:val="-2"/>
        </w:rPr>
        <w:t>3,3</w:t>
      </w:r>
      <w:r w:rsidRPr="00E66FAB">
        <w:rPr>
          <w:spacing w:val="-2"/>
        </w:rPr>
        <w:t xml:space="preserve"> tisíce </w:t>
      </w:r>
      <w:r w:rsidRPr="00E66FAB">
        <w:rPr>
          <w:b/>
          <w:bCs/>
          <w:spacing w:val="-2"/>
        </w:rPr>
        <w:t>m</w:t>
      </w:r>
      <w:r w:rsidRPr="00E66FAB">
        <w:rPr>
          <w:b/>
          <w:spacing w:val="-2"/>
        </w:rPr>
        <w:t>anželství</w:t>
      </w:r>
      <w:r w:rsidRPr="00E66FAB">
        <w:rPr>
          <w:spacing w:val="-2"/>
        </w:rPr>
        <w:t xml:space="preserve">, </w:t>
      </w:r>
      <w:r>
        <w:rPr>
          <w:spacing w:val="-2"/>
        </w:rPr>
        <w:t>o 0,6 tisíce méně než ve stejném období roku 2014</w:t>
      </w:r>
      <w:r w:rsidRPr="00E66FAB">
        <w:rPr>
          <w:spacing w:val="-2"/>
        </w:rPr>
        <w:t xml:space="preserve">. </w:t>
      </w:r>
      <w:r>
        <w:rPr>
          <w:spacing w:val="-2"/>
        </w:rPr>
        <w:t>Zhruba dvě třetiny z nich uzavřeli dosud svobodní muži či ženy, jednu třetinu osoby rozvedené. Nejvíce ženichů vstoupilo do manželství ve věku 30 let, nevěsty nejvíce ve věku 27 let.</w:t>
      </w:r>
    </w:p>
    <w:p w:rsidR="003B4747" w:rsidRPr="00CB261D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</w:rPr>
      </w:pPr>
    </w:p>
    <w:p w:rsidR="003B4747" w:rsidRDefault="003B4747" w:rsidP="003B4747">
      <w:pPr>
        <w:rPr>
          <w:color w:val="0D0D0D"/>
        </w:rPr>
      </w:pPr>
      <w:r>
        <w:t xml:space="preserve">Soudy České republiky vydaly v průběhu prvního čtvrtletí roku 2015 rozhodnutí o 6,0 tisících </w:t>
      </w:r>
      <w:r w:rsidRPr="00A42D26">
        <w:rPr>
          <w:b/>
          <w:bCs/>
        </w:rPr>
        <w:t>rozvo</w:t>
      </w:r>
      <w:r>
        <w:rPr>
          <w:b/>
          <w:bCs/>
        </w:rPr>
        <w:t>dech.</w:t>
      </w:r>
      <w:r w:rsidRPr="00A42D26">
        <w:t xml:space="preserve"> </w:t>
      </w:r>
      <w:r>
        <w:t xml:space="preserve">Bylo to o 0,7 tisíce méně než o rok dříve. V polovině případů byla navrhovatelem rozvodu žena, v necelých 30 procentech muž a v pětině případů společně oba manželé. Podle pětiletých skupin délky trvání manželství byly nejčetnější rozvody </w:t>
      </w:r>
      <w:r w:rsidRPr="00057AAB">
        <w:rPr>
          <w:color w:val="0D0D0D"/>
        </w:rPr>
        <w:t xml:space="preserve">po </w:t>
      </w:r>
      <w:r>
        <w:rPr>
          <w:color w:val="0D0D0D"/>
        </w:rPr>
        <w:t>5 až 9 letech</w:t>
      </w:r>
      <w:r w:rsidRPr="00057AAB">
        <w:rPr>
          <w:iCs/>
          <w:color w:val="0D0D0D"/>
        </w:rPr>
        <w:t>.</w:t>
      </w:r>
      <w:r w:rsidRPr="00057AAB">
        <w:rPr>
          <w:color w:val="0D0D0D"/>
        </w:rPr>
        <w:t xml:space="preserve"> </w:t>
      </w:r>
      <w:r>
        <w:rPr>
          <w:color w:val="0D0D0D"/>
        </w:rPr>
        <w:t xml:space="preserve">Celkem 3,4 tisíce rozvodů (56,9 %) ukončilo manželství s nezletilými dětmi. </w:t>
      </w:r>
    </w:p>
    <w:p w:rsidR="003B4747" w:rsidRDefault="003B4747" w:rsidP="003B4747">
      <w:pPr>
        <w:rPr>
          <w:b/>
          <w:bCs/>
        </w:rPr>
      </w:pPr>
    </w:p>
    <w:p w:rsidR="003B4747" w:rsidRDefault="003B4747" w:rsidP="003B4747">
      <w:r>
        <w:rPr>
          <w:bCs/>
        </w:rPr>
        <w:t xml:space="preserve">Počet </w:t>
      </w:r>
      <w:r>
        <w:rPr>
          <w:b/>
          <w:bCs/>
        </w:rPr>
        <w:t>p</w:t>
      </w:r>
      <w:r w:rsidRPr="008A1F82">
        <w:rPr>
          <w:b/>
          <w:bCs/>
        </w:rPr>
        <w:t>otratů</w:t>
      </w:r>
      <w:r w:rsidRPr="008A1F82">
        <w:t xml:space="preserve"> byl</w:t>
      </w:r>
      <w:r>
        <w:t xml:space="preserve"> podle předběžných a zatím neúplných výsledků </w:t>
      </w:r>
      <w:r w:rsidRPr="008A1F82">
        <w:t>v prvním čtvrtletí roku 201</w:t>
      </w:r>
      <w:r>
        <w:t>5 o 0,9 tisíce nižší než v roce 2014, celkem bylo</w:t>
      </w:r>
      <w:r w:rsidRPr="008A1F82">
        <w:t xml:space="preserve"> registrováno 9,</w:t>
      </w:r>
      <w:r>
        <w:t>0</w:t>
      </w:r>
      <w:r w:rsidRPr="008A1F82">
        <w:t xml:space="preserve"> tisíce</w:t>
      </w:r>
      <w:r>
        <w:t xml:space="preserve"> potratů. Téměř veškerý </w:t>
      </w:r>
      <w:r>
        <w:lastRenderedPageBreak/>
        <w:t>meziroční pokles připadl na indukované potraty, kterých bylo provedeno 5,2 tisíce, o 0,8 tisíce méně než o rok dříve.</w:t>
      </w:r>
      <w:r w:rsidRPr="008A1F82">
        <w:t xml:space="preserve"> </w:t>
      </w:r>
      <w:r>
        <w:t xml:space="preserve">Samovolný potrat byl zaznamenán u </w:t>
      </w:r>
      <w:r w:rsidRPr="00EB6044">
        <w:t>3,6 tisíce</w:t>
      </w:r>
      <w:r>
        <w:t xml:space="preserve"> žen. Podíl samovolných potratů na celkovém počtu potratů dosáhl již 39,5 %, v úhrnu za rok 2014 to bylo 37,5 %. </w:t>
      </w:r>
    </w:p>
    <w:p w:rsidR="003B4747" w:rsidRPr="00CB261D" w:rsidRDefault="003B4747" w:rsidP="003B4747">
      <w:pPr>
        <w:rPr>
          <w:b/>
          <w:bCs/>
          <w:color w:val="0070C0"/>
        </w:rPr>
      </w:pPr>
    </w:p>
    <w:p w:rsidR="003B4747" w:rsidRPr="00C86EDE" w:rsidRDefault="003B4747" w:rsidP="003B4747">
      <w:pPr>
        <w:rPr>
          <w:spacing w:val="-4"/>
        </w:rPr>
      </w:pPr>
      <w:r>
        <w:rPr>
          <w:spacing w:val="-4"/>
        </w:rPr>
        <w:t xml:space="preserve">V období leden až březen 2015 se podle předběžných výsledků do ČR ze zahraniční přistěhovalo 10,8 tisíce osob a 6,3 tisíce se z ČR vystěhovalo. </w:t>
      </w:r>
      <w:r w:rsidRPr="00E66FAB">
        <w:rPr>
          <w:spacing w:val="-4"/>
        </w:rPr>
        <w:t xml:space="preserve">Bilance </w:t>
      </w:r>
      <w:r w:rsidRPr="00E66FAB">
        <w:rPr>
          <w:b/>
          <w:spacing w:val="-4"/>
        </w:rPr>
        <w:t>zahraničního stěhování</w:t>
      </w:r>
      <w:r w:rsidRPr="00E66FAB">
        <w:rPr>
          <w:spacing w:val="-4"/>
        </w:rPr>
        <w:t xml:space="preserve"> </w:t>
      </w:r>
      <w:r>
        <w:rPr>
          <w:spacing w:val="-4"/>
        </w:rPr>
        <w:t xml:space="preserve">tak byla kladná ve výši 4,5 tisíce, ale o 2,9 tisíce nižší než v prvním čtvrtletí roku 2014. Mezi přistěhovalými bylo nejvíce státních občanů Slovenska, Ukrajiny a Ruska. Mezi vystěhovalými převládali občané Ukrajiny, ČR, Ruska a Vietnamu. </w:t>
      </w:r>
      <w:r w:rsidRPr="00E66FAB">
        <w:rPr>
          <w:spacing w:val="-4"/>
        </w:rPr>
        <w:t>Nejv</w:t>
      </w:r>
      <w:r>
        <w:rPr>
          <w:spacing w:val="-4"/>
        </w:rPr>
        <w:t xml:space="preserve">yšší kladné </w:t>
      </w:r>
      <w:r w:rsidRPr="00E66FAB">
        <w:rPr>
          <w:spacing w:val="-4"/>
        </w:rPr>
        <w:t xml:space="preserve">saldo stěhování </w:t>
      </w:r>
      <w:r>
        <w:rPr>
          <w:spacing w:val="-4"/>
        </w:rPr>
        <w:t xml:space="preserve">bylo (stejně jako v roce 2014) </w:t>
      </w:r>
      <w:r w:rsidRPr="00E66FAB">
        <w:rPr>
          <w:color w:val="0D0D0D"/>
          <w:spacing w:val="-4"/>
        </w:rPr>
        <w:t>zaznamen</w:t>
      </w:r>
      <w:r>
        <w:rPr>
          <w:color w:val="0D0D0D"/>
          <w:spacing w:val="-4"/>
        </w:rPr>
        <w:t>áno</w:t>
      </w:r>
      <w:r w:rsidRPr="00E66FAB">
        <w:rPr>
          <w:color w:val="0D0D0D"/>
          <w:spacing w:val="-4"/>
        </w:rPr>
        <w:t xml:space="preserve"> s občany </w:t>
      </w:r>
      <w:r>
        <w:rPr>
          <w:spacing w:val="-4"/>
        </w:rPr>
        <w:t>Slovenska (1</w:t>
      </w:r>
      <w:r w:rsidRPr="00E66FAB">
        <w:rPr>
          <w:spacing w:val="-4"/>
        </w:rPr>
        <w:t>,</w:t>
      </w:r>
      <w:r>
        <w:rPr>
          <w:spacing w:val="-4"/>
        </w:rPr>
        <w:t>5</w:t>
      </w:r>
      <w:r w:rsidRPr="00E66FAB">
        <w:rPr>
          <w:spacing w:val="-4"/>
        </w:rPr>
        <w:t xml:space="preserve"> tisíce</w:t>
      </w:r>
      <w:r>
        <w:rPr>
          <w:spacing w:val="-4"/>
        </w:rPr>
        <w:t>). Druhé nejvyšší saldo patřilo v letošním prvním čtvrtletí občanům Ruska (0,5 tisíce) a třetí občanům Spojených států</w:t>
      </w:r>
      <w:r w:rsidRPr="00E66FAB">
        <w:rPr>
          <w:color w:val="0D0D0D"/>
          <w:spacing w:val="-4"/>
        </w:rPr>
        <w:t xml:space="preserve"> </w:t>
      </w:r>
      <w:r w:rsidRPr="00E66FAB">
        <w:rPr>
          <w:spacing w:val="-4"/>
        </w:rPr>
        <w:t>(</w:t>
      </w:r>
      <w:r>
        <w:rPr>
          <w:spacing w:val="-4"/>
        </w:rPr>
        <w:t>0,4</w:t>
      </w:r>
      <w:r w:rsidRPr="00E66FAB">
        <w:rPr>
          <w:spacing w:val="-4"/>
        </w:rPr>
        <w:t xml:space="preserve"> tisíce</w:t>
      </w:r>
      <w:r>
        <w:rPr>
          <w:spacing w:val="-4"/>
        </w:rPr>
        <w:t xml:space="preserve">). </w:t>
      </w:r>
      <w:r w:rsidRPr="00C86EDE">
        <w:rPr>
          <w:spacing w:val="-4"/>
        </w:rPr>
        <w:t xml:space="preserve">Saldo občanů ČR </w:t>
      </w:r>
      <w:r w:rsidR="003E6EB1">
        <w:rPr>
          <w:spacing w:val="-4"/>
        </w:rPr>
        <w:t>bylo</w:t>
      </w:r>
      <w:r w:rsidRPr="00C86EDE">
        <w:rPr>
          <w:spacing w:val="-4"/>
        </w:rPr>
        <w:t xml:space="preserve"> mírně kladné (+33), </w:t>
      </w:r>
      <w:r>
        <w:rPr>
          <w:spacing w:val="-4"/>
        </w:rPr>
        <w:t xml:space="preserve">saldo </w:t>
      </w:r>
      <w:r w:rsidRPr="00C86EDE">
        <w:rPr>
          <w:spacing w:val="-4"/>
        </w:rPr>
        <w:t>občan</w:t>
      </w:r>
      <w:r>
        <w:rPr>
          <w:spacing w:val="-4"/>
        </w:rPr>
        <w:t>ů</w:t>
      </w:r>
      <w:r w:rsidRPr="00C86EDE">
        <w:rPr>
          <w:spacing w:val="-4"/>
        </w:rPr>
        <w:t xml:space="preserve"> Vietnamu </w:t>
      </w:r>
      <w:r w:rsidR="003E6EB1">
        <w:rPr>
          <w:spacing w:val="-4"/>
        </w:rPr>
        <w:t xml:space="preserve">zůstalo </w:t>
      </w:r>
      <w:r w:rsidRPr="00C86EDE">
        <w:rPr>
          <w:spacing w:val="-4"/>
        </w:rPr>
        <w:t>záporné (-0,3 tisíce).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zpracovávané a publikované údaje se týkají všech obyvatel, kteří mají v ČR trvalé bydliště, a to bez ohledu na státní občanství. Od r. 2001 (v návaznosti na sčítání lidu, domů a bytů 2001) údaje zahrnují cizince s vízy nad 90 dnů (podle zákona č. 326/1999 Sb., o pobytu cizinců) a taktéž cizince s přiznaným azylem (podle zákona č. 325/1999 Sb., o azylu). Od 1.</w:t>
      </w:r>
      <w:r>
        <w:rPr>
          <w:i/>
        </w:rPr>
        <w:t xml:space="preserve"> 5. 2004, v návaznosti na tzv. </w:t>
      </w:r>
      <w:proofErr w:type="spellStart"/>
      <w:r>
        <w:rPr>
          <w:i/>
        </w:rPr>
        <w:t>e</w:t>
      </w:r>
      <w:r w:rsidRPr="00BB0398">
        <w:rPr>
          <w:i/>
        </w:rPr>
        <w:t>uronovelu</w:t>
      </w:r>
      <w:proofErr w:type="spellEnd"/>
      <w:r w:rsidRPr="00BB0398">
        <w:rPr>
          <w:i/>
        </w:rPr>
        <w:t xml:space="preserve"> zákona č. 326/1999 Sb., o pobytu cizinců, se údaje týkají i občanů zemí EU s přechodným pobytem na území ČR a občanů třetích zemí s dlouhodobým pobytem. Údaje zohledňují rovněž události (sňatky, narození a úmrtí) občanů s trvalým pobytem na území ČR, které nastaly v cizině.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údaje za rok 201</w:t>
      </w:r>
      <w:r>
        <w:rPr>
          <w:i/>
        </w:rPr>
        <w:t>5</w:t>
      </w:r>
      <w:r w:rsidRPr="00BB0398">
        <w:rPr>
          <w:i/>
        </w:rPr>
        <w:t xml:space="preserve"> jsou předběžné.</w:t>
      </w:r>
    </w:p>
    <w:p w:rsidR="003B4747" w:rsidRPr="00BB0398" w:rsidRDefault="003B4747" w:rsidP="003B4747">
      <w:pPr>
        <w:pStyle w:val="Poznmky"/>
        <w:spacing w:before="0" w:line="276" w:lineRule="auto"/>
        <w:jc w:val="both"/>
        <w:rPr>
          <w:i/>
        </w:rPr>
      </w:pPr>
    </w:p>
    <w:p w:rsidR="003B4747" w:rsidRPr="00BB0398" w:rsidRDefault="003B4747" w:rsidP="003B4747">
      <w:pPr>
        <w:pStyle w:val="Poznmky"/>
        <w:spacing w:before="0"/>
        <w:ind w:left="3289" w:hanging="3289"/>
        <w:rPr>
          <w:i/>
        </w:rPr>
      </w:pPr>
      <w:r w:rsidRPr="00BB0398">
        <w:rPr>
          <w:i/>
        </w:rPr>
        <w:t>Zodpovědný vedoucí pracovník ČSÚ:</w:t>
      </w:r>
      <w:r w:rsidRPr="00BB0398">
        <w:rPr>
          <w:i/>
        </w:rPr>
        <w:tab/>
        <w:t xml:space="preserve">Ing. Josef Škrabal, ředitel odboru statistiky obyvatelstva, </w:t>
      </w:r>
      <w:r>
        <w:rPr>
          <w:i/>
        </w:rPr>
        <w:br/>
      </w:r>
      <w:r w:rsidRPr="00BB0398">
        <w:rPr>
          <w:i/>
        </w:rPr>
        <w:t>tel. 274 052 189, e-mail: josef.skrabal@czso.cz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Kontaktní osoba:</w:t>
      </w:r>
      <w:r w:rsidRPr="00BB0398">
        <w:tab/>
        <w:t xml:space="preserve">Mgr. </w:t>
      </w:r>
      <w:r>
        <w:t>Michaela Němečková</w:t>
      </w:r>
      <w:r w:rsidRPr="00BB0398">
        <w:t xml:space="preserve">, oddělení demografické statistiky, </w:t>
      </w:r>
      <w:r>
        <w:br/>
      </w:r>
      <w:r w:rsidRPr="00BB0398">
        <w:t>tel. 274 05</w:t>
      </w:r>
      <w:r>
        <w:t>2</w:t>
      </w:r>
      <w:r w:rsidRPr="00BB0398">
        <w:t> </w:t>
      </w:r>
      <w:r>
        <w:t>184</w:t>
      </w:r>
      <w:r w:rsidRPr="00BB0398">
        <w:t xml:space="preserve">, e-mail: </w:t>
      </w:r>
      <w:r>
        <w:t>michaela</w:t>
      </w:r>
      <w:r w:rsidRPr="00BB0398">
        <w:t>.</w:t>
      </w:r>
      <w:r>
        <w:t>nemeckov</w:t>
      </w:r>
      <w:r w:rsidRPr="00BB0398">
        <w:t>a@czso.cz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Metoda získání dat:</w:t>
      </w:r>
      <w:r w:rsidRPr="00BB0398">
        <w:tab/>
        <w:t xml:space="preserve">Demografická statistika – výsledky zpracování </w:t>
      </w:r>
      <w:r>
        <w:t xml:space="preserve">statistických hlášení řady </w:t>
      </w:r>
      <w:proofErr w:type="spellStart"/>
      <w:r>
        <w:t>Obyv</w:t>
      </w:r>
      <w:proofErr w:type="spellEnd"/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Rozvody – Informační systém Ministerstva spravedlnosti ČR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rPr>
          <w:color w:val="auto"/>
        </w:rPr>
        <w:t>Stěhování – Informační systém evidence obyvatel (M</w:t>
      </w:r>
      <w:r>
        <w:rPr>
          <w:color w:val="auto"/>
        </w:rPr>
        <w:t xml:space="preserve">V </w:t>
      </w:r>
      <w:r w:rsidRPr="00BB0398">
        <w:rPr>
          <w:color w:val="auto"/>
        </w:rPr>
        <w:t>ČR)</w:t>
      </w:r>
      <w:r>
        <w:rPr>
          <w:color w:val="auto"/>
        </w:rPr>
        <w:t xml:space="preserve"> a </w:t>
      </w:r>
      <w:r w:rsidRPr="002C57A8">
        <w:rPr>
          <w:color w:val="auto"/>
        </w:rPr>
        <w:t>Cizinecký informační systém (</w:t>
      </w:r>
      <w:r w:rsidRPr="00BB0398">
        <w:t>Ředitelství služby cizinecké policie</w:t>
      </w:r>
      <w:r w:rsidRPr="00BB0398">
        <w:rPr>
          <w:color w:val="auto"/>
        </w:rPr>
        <w:t>)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Potraty – Ústav zdravotnických informací a statistiky ČR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ukončení sběru dat:</w:t>
      </w:r>
      <w:r w:rsidRPr="00BB0398">
        <w:tab/>
      </w:r>
      <w:r w:rsidRPr="005E42AB">
        <w:t xml:space="preserve">15. </w:t>
      </w:r>
      <w:r>
        <w:t>května</w:t>
      </w:r>
      <w:r w:rsidRPr="005E42AB">
        <w:t xml:space="preserve"> 201</w:t>
      </w:r>
      <w:r>
        <w:t>5</w:t>
      </w:r>
    </w:p>
    <w:p w:rsidR="003B4747" w:rsidRPr="00BC542A" w:rsidRDefault="003B4747" w:rsidP="003B4747">
      <w:pPr>
        <w:pStyle w:val="Poznamkytexty"/>
        <w:ind w:left="3289" w:hanging="3289"/>
      </w:pPr>
      <w:r w:rsidRPr="00BB0398">
        <w:t>Navazující datová sada:</w:t>
      </w:r>
      <w:r w:rsidRPr="00BB0398">
        <w:tab/>
      </w:r>
      <w:r>
        <w:t>130062</w:t>
      </w:r>
      <w:r w:rsidRPr="00BC542A">
        <w:rPr>
          <w:spacing w:val="-4"/>
        </w:rPr>
        <w:t>-1</w:t>
      </w:r>
      <w:r>
        <w:rPr>
          <w:spacing w:val="-4"/>
        </w:rPr>
        <w:t>5</w:t>
      </w:r>
      <w:r w:rsidRPr="00BC542A">
        <w:rPr>
          <w:spacing w:val="-4"/>
        </w:rPr>
        <w:t> Stav a pohyb obyvatelstva v ČR </w:t>
      </w:r>
      <w:r>
        <w:rPr>
          <w:spacing w:val="-4"/>
        </w:rPr>
        <w:t xml:space="preserve">- </w:t>
      </w:r>
      <w:r w:rsidRPr="00BC542A">
        <w:rPr>
          <w:spacing w:val="-4"/>
        </w:rPr>
        <w:t>1. čtvrtletí 201</w:t>
      </w:r>
      <w:r>
        <w:rPr>
          <w:spacing w:val="-4"/>
        </w:rPr>
        <w:t>5</w:t>
      </w:r>
    </w:p>
    <w:p w:rsidR="003B4747" w:rsidRPr="0020682E" w:rsidRDefault="003B4747" w:rsidP="003B4747">
      <w:pPr>
        <w:pStyle w:val="Poznamkytexty"/>
        <w:ind w:left="3289" w:hanging="3289"/>
        <w:rPr>
          <w:color w:val="auto"/>
        </w:rPr>
      </w:pPr>
      <w:r w:rsidRPr="00BC542A">
        <w:tab/>
      </w:r>
      <w:hyperlink r:id="rId7" w:history="1">
        <w:r w:rsidR="0020682E" w:rsidRPr="0020682E">
          <w:rPr>
            <w:rFonts w:cs="Arial"/>
            <w:color w:val="auto"/>
          </w:rPr>
          <w:t>https://www.czso.cz/csu/czso/stav-a-pohyb-obyvatelstva-v-cr-1-ctvrtleti-2015</w:t>
        </w:r>
      </w:hyperlink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zveřejnění další RI:</w:t>
      </w:r>
      <w:r w:rsidRPr="00BB0398">
        <w:tab/>
      </w:r>
      <w:r>
        <w:t>11</w:t>
      </w:r>
      <w:r w:rsidRPr="00BB0398">
        <w:t xml:space="preserve">. </w:t>
      </w:r>
      <w:r>
        <w:t>září</w:t>
      </w:r>
      <w:r w:rsidRPr="00BB0398">
        <w:t xml:space="preserve"> 201</w:t>
      </w:r>
      <w:r>
        <w:t>5</w:t>
      </w: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Přílohy:</w:t>
      </w:r>
    </w:p>
    <w:p w:rsidR="003B4747" w:rsidRPr="00A06E06" w:rsidRDefault="003B4747" w:rsidP="003B4747">
      <w:pPr>
        <w:pStyle w:val="Zpat"/>
        <w:spacing w:line="276" w:lineRule="auto"/>
      </w:pPr>
      <w:r w:rsidRPr="00A06E06">
        <w:t>Tab. 1 Obyvatelstvo (absolutně, relativně, meziroční změny)</w:t>
      </w:r>
    </w:p>
    <w:p w:rsidR="003B4747" w:rsidRPr="003B4747" w:rsidRDefault="003B4747" w:rsidP="003B4747"/>
    <w:sectPr w:rsidR="003B4747" w:rsidRPr="003B4747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B6" w:rsidRDefault="00EF2DB6" w:rsidP="00BA6370">
      <w:r>
        <w:separator/>
      </w:r>
    </w:p>
  </w:endnote>
  <w:endnote w:type="continuationSeparator" w:id="0">
    <w:p w:rsidR="00EF2DB6" w:rsidRDefault="00EF2DB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8714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8714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87140" w:rsidRPr="004E479E">
                  <w:rPr>
                    <w:rFonts w:cs="Arial"/>
                    <w:szCs w:val="15"/>
                  </w:rPr>
                  <w:fldChar w:fldCharType="separate"/>
                </w:r>
                <w:r w:rsidR="00AB43EF">
                  <w:rPr>
                    <w:rFonts w:cs="Arial"/>
                    <w:noProof/>
                    <w:szCs w:val="15"/>
                  </w:rPr>
                  <w:t>1</w:t>
                </w:r>
                <w:r w:rsidR="0018714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B6" w:rsidRDefault="00EF2DB6" w:rsidP="00BA6370">
      <w:r>
        <w:separator/>
      </w:r>
    </w:p>
  </w:footnote>
  <w:footnote w:type="continuationSeparator" w:id="0">
    <w:p w:rsidR="00EF2DB6" w:rsidRDefault="00EF2DB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8714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35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74"/>
    <w:rsid w:val="00043BF4"/>
    <w:rsid w:val="000843A5"/>
    <w:rsid w:val="000910DA"/>
    <w:rsid w:val="00096D6C"/>
    <w:rsid w:val="000B6F63"/>
    <w:rsid w:val="000D093F"/>
    <w:rsid w:val="000E235A"/>
    <w:rsid w:val="000E43CC"/>
    <w:rsid w:val="001404AB"/>
    <w:rsid w:val="0017231D"/>
    <w:rsid w:val="001810DC"/>
    <w:rsid w:val="00187140"/>
    <w:rsid w:val="001B607F"/>
    <w:rsid w:val="001D369A"/>
    <w:rsid w:val="001F08B3"/>
    <w:rsid w:val="001F2FE0"/>
    <w:rsid w:val="00200854"/>
    <w:rsid w:val="0020682E"/>
    <w:rsid w:val="002070FB"/>
    <w:rsid w:val="00213729"/>
    <w:rsid w:val="002406FA"/>
    <w:rsid w:val="0026107B"/>
    <w:rsid w:val="002B2E47"/>
    <w:rsid w:val="003301A3"/>
    <w:rsid w:val="0036777B"/>
    <w:rsid w:val="0038282A"/>
    <w:rsid w:val="00392425"/>
    <w:rsid w:val="00397580"/>
    <w:rsid w:val="003A45C8"/>
    <w:rsid w:val="003B4747"/>
    <w:rsid w:val="003C2DCF"/>
    <w:rsid w:val="003C7FE7"/>
    <w:rsid w:val="003D0499"/>
    <w:rsid w:val="003D3576"/>
    <w:rsid w:val="003E6EB1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805FB"/>
    <w:rsid w:val="006931CF"/>
    <w:rsid w:val="006B4995"/>
    <w:rsid w:val="006E024F"/>
    <w:rsid w:val="006E4E81"/>
    <w:rsid w:val="00707F7D"/>
    <w:rsid w:val="00717EC5"/>
    <w:rsid w:val="00754B1F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9F50BC"/>
    <w:rsid w:val="00A0762A"/>
    <w:rsid w:val="00A32201"/>
    <w:rsid w:val="00A4343D"/>
    <w:rsid w:val="00A502F1"/>
    <w:rsid w:val="00A70A83"/>
    <w:rsid w:val="00A81EB3"/>
    <w:rsid w:val="00AB3410"/>
    <w:rsid w:val="00AB43EF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44E9F"/>
    <w:rsid w:val="00C8406E"/>
    <w:rsid w:val="00C92A6C"/>
    <w:rsid w:val="00CA0723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C7A74"/>
    <w:rsid w:val="00DF47FE"/>
    <w:rsid w:val="00E0156A"/>
    <w:rsid w:val="00E26704"/>
    <w:rsid w:val="00E31980"/>
    <w:rsid w:val="00E6423C"/>
    <w:rsid w:val="00E93830"/>
    <w:rsid w:val="00E93E0E"/>
    <w:rsid w:val="00EB1ED3"/>
    <w:rsid w:val="00EF2DB6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747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v-a-pohyb-obyvatelstva-v-cr-1-ctvrtleti-2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6E87-6AAF-491C-8826-95571537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2</cp:revision>
  <dcterms:created xsi:type="dcterms:W3CDTF">2015-06-11T06:01:00Z</dcterms:created>
  <dcterms:modified xsi:type="dcterms:W3CDTF">2015-06-11T06:01:00Z</dcterms:modified>
</cp:coreProperties>
</file>