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3375B" w14:textId="48F058AE" w:rsidR="00F21B6A" w:rsidRDefault="002B1BA1" w:rsidP="00F21B6A">
      <w:pPr>
        <w:pStyle w:val="Nadpis1"/>
      </w:pPr>
      <w:r>
        <w:t>Hospodaření vládních institucí skončilo v</w:t>
      </w:r>
      <w:r w:rsidR="000A4DA9">
        <w:t> </w:t>
      </w:r>
      <w:r>
        <w:t>deficitu</w:t>
      </w:r>
      <w:r w:rsidR="000A4DA9">
        <w:t xml:space="preserve"> 2,2% HDP</w:t>
      </w:r>
    </w:p>
    <w:p w14:paraId="117F53DC" w14:textId="0742B8F2" w:rsidR="00F21B6A" w:rsidRDefault="00963415" w:rsidP="00200551">
      <w:pPr>
        <w:jc w:val="left"/>
      </w:pPr>
      <w:sdt>
        <w:sdtPr>
          <w:id w:val="902409853"/>
          <w:placeholder>
            <w:docPart w:val="A75872B8E9CF4C04BE3F32A742F7ED24"/>
          </w:placeholder>
          <w:date w:fullDate="2026-10-01T00:00:00Z">
            <w:dateFormat w:val="dd. MM. yyyy"/>
            <w:lid w:val="cs-CZ"/>
            <w:storeMappedDataAs w:val="dateTime"/>
            <w:calendar w:val="gregorian"/>
          </w:date>
        </w:sdtPr>
        <w:sdtEndPr/>
        <w:sdtContent>
          <w:r w:rsidR="00985B76">
            <w:t>01. 10. 2026</w:t>
          </w:r>
        </w:sdtContent>
      </w:sdt>
      <w:r w:rsidR="00C744B6" w:rsidRPr="00C744B6">
        <w:t xml:space="preserve"> </w:t>
      </w:r>
    </w:p>
    <w:p w14:paraId="5CC0E26E" w14:textId="02573DF6" w:rsidR="00773B0B" w:rsidRDefault="00B3112C" w:rsidP="00773B0B">
      <w:pPr>
        <w:pStyle w:val="Nadpis2"/>
      </w:pPr>
      <w:r>
        <w:t>Notifikace deficitu a dluhu vládních institucí - 2025</w:t>
      </w:r>
    </w:p>
    <w:p w14:paraId="6EBB890C" w14:textId="623B6913" w:rsidR="006A57CC" w:rsidRDefault="00AB7FF3" w:rsidP="00AB7FF3">
      <w:pPr>
        <w:pStyle w:val="Perex"/>
      </w:pPr>
      <w:r w:rsidRPr="00BA2E49">
        <w:t>Saldo hospodaření sektoru vládních institucí skončilo za rok 2025 schodkem ve výši 2,</w:t>
      </w:r>
      <w:r w:rsidR="00BA2E49" w:rsidRPr="00BA2E49">
        <w:t>2</w:t>
      </w:r>
      <w:r w:rsidRPr="00BA2E49">
        <w:t xml:space="preserve"> % HDP, což bylo o </w:t>
      </w:r>
      <w:proofErr w:type="gramStart"/>
      <w:r w:rsidRPr="00BA2E49">
        <w:t>0,</w:t>
      </w:r>
      <w:r w:rsidR="00BA2E49" w:rsidRPr="00BA2E49">
        <w:t>2</w:t>
      </w:r>
      <w:r w:rsidRPr="00BA2E49">
        <w:t xml:space="preserve"> procentního</w:t>
      </w:r>
      <w:proofErr w:type="gramEnd"/>
      <w:r w:rsidRPr="00BA2E49">
        <w:t xml:space="preserve"> bodu (p. b.) více než v roce 2024. Výše zadlužení sektoru dosáhla na konci roku 2025 úrovně 44,</w:t>
      </w:r>
      <w:r w:rsidR="00BA2E49" w:rsidRPr="00BA2E49">
        <w:t>2</w:t>
      </w:r>
      <w:r w:rsidRPr="00BA2E49">
        <w:t xml:space="preserve"> % HDP, při meziročním nárůstu o 0</w:t>
      </w:r>
      <w:r w:rsidR="00AC74B0">
        <w:t>,9</w:t>
      </w:r>
      <w:r w:rsidRPr="00BA2E49">
        <w:t xml:space="preserve"> p. b</w:t>
      </w:r>
      <w:r w:rsidR="004D273A" w:rsidRPr="00BA2E49">
        <w:t>.</w:t>
      </w:r>
    </w:p>
    <w:p w14:paraId="1725D36F" w14:textId="20252989" w:rsidR="004D273A" w:rsidRPr="00793BAD" w:rsidRDefault="004D273A" w:rsidP="004D273A">
      <w:pPr>
        <w:jc w:val="left"/>
      </w:pPr>
      <w:r w:rsidRPr="00793BAD">
        <w:rPr>
          <w:i/>
        </w:rPr>
        <w:t>„Výsledek hospodaření sektoru vládních institucí za rok 2025 skončil v deficitu ve výši 18</w:t>
      </w:r>
      <w:r w:rsidR="00793BAD" w:rsidRPr="00793BAD">
        <w:rPr>
          <w:i/>
        </w:rPr>
        <w:t>5</w:t>
      </w:r>
      <w:r w:rsidRPr="00793BAD">
        <w:rPr>
          <w:i/>
        </w:rPr>
        <w:t>,</w:t>
      </w:r>
      <w:r w:rsidR="00793BAD" w:rsidRPr="00793BAD">
        <w:rPr>
          <w:i/>
        </w:rPr>
        <w:t>5</w:t>
      </w:r>
      <w:r w:rsidRPr="00793BAD">
        <w:rPr>
          <w:i/>
        </w:rPr>
        <w:t> miliard Kč, což v meziročním srovnání znamená zhoršení o 2</w:t>
      </w:r>
      <w:r w:rsidR="00793BAD" w:rsidRPr="00793BAD">
        <w:rPr>
          <w:i/>
        </w:rPr>
        <w:t>6</w:t>
      </w:r>
      <w:r w:rsidRPr="00793BAD">
        <w:rPr>
          <w:i/>
        </w:rPr>
        <w:t>,</w:t>
      </w:r>
      <w:r w:rsidR="00793BAD" w:rsidRPr="00793BAD">
        <w:rPr>
          <w:i/>
        </w:rPr>
        <w:t>2</w:t>
      </w:r>
      <w:r w:rsidRPr="00793BAD">
        <w:rPr>
          <w:i/>
        </w:rPr>
        <w:t xml:space="preserve"> miliard Kč. Míra zadlužení sektoru vládních institucí stoupla</w:t>
      </w:r>
      <w:r w:rsidRPr="00793BAD">
        <w:rPr>
          <w:i/>
          <w:iCs/>
          <w:color w:val="1F497D"/>
        </w:rPr>
        <w:t xml:space="preserve"> </w:t>
      </w:r>
      <w:r w:rsidRPr="00793BAD">
        <w:rPr>
          <w:i/>
        </w:rPr>
        <w:t>na úroveň 44,</w:t>
      </w:r>
      <w:r w:rsidR="00793BAD" w:rsidRPr="00793BAD">
        <w:rPr>
          <w:i/>
        </w:rPr>
        <w:t>2</w:t>
      </w:r>
      <w:r w:rsidRPr="00793BAD">
        <w:rPr>
          <w:i/>
        </w:rPr>
        <w:t> % HDP“</w:t>
      </w:r>
      <w:r w:rsidRPr="00793BAD">
        <w:t xml:space="preserve">, uvedl </w:t>
      </w:r>
      <w:r w:rsidR="00793BAD" w:rsidRPr="00793BAD">
        <w:t>Petr Musil</w:t>
      </w:r>
      <w:r w:rsidRPr="00793BAD">
        <w:t xml:space="preserve">, ředitel </w:t>
      </w:r>
      <w:r w:rsidR="00793BAD" w:rsidRPr="00793BAD">
        <w:t>odboru vládních a finančních účtů</w:t>
      </w:r>
      <w:r w:rsidRPr="00793BAD">
        <w:t xml:space="preserve"> ČSÚ.</w:t>
      </w:r>
    </w:p>
    <w:p w14:paraId="3177FD4E" w14:textId="6F509608" w:rsidR="00773B0B" w:rsidRDefault="00D67C2A" w:rsidP="00773B0B">
      <w:pPr>
        <w:jc w:val="left"/>
        <w:rPr>
          <w:b/>
          <w:bCs/>
        </w:rPr>
      </w:pPr>
      <w:r>
        <w:rPr>
          <w:b/>
          <w:bCs/>
        </w:rPr>
        <w:t>Notifikační tabulka deficitu a dluhu vládních institucí</w:t>
      </w:r>
    </w:p>
    <w:tbl>
      <w:tblPr>
        <w:tblStyle w:val="TabulkaJVS2-modr"/>
        <w:tblW w:w="9067" w:type="dxa"/>
        <w:tblLayout w:type="fixed"/>
        <w:tblLook w:val="04A0" w:firstRow="1" w:lastRow="0" w:firstColumn="1" w:lastColumn="0" w:noHBand="0" w:noVBand="1"/>
      </w:tblPr>
      <w:tblGrid>
        <w:gridCol w:w="3473"/>
        <w:gridCol w:w="1398"/>
        <w:gridCol w:w="1399"/>
        <w:gridCol w:w="1398"/>
        <w:gridCol w:w="1399"/>
      </w:tblGrid>
      <w:tr w:rsidR="00D67C2A" w14:paraId="7B2B6D50" w14:textId="77777777" w:rsidTr="00A76E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473" w:type="dxa"/>
          </w:tcPr>
          <w:p w14:paraId="47185610" w14:textId="1343DB3E" w:rsidR="00D67C2A" w:rsidRPr="00260DCA" w:rsidRDefault="00D67C2A" w:rsidP="00A019EB">
            <w:r>
              <w:t>Ukazatel</w:t>
            </w:r>
          </w:p>
        </w:tc>
        <w:tc>
          <w:tcPr>
            <w:tcW w:w="1398" w:type="dxa"/>
          </w:tcPr>
          <w:p w14:paraId="0BAA8FF0" w14:textId="7D7AB2CB" w:rsidR="00D67C2A" w:rsidRDefault="00D67C2A" w:rsidP="00BD57E3">
            <w:pPr>
              <w:jc w:val="right"/>
            </w:pPr>
            <w:r>
              <w:t>2022</w:t>
            </w:r>
          </w:p>
        </w:tc>
        <w:tc>
          <w:tcPr>
            <w:tcW w:w="1399" w:type="dxa"/>
          </w:tcPr>
          <w:p w14:paraId="30F99E51" w14:textId="5591D117" w:rsidR="00D67C2A" w:rsidRDefault="00D67C2A" w:rsidP="00BD57E3">
            <w:pPr>
              <w:jc w:val="right"/>
            </w:pPr>
            <w:r>
              <w:t>2023</w:t>
            </w:r>
          </w:p>
        </w:tc>
        <w:tc>
          <w:tcPr>
            <w:tcW w:w="1398" w:type="dxa"/>
          </w:tcPr>
          <w:p w14:paraId="419BC22B" w14:textId="77BCA250" w:rsidR="00D67C2A" w:rsidRDefault="00D67C2A" w:rsidP="00BD57E3">
            <w:pPr>
              <w:jc w:val="right"/>
            </w:pPr>
            <w:r>
              <w:t>2024</w:t>
            </w:r>
          </w:p>
        </w:tc>
        <w:tc>
          <w:tcPr>
            <w:tcW w:w="1399" w:type="dxa"/>
          </w:tcPr>
          <w:p w14:paraId="2960A1C9" w14:textId="4A2C82F4" w:rsidR="00D67C2A" w:rsidRDefault="00D67C2A" w:rsidP="00BD57E3">
            <w:pPr>
              <w:jc w:val="right"/>
            </w:pPr>
            <w:r>
              <w:t>2025</w:t>
            </w:r>
          </w:p>
        </w:tc>
      </w:tr>
      <w:tr w:rsidR="009F2A49" w14:paraId="011B233F" w14:textId="77777777" w:rsidTr="00216227">
        <w:tc>
          <w:tcPr>
            <w:tcW w:w="3473" w:type="dxa"/>
          </w:tcPr>
          <w:p w14:paraId="4C0D9956" w14:textId="76C6FC50" w:rsidR="009F2A49" w:rsidRDefault="009F2A49" w:rsidP="009F2A49">
            <w:r>
              <w:t>Saldo hospodaření v mil. Kč.</w:t>
            </w:r>
          </w:p>
        </w:tc>
        <w:tc>
          <w:tcPr>
            <w:tcW w:w="1398" w:type="dxa"/>
            <w:vAlign w:val="center"/>
          </w:tcPr>
          <w:p w14:paraId="40C05B13" w14:textId="55FE85F9" w:rsidR="009F2A49" w:rsidRDefault="009F2A49" w:rsidP="00BD57E3">
            <w:pPr>
              <w:jc w:val="right"/>
            </w:pPr>
            <w:r>
              <w:rPr>
                <w:rFonts w:ascii="Arial" w:hAnsi="Arial" w:cs="Arial"/>
              </w:rPr>
              <w:t>-213 884</w:t>
            </w:r>
          </w:p>
        </w:tc>
        <w:tc>
          <w:tcPr>
            <w:tcW w:w="1399" w:type="dxa"/>
            <w:vAlign w:val="center"/>
          </w:tcPr>
          <w:p w14:paraId="45623BA5" w14:textId="1A0D1C52" w:rsidR="009F2A49" w:rsidRDefault="009F2A49" w:rsidP="00BD57E3">
            <w:pPr>
              <w:jc w:val="right"/>
            </w:pPr>
            <w:r>
              <w:rPr>
                <w:rFonts w:ascii="Arial" w:hAnsi="Arial" w:cs="Arial"/>
              </w:rPr>
              <w:t>-282 814</w:t>
            </w:r>
          </w:p>
        </w:tc>
        <w:tc>
          <w:tcPr>
            <w:tcW w:w="1398" w:type="dxa"/>
            <w:vAlign w:val="center"/>
          </w:tcPr>
          <w:p w14:paraId="0E12CE2E" w14:textId="3341D2BE" w:rsidR="009F2A49" w:rsidRDefault="009F2A49" w:rsidP="00BD57E3">
            <w:pPr>
              <w:jc w:val="right"/>
            </w:pPr>
            <w:r>
              <w:rPr>
                <w:rFonts w:ascii="Arial" w:hAnsi="Arial" w:cs="Arial"/>
              </w:rPr>
              <w:t>-159 222</w:t>
            </w:r>
          </w:p>
        </w:tc>
        <w:tc>
          <w:tcPr>
            <w:tcW w:w="1399" w:type="dxa"/>
            <w:vAlign w:val="center"/>
          </w:tcPr>
          <w:p w14:paraId="2E72B1C8" w14:textId="1BDEAC75" w:rsidR="009F2A49" w:rsidRDefault="009F2A49" w:rsidP="00BD57E3">
            <w:pPr>
              <w:jc w:val="right"/>
            </w:pPr>
            <w:r>
              <w:rPr>
                <w:rFonts w:ascii="Arial" w:hAnsi="Arial" w:cs="Arial"/>
              </w:rPr>
              <w:t>-185 469</w:t>
            </w:r>
          </w:p>
        </w:tc>
      </w:tr>
      <w:tr w:rsidR="009F2A49" w14:paraId="55A86AF1" w14:textId="77777777" w:rsidTr="00216227">
        <w:tc>
          <w:tcPr>
            <w:tcW w:w="3473" w:type="dxa"/>
          </w:tcPr>
          <w:p w14:paraId="0923D659" w14:textId="0626A96B" w:rsidR="009F2A49" w:rsidRDefault="009F2A49" w:rsidP="009F2A49">
            <w:r>
              <w:t>Saldo hospodaření v % HDP</w:t>
            </w:r>
          </w:p>
        </w:tc>
        <w:tc>
          <w:tcPr>
            <w:tcW w:w="1398" w:type="dxa"/>
            <w:vAlign w:val="center"/>
          </w:tcPr>
          <w:p w14:paraId="3EE2B920" w14:textId="0E5357C1" w:rsidR="009F2A49" w:rsidRDefault="009F2A49" w:rsidP="00BD57E3">
            <w:pPr>
              <w:jc w:val="right"/>
            </w:pPr>
            <w:r>
              <w:rPr>
                <w:rFonts w:ascii="Arial" w:hAnsi="Arial" w:cs="Arial"/>
              </w:rPr>
              <w:t>-3,0</w:t>
            </w:r>
          </w:p>
        </w:tc>
        <w:tc>
          <w:tcPr>
            <w:tcW w:w="1399" w:type="dxa"/>
            <w:vAlign w:val="center"/>
          </w:tcPr>
          <w:p w14:paraId="12F32612" w14:textId="563BC7E4" w:rsidR="009F2A49" w:rsidRDefault="009F2A49" w:rsidP="00BD57E3">
            <w:pPr>
              <w:jc w:val="right"/>
            </w:pPr>
            <w:r>
              <w:rPr>
                <w:rFonts w:ascii="Arial" w:hAnsi="Arial" w:cs="Arial"/>
              </w:rPr>
              <w:t>-3,7</w:t>
            </w:r>
          </w:p>
        </w:tc>
        <w:tc>
          <w:tcPr>
            <w:tcW w:w="1398" w:type="dxa"/>
            <w:vAlign w:val="center"/>
          </w:tcPr>
          <w:p w14:paraId="7BBB6C2C" w14:textId="446B3347" w:rsidR="009F2A49" w:rsidRDefault="009F2A49" w:rsidP="00BD57E3">
            <w:pPr>
              <w:jc w:val="right"/>
            </w:pPr>
            <w:r>
              <w:rPr>
                <w:rFonts w:ascii="Arial" w:hAnsi="Arial" w:cs="Arial"/>
              </w:rPr>
              <w:t>-2,0</w:t>
            </w:r>
          </w:p>
        </w:tc>
        <w:tc>
          <w:tcPr>
            <w:tcW w:w="1399" w:type="dxa"/>
            <w:vAlign w:val="center"/>
          </w:tcPr>
          <w:p w14:paraId="1AE4C6B9" w14:textId="592A4B3B" w:rsidR="009F2A49" w:rsidRDefault="009F2A49" w:rsidP="00BD57E3">
            <w:pPr>
              <w:jc w:val="right"/>
            </w:pPr>
            <w:r>
              <w:rPr>
                <w:rFonts w:ascii="Arial" w:hAnsi="Arial" w:cs="Arial"/>
              </w:rPr>
              <w:t>-2,2</w:t>
            </w:r>
          </w:p>
        </w:tc>
      </w:tr>
      <w:tr w:rsidR="009F2A49" w14:paraId="7EF94FB6" w14:textId="77777777" w:rsidTr="00216227">
        <w:tc>
          <w:tcPr>
            <w:tcW w:w="3473" w:type="dxa"/>
          </w:tcPr>
          <w:p w14:paraId="391B812F" w14:textId="2F278B17" w:rsidR="009F2A49" w:rsidRDefault="009F2A49" w:rsidP="009F2A49">
            <w:r>
              <w:t>Konsolidovaný hrubý dluh v mil. Kč.</w:t>
            </w:r>
          </w:p>
        </w:tc>
        <w:tc>
          <w:tcPr>
            <w:tcW w:w="1398" w:type="dxa"/>
            <w:vAlign w:val="center"/>
          </w:tcPr>
          <w:p w14:paraId="6F37B58C" w14:textId="5A5404CA" w:rsidR="009F2A49" w:rsidRDefault="009F2A49" w:rsidP="00BD57E3">
            <w:pPr>
              <w:jc w:val="right"/>
            </w:pPr>
            <w:r>
              <w:rPr>
                <w:rFonts w:ascii="Arial" w:hAnsi="Arial" w:cs="Arial"/>
              </w:rPr>
              <w:t>2 997 632</w:t>
            </w:r>
          </w:p>
        </w:tc>
        <w:tc>
          <w:tcPr>
            <w:tcW w:w="1399" w:type="dxa"/>
            <w:vAlign w:val="center"/>
          </w:tcPr>
          <w:p w14:paraId="75E5D8F3" w14:textId="5360D40B" w:rsidR="009F2A49" w:rsidRDefault="009F2A49" w:rsidP="00BD57E3">
            <w:pPr>
              <w:jc w:val="right"/>
            </w:pPr>
            <w:r>
              <w:rPr>
                <w:rFonts w:ascii="Arial" w:hAnsi="Arial" w:cs="Arial"/>
              </w:rPr>
              <w:t>3 234 102</w:t>
            </w:r>
          </w:p>
        </w:tc>
        <w:tc>
          <w:tcPr>
            <w:tcW w:w="1398" w:type="dxa"/>
            <w:vAlign w:val="center"/>
          </w:tcPr>
          <w:p w14:paraId="74104DD0" w14:textId="39B24DED" w:rsidR="009F2A49" w:rsidRDefault="009F2A49" w:rsidP="00BD57E3">
            <w:pPr>
              <w:jc w:val="right"/>
            </w:pPr>
            <w:r>
              <w:rPr>
                <w:rFonts w:ascii="Arial" w:hAnsi="Arial" w:cs="Arial"/>
              </w:rPr>
              <w:t>3 488 500</w:t>
            </w:r>
          </w:p>
        </w:tc>
        <w:tc>
          <w:tcPr>
            <w:tcW w:w="1399" w:type="dxa"/>
            <w:vAlign w:val="center"/>
          </w:tcPr>
          <w:p w14:paraId="473CB505" w14:textId="0C9BC489" w:rsidR="009F2A49" w:rsidRDefault="009F2A49" w:rsidP="00BD57E3">
            <w:pPr>
              <w:jc w:val="right"/>
            </w:pPr>
            <w:r>
              <w:rPr>
                <w:rFonts w:ascii="Arial" w:hAnsi="Arial" w:cs="Arial"/>
              </w:rPr>
              <w:t>3 787 253</w:t>
            </w:r>
          </w:p>
        </w:tc>
      </w:tr>
      <w:tr w:rsidR="009F2A49" w14:paraId="6DC5E6DA" w14:textId="77777777" w:rsidTr="00216227">
        <w:tc>
          <w:tcPr>
            <w:tcW w:w="3473" w:type="dxa"/>
          </w:tcPr>
          <w:p w14:paraId="3F940C1F" w14:textId="7DE1499C" w:rsidR="009F2A49" w:rsidRDefault="009F2A49" w:rsidP="009F2A49">
            <w:r>
              <w:t>Konsolidovaný hrubý dluh v % HDP</w:t>
            </w:r>
          </w:p>
        </w:tc>
        <w:tc>
          <w:tcPr>
            <w:tcW w:w="1398" w:type="dxa"/>
            <w:vAlign w:val="center"/>
          </w:tcPr>
          <w:p w14:paraId="2DA1E033" w14:textId="073C11F1" w:rsidR="009F2A49" w:rsidRDefault="009F2A49" w:rsidP="00BD57E3">
            <w:pPr>
              <w:jc w:val="right"/>
            </w:pPr>
            <w:r>
              <w:rPr>
                <w:rFonts w:ascii="Arial" w:hAnsi="Arial" w:cs="Arial"/>
              </w:rPr>
              <w:t>42,5</w:t>
            </w:r>
          </w:p>
        </w:tc>
        <w:tc>
          <w:tcPr>
            <w:tcW w:w="1399" w:type="dxa"/>
            <w:vAlign w:val="center"/>
          </w:tcPr>
          <w:p w14:paraId="3C9D9058" w14:textId="70696581" w:rsidR="009F2A49" w:rsidRDefault="009F2A49" w:rsidP="00BD57E3">
            <w:pPr>
              <w:jc w:val="right"/>
            </w:pPr>
            <w:r>
              <w:rPr>
                <w:rFonts w:ascii="Arial" w:hAnsi="Arial" w:cs="Arial"/>
              </w:rPr>
              <w:t>42,2</w:t>
            </w:r>
          </w:p>
        </w:tc>
        <w:tc>
          <w:tcPr>
            <w:tcW w:w="1398" w:type="dxa"/>
            <w:vAlign w:val="center"/>
          </w:tcPr>
          <w:p w14:paraId="267C56AC" w14:textId="301987C9" w:rsidR="009F2A49" w:rsidRDefault="009F2A49" w:rsidP="00BD57E3">
            <w:pPr>
              <w:jc w:val="right"/>
            </w:pPr>
            <w:r>
              <w:rPr>
                <w:rFonts w:ascii="Arial" w:hAnsi="Arial" w:cs="Arial"/>
              </w:rPr>
              <w:t>43,2</w:t>
            </w:r>
          </w:p>
        </w:tc>
        <w:tc>
          <w:tcPr>
            <w:tcW w:w="1399" w:type="dxa"/>
            <w:vAlign w:val="center"/>
          </w:tcPr>
          <w:p w14:paraId="3622BD53" w14:textId="2EC61250" w:rsidR="009F2A49" w:rsidRDefault="009F2A49" w:rsidP="00BD57E3">
            <w:pPr>
              <w:jc w:val="right"/>
            </w:pPr>
            <w:r>
              <w:rPr>
                <w:rFonts w:ascii="Arial" w:hAnsi="Arial" w:cs="Arial"/>
              </w:rPr>
              <w:t>44,2</w:t>
            </w:r>
          </w:p>
        </w:tc>
      </w:tr>
    </w:tbl>
    <w:p w14:paraId="6231E642" w14:textId="627F372A" w:rsidR="00B6024F" w:rsidRPr="00773B0B" w:rsidRDefault="00B6024F" w:rsidP="00B6024F">
      <w:pPr>
        <w:pStyle w:val="Nadpis6"/>
      </w:pPr>
      <w:r>
        <w:t>Saldo hospodaření</w:t>
      </w:r>
    </w:p>
    <w:p w14:paraId="73ECE6D3" w14:textId="17D3CD59" w:rsidR="00C90F2F" w:rsidRPr="001227FF" w:rsidRDefault="00C90F2F" w:rsidP="00C90F2F">
      <w:pPr>
        <w:jc w:val="left"/>
        <w:rPr>
          <w:rFonts w:cs="Arial"/>
        </w:rPr>
      </w:pPr>
      <w:r w:rsidRPr="00AF05E0">
        <w:rPr>
          <w:rFonts w:cs="Arial"/>
        </w:rPr>
        <w:t xml:space="preserve">Největší část deficitu </w:t>
      </w:r>
      <w:r w:rsidR="00DF0CB8" w:rsidRPr="00AF05E0">
        <w:rPr>
          <w:rFonts w:cs="Arial"/>
        </w:rPr>
        <w:t>připad</w:t>
      </w:r>
      <w:r w:rsidR="00DF0CB8">
        <w:rPr>
          <w:rFonts w:cs="Arial"/>
        </w:rPr>
        <w:t>l</w:t>
      </w:r>
      <w:r w:rsidR="00026156">
        <w:rPr>
          <w:rFonts w:cs="Arial"/>
        </w:rPr>
        <w:t>a</w:t>
      </w:r>
      <w:r w:rsidR="00DF0CB8" w:rsidRPr="00AF05E0">
        <w:rPr>
          <w:rFonts w:cs="Arial"/>
        </w:rPr>
        <w:t xml:space="preserve"> </w:t>
      </w:r>
      <w:r w:rsidRPr="00AF05E0">
        <w:rPr>
          <w:rFonts w:cs="Arial"/>
        </w:rPr>
        <w:t>na subsektor ústředních vládních institucí, kter</w:t>
      </w:r>
      <w:r w:rsidR="00DF0CB8">
        <w:rPr>
          <w:rFonts w:cs="Arial"/>
        </w:rPr>
        <w:t>ý</w:t>
      </w:r>
      <w:r w:rsidRPr="00AF05E0">
        <w:rPr>
          <w:rFonts w:cs="Arial"/>
        </w:rPr>
        <w:t xml:space="preserve"> skončil ve schodku </w:t>
      </w:r>
      <w:r w:rsidR="00AF05E0" w:rsidRPr="00AF05E0">
        <w:rPr>
          <w:rFonts w:cs="Arial"/>
        </w:rPr>
        <w:t>202,6</w:t>
      </w:r>
      <w:r w:rsidRPr="00AF05E0">
        <w:rPr>
          <w:rFonts w:cs="Arial"/>
        </w:rPr>
        <w:t xml:space="preserve"> mld. Kč, místní vládní instituce skončily v přebytku 2</w:t>
      </w:r>
      <w:r w:rsidR="00AF05E0" w:rsidRPr="00AF05E0">
        <w:rPr>
          <w:rFonts w:cs="Arial"/>
        </w:rPr>
        <w:t>8</w:t>
      </w:r>
      <w:r w:rsidRPr="00AF05E0">
        <w:rPr>
          <w:rFonts w:cs="Arial"/>
        </w:rPr>
        <w:t>,</w:t>
      </w:r>
      <w:r w:rsidR="00AF05E0" w:rsidRPr="00AF05E0">
        <w:rPr>
          <w:rFonts w:cs="Arial"/>
        </w:rPr>
        <w:t>3</w:t>
      </w:r>
      <w:r w:rsidRPr="00AF05E0">
        <w:rPr>
          <w:rFonts w:cs="Arial"/>
        </w:rPr>
        <w:t> mld. Kč a subsektor fondů sociálního zabezpečení (zdravotních pojišťoven) v deficitu 1</w:t>
      </w:r>
      <w:r w:rsidR="00AF05E0" w:rsidRPr="00AF05E0">
        <w:rPr>
          <w:rFonts w:cs="Arial"/>
        </w:rPr>
        <w:t>1</w:t>
      </w:r>
      <w:r w:rsidRPr="00AF05E0">
        <w:rPr>
          <w:rFonts w:cs="Arial"/>
        </w:rPr>
        <w:t>,</w:t>
      </w:r>
      <w:r w:rsidR="00AF05E0" w:rsidRPr="00AF05E0">
        <w:rPr>
          <w:rFonts w:cs="Arial"/>
        </w:rPr>
        <w:t>2</w:t>
      </w:r>
      <w:r w:rsidRPr="00AF05E0">
        <w:rPr>
          <w:rFonts w:cs="Arial"/>
        </w:rPr>
        <w:t> mld. Kč.</w:t>
      </w:r>
    </w:p>
    <w:p w14:paraId="566302DC" w14:textId="3852BEB5" w:rsidR="004D273A" w:rsidRPr="00DC6321" w:rsidRDefault="004D273A" w:rsidP="004D273A">
      <w:pPr>
        <w:jc w:val="left"/>
        <w:rPr>
          <w:rFonts w:cs="Arial"/>
        </w:rPr>
      </w:pPr>
      <w:r w:rsidRPr="00DC6321">
        <w:rPr>
          <w:rFonts w:cs="Arial"/>
        </w:rPr>
        <w:t xml:space="preserve">Celkové příjmy sektoru vládních institucí vzrostly v roce 2025 meziročně o </w:t>
      </w:r>
      <w:r w:rsidR="00DC6321" w:rsidRPr="00DC6321">
        <w:rPr>
          <w:rFonts w:cs="Arial"/>
        </w:rPr>
        <w:t>6,2</w:t>
      </w:r>
      <w:r w:rsidRPr="00DC6321">
        <w:rPr>
          <w:rFonts w:cs="Arial"/>
        </w:rPr>
        <w:t xml:space="preserve"> %, což v absolutním vyjádření představovalo nárůst o </w:t>
      </w:r>
      <w:r w:rsidR="00DC6321" w:rsidRPr="00DC6321">
        <w:rPr>
          <w:rFonts w:cs="Arial"/>
        </w:rPr>
        <w:t>204,9</w:t>
      </w:r>
      <w:r w:rsidRPr="00DC6321">
        <w:rPr>
          <w:rFonts w:cs="Arial"/>
        </w:rPr>
        <w:t xml:space="preserve"> mld. Kč. Nejvíce </w:t>
      </w:r>
      <w:r w:rsidR="00DC6321" w:rsidRPr="00DC6321">
        <w:rPr>
          <w:rFonts w:cs="Arial"/>
        </w:rPr>
        <w:t xml:space="preserve">v absolutním vyjádření </w:t>
      </w:r>
      <w:r w:rsidRPr="00DC6321">
        <w:rPr>
          <w:rFonts w:cs="Arial"/>
        </w:rPr>
        <w:t>rostly přijaté sociální příspěvky</w:t>
      </w:r>
      <w:r w:rsidR="00DC6321" w:rsidRPr="00DC6321">
        <w:rPr>
          <w:rFonts w:cs="Arial"/>
        </w:rPr>
        <w:t xml:space="preserve"> (80,2 mld. Kč)</w:t>
      </w:r>
      <w:r w:rsidRPr="00DC6321">
        <w:rPr>
          <w:rFonts w:cs="Arial"/>
        </w:rPr>
        <w:t xml:space="preserve">, příjmy z daní z příjmu </w:t>
      </w:r>
      <w:r w:rsidR="00DC6321" w:rsidRPr="00DC6321">
        <w:rPr>
          <w:rFonts w:cs="Arial"/>
        </w:rPr>
        <w:t xml:space="preserve">(41,4 mld. Kč) </w:t>
      </w:r>
      <w:r w:rsidRPr="00DC6321">
        <w:rPr>
          <w:rFonts w:cs="Arial"/>
        </w:rPr>
        <w:t>a z daní z výroby a dovozu</w:t>
      </w:r>
      <w:r w:rsidR="00DC6321" w:rsidRPr="00DC6321">
        <w:rPr>
          <w:rFonts w:cs="Arial"/>
        </w:rPr>
        <w:t xml:space="preserve"> (44,0 mld. Kč)</w:t>
      </w:r>
      <w:r w:rsidRPr="00DC6321">
        <w:rPr>
          <w:rFonts w:cs="Arial"/>
        </w:rPr>
        <w:t xml:space="preserve">. </w:t>
      </w:r>
    </w:p>
    <w:p w14:paraId="35E29D48" w14:textId="619E3D7E" w:rsidR="004D273A" w:rsidRPr="0088431E" w:rsidRDefault="004D273A" w:rsidP="004D273A">
      <w:pPr>
        <w:jc w:val="left"/>
        <w:rPr>
          <w:rFonts w:cs="Arial"/>
        </w:rPr>
      </w:pPr>
      <w:r w:rsidRPr="0088431E">
        <w:rPr>
          <w:rFonts w:cs="Arial"/>
        </w:rPr>
        <w:t>Celkové výdaje sektoru vládních institucí meziročně vzrostly v roce 2025 o 6,</w:t>
      </w:r>
      <w:r w:rsidR="0088431E" w:rsidRPr="0088431E">
        <w:rPr>
          <w:rFonts w:cs="Arial"/>
        </w:rPr>
        <w:t>6</w:t>
      </w:r>
      <w:r w:rsidRPr="0088431E">
        <w:rPr>
          <w:rFonts w:cs="Arial"/>
        </w:rPr>
        <w:t xml:space="preserve"> %, resp. 2</w:t>
      </w:r>
      <w:r w:rsidR="0088431E" w:rsidRPr="0088431E">
        <w:rPr>
          <w:rFonts w:cs="Arial"/>
        </w:rPr>
        <w:t>31,1</w:t>
      </w:r>
      <w:r w:rsidRPr="0088431E">
        <w:rPr>
          <w:rFonts w:cs="Arial"/>
        </w:rPr>
        <w:t> mld. Kč. Největší nárůst byl zaznamenán u tvorby hrubého fixního kapitálu</w:t>
      </w:r>
      <w:r w:rsidR="0088431E" w:rsidRPr="0088431E">
        <w:rPr>
          <w:rFonts w:cs="Arial"/>
        </w:rPr>
        <w:t xml:space="preserve"> (65,5 mld. Kč)</w:t>
      </w:r>
      <w:r w:rsidRPr="0088431E">
        <w:rPr>
          <w:rFonts w:cs="Arial"/>
        </w:rPr>
        <w:t xml:space="preserve">, vyplacených náhrad zaměstnancům </w:t>
      </w:r>
      <w:r w:rsidR="0088431E" w:rsidRPr="0088431E">
        <w:rPr>
          <w:rFonts w:cs="Arial"/>
        </w:rPr>
        <w:t xml:space="preserve">(56,7 mld. Kč) </w:t>
      </w:r>
      <w:r w:rsidRPr="0088431E">
        <w:rPr>
          <w:rFonts w:cs="Arial"/>
        </w:rPr>
        <w:t>a vyplacených sociálních dávek</w:t>
      </w:r>
      <w:r w:rsidR="0088431E" w:rsidRPr="0088431E">
        <w:rPr>
          <w:rFonts w:cs="Arial"/>
        </w:rPr>
        <w:t xml:space="preserve"> (40,5 mld. Kč)</w:t>
      </w:r>
      <w:r w:rsidRPr="0088431E">
        <w:rPr>
          <w:rFonts w:cs="Arial"/>
        </w:rPr>
        <w:t xml:space="preserve">. </w:t>
      </w:r>
    </w:p>
    <w:p w14:paraId="5BBBEC70" w14:textId="5873A72C" w:rsidR="00C90F2F" w:rsidRPr="00C472C6" w:rsidRDefault="00924387" w:rsidP="00B6024F">
      <w:pPr>
        <w:jc w:val="left"/>
        <w:rPr>
          <w:rFonts w:cs="Arial"/>
        </w:rPr>
      </w:pPr>
      <w:r w:rsidRPr="00C472C6">
        <w:rPr>
          <w:rFonts w:cs="Arial"/>
        </w:rPr>
        <w:t xml:space="preserve">Oproti jarním notifikacím se saldo hospodaření v roce 2025 zhoršilo </w:t>
      </w:r>
      <w:r w:rsidR="00026156">
        <w:rPr>
          <w:rFonts w:cs="Arial"/>
        </w:rPr>
        <w:t xml:space="preserve">o </w:t>
      </w:r>
      <w:r w:rsidRPr="00C472C6">
        <w:rPr>
          <w:rFonts w:cs="Arial"/>
        </w:rPr>
        <w:t xml:space="preserve">0,1 p. b. </w:t>
      </w:r>
      <w:r w:rsidR="00C472C6" w:rsidRPr="00C472C6">
        <w:rPr>
          <w:rFonts w:cs="Arial"/>
        </w:rPr>
        <w:t>především v důsledku aktualizovaných informací o dani z příjmu právnických osob</w:t>
      </w:r>
      <w:r w:rsidR="00C472C6">
        <w:rPr>
          <w:rFonts w:cs="Arial"/>
        </w:rPr>
        <w:t xml:space="preserve">. Ve všech letech došlo ke zpřesnění </w:t>
      </w:r>
      <w:r w:rsidR="00376F84">
        <w:rPr>
          <w:rFonts w:cs="Arial"/>
        </w:rPr>
        <w:t xml:space="preserve">údajů o </w:t>
      </w:r>
      <w:r w:rsidR="00B65670">
        <w:rPr>
          <w:rFonts w:cs="Arial"/>
        </w:rPr>
        <w:t xml:space="preserve">přijatých sociálních </w:t>
      </w:r>
      <w:r w:rsidR="0081159E">
        <w:rPr>
          <w:rFonts w:cs="Arial"/>
        </w:rPr>
        <w:t>příspěv</w:t>
      </w:r>
      <w:r w:rsidR="00376F84">
        <w:rPr>
          <w:rFonts w:cs="Arial"/>
        </w:rPr>
        <w:t>cích</w:t>
      </w:r>
      <w:r w:rsidR="0081159E">
        <w:rPr>
          <w:rFonts w:cs="Arial"/>
        </w:rPr>
        <w:t xml:space="preserve"> na zdravotní pojištění, což znamenalo zvýšení příjmů vládních institucí. Vliv na relativní ukazatel salda hospodaření byl 0,1 p. b. v </w:t>
      </w:r>
      <w:r w:rsidR="00B65670">
        <w:rPr>
          <w:rFonts w:cs="Arial"/>
        </w:rPr>
        <w:t xml:space="preserve">letech </w:t>
      </w:r>
      <w:r w:rsidR="0081159E">
        <w:rPr>
          <w:rFonts w:cs="Arial"/>
        </w:rPr>
        <w:t>2024 a 2025.</w:t>
      </w:r>
    </w:p>
    <w:p w14:paraId="3448C0BD" w14:textId="77777777" w:rsidR="00C90F2F" w:rsidRDefault="00C90F2F" w:rsidP="00B6024F">
      <w:pPr>
        <w:jc w:val="left"/>
      </w:pPr>
    </w:p>
    <w:p w14:paraId="18CF186D" w14:textId="77777777" w:rsidR="00C90F2F" w:rsidRDefault="00C90F2F" w:rsidP="00B6024F">
      <w:pPr>
        <w:jc w:val="left"/>
      </w:pPr>
    </w:p>
    <w:p w14:paraId="0A88EFFC" w14:textId="77777777" w:rsidR="00C90F2F" w:rsidRDefault="00C90F2F" w:rsidP="00B6024F">
      <w:pPr>
        <w:jc w:val="left"/>
      </w:pPr>
    </w:p>
    <w:p w14:paraId="4A222360" w14:textId="4D7C10F3" w:rsidR="001B5603" w:rsidRPr="00773B0B" w:rsidRDefault="001B5603" w:rsidP="001B5603">
      <w:pPr>
        <w:pStyle w:val="Nadpis6"/>
      </w:pPr>
      <w:r>
        <w:t>Dluh</w:t>
      </w:r>
    </w:p>
    <w:p w14:paraId="57CE6F4C" w14:textId="1013B1C8" w:rsidR="00546E9A" w:rsidRPr="00B668F1" w:rsidRDefault="00546E9A" w:rsidP="00546E9A">
      <w:pPr>
        <w:jc w:val="left"/>
        <w:rPr>
          <w:rFonts w:cs="Arial"/>
        </w:rPr>
      </w:pPr>
      <w:r w:rsidRPr="00B668F1">
        <w:rPr>
          <w:rFonts w:cs="Arial"/>
        </w:rPr>
        <w:t>Relativní výše dluhu vládních institucí na konci roku 2025 dosáhla úrovně 44,</w:t>
      </w:r>
      <w:r w:rsidR="007228DD" w:rsidRPr="00B668F1">
        <w:rPr>
          <w:rFonts w:cs="Arial"/>
        </w:rPr>
        <w:t>2</w:t>
      </w:r>
      <w:r w:rsidRPr="00B668F1">
        <w:rPr>
          <w:rFonts w:cs="Arial"/>
        </w:rPr>
        <w:t xml:space="preserve"> % HDP. Meziročně došlo k růstu výše relativní zadluženosti o 0</w:t>
      </w:r>
      <w:r w:rsidR="00B668F1" w:rsidRPr="00B668F1">
        <w:rPr>
          <w:rFonts w:cs="Arial"/>
        </w:rPr>
        <w:t>,9</w:t>
      </w:r>
      <w:r w:rsidRPr="00B668F1">
        <w:rPr>
          <w:rFonts w:cs="Arial"/>
        </w:rPr>
        <w:t xml:space="preserve"> p. b. Ke snížení relativní výše zadlužení přispěl nárůst nominálního HDP (-2,5 p. b.), zatímco nominální růst dluhu přispěl ve vztahu k HDP ke zvýšení o 3,5 p. b.</w:t>
      </w:r>
    </w:p>
    <w:p w14:paraId="7F595D64" w14:textId="68EB9897" w:rsidR="00546E9A" w:rsidRDefault="00E4075E" w:rsidP="00546E9A">
      <w:pPr>
        <w:jc w:val="left"/>
        <w:rPr>
          <w:b/>
          <w:bCs/>
        </w:rPr>
      </w:pPr>
      <w:r>
        <w:rPr>
          <w:b/>
          <w:bCs/>
        </w:rPr>
        <w:t xml:space="preserve">Graf: </w:t>
      </w:r>
      <w:r w:rsidR="00546E9A">
        <w:rPr>
          <w:b/>
          <w:bCs/>
        </w:rPr>
        <w:t>Meziroční relativní změna zadlužení</w:t>
      </w:r>
    </w:p>
    <w:p w14:paraId="54432B5F" w14:textId="108E90B5" w:rsidR="004D6E16" w:rsidRDefault="004D6E16" w:rsidP="00546E9A">
      <w:pPr>
        <w:jc w:val="left"/>
        <w:rPr>
          <w:rFonts w:cs="Arial"/>
        </w:rPr>
      </w:pPr>
      <w:r>
        <w:rPr>
          <w:noProof/>
        </w:rPr>
        <w:drawing>
          <wp:inline distT="0" distB="0" distL="0" distR="0" wp14:anchorId="4852324A" wp14:editId="2720548F">
            <wp:extent cx="5600700" cy="2771775"/>
            <wp:effectExtent l="0" t="0" r="0" b="0"/>
            <wp:docPr id="1743215386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504071E1" w14:textId="77777777" w:rsidR="004D6E16" w:rsidRDefault="004D6E16" w:rsidP="00546E9A">
      <w:pPr>
        <w:jc w:val="left"/>
        <w:rPr>
          <w:rFonts w:cs="Arial"/>
        </w:rPr>
      </w:pPr>
    </w:p>
    <w:p w14:paraId="2A2A82DF" w14:textId="11A25DBA" w:rsidR="00546E9A" w:rsidRPr="00B668F1" w:rsidRDefault="00546E9A" w:rsidP="00546E9A">
      <w:pPr>
        <w:jc w:val="left"/>
        <w:rPr>
          <w:rFonts w:cs="Arial"/>
        </w:rPr>
      </w:pPr>
      <w:r w:rsidRPr="00B668F1">
        <w:rPr>
          <w:rFonts w:cs="Arial"/>
        </w:rPr>
        <w:t>Dluh na konci roku 2025 se meziročně zvýšil o 29</w:t>
      </w:r>
      <w:r w:rsidR="00692BE9">
        <w:rPr>
          <w:rFonts w:cs="Arial"/>
        </w:rPr>
        <w:t>8</w:t>
      </w:r>
      <w:r w:rsidRPr="00B668F1">
        <w:rPr>
          <w:rFonts w:cs="Arial"/>
        </w:rPr>
        <w:t>,</w:t>
      </w:r>
      <w:r w:rsidR="00692BE9">
        <w:rPr>
          <w:rFonts w:cs="Arial"/>
        </w:rPr>
        <w:t>8</w:t>
      </w:r>
      <w:r w:rsidRPr="00B668F1">
        <w:rPr>
          <w:rFonts w:cs="Arial"/>
        </w:rPr>
        <w:t xml:space="preserve"> mld. Kč a dosáhl 3 78</w:t>
      </w:r>
      <w:r w:rsidR="00692BE9">
        <w:rPr>
          <w:rFonts w:cs="Arial"/>
        </w:rPr>
        <w:t>7</w:t>
      </w:r>
      <w:r w:rsidRPr="00B668F1">
        <w:rPr>
          <w:rFonts w:cs="Arial"/>
        </w:rPr>
        <w:t>,</w:t>
      </w:r>
      <w:r w:rsidR="00692BE9">
        <w:rPr>
          <w:rFonts w:cs="Arial"/>
        </w:rPr>
        <w:t>3</w:t>
      </w:r>
      <w:r w:rsidRPr="00B668F1">
        <w:rPr>
          <w:rFonts w:cs="Arial"/>
        </w:rPr>
        <w:t xml:space="preserve"> mld. Kč. Převážná část meziroční změny připadá na emitované dluhové cenné papíry (276,</w:t>
      </w:r>
      <w:r w:rsidR="00692BE9">
        <w:rPr>
          <w:rFonts w:cs="Arial"/>
        </w:rPr>
        <w:t>9</w:t>
      </w:r>
      <w:r w:rsidRPr="00B668F1">
        <w:rPr>
          <w:rFonts w:cs="Arial"/>
        </w:rPr>
        <w:t xml:space="preserve"> mld. Kč).</w:t>
      </w:r>
    </w:p>
    <w:p w14:paraId="5038535D" w14:textId="7731FA48" w:rsidR="00546E9A" w:rsidRPr="006D132B" w:rsidRDefault="00546E9A" w:rsidP="00546E9A">
      <w:pPr>
        <w:jc w:val="left"/>
        <w:rPr>
          <w:rFonts w:cs="Arial"/>
        </w:rPr>
      </w:pPr>
      <w:r w:rsidRPr="00B668F1">
        <w:rPr>
          <w:rFonts w:cs="Arial"/>
        </w:rPr>
        <w:t>V roce 2025 byla meziroční změna dluhu (nárůst 29</w:t>
      </w:r>
      <w:r w:rsidR="00692BE9">
        <w:rPr>
          <w:rFonts w:cs="Arial"/>
        </w:rPr>
        <w:t>8</w:t>
      </w:r>
      <w:r w:rsidRPr="00B668F1">
        <w:rPr>
          <w:rFonts w:cs="Arial"/>
        </w:rPr>
        <w:t>,</w:t>
      </w:r>
      <w:r w:rsidR="00692BE9">
        <w:rPr>
          <w:rFonts w:cs="Arial"/>
        </w:rPr>
        <w:t>8</w:t>
      </w:r>
      <w:r w:rsidRPr="00B668F1">
        <w:rPr>
          <w:rFonts w:cs="Arial"/>
        </w:rPr>
        <w:t xml:space="preserve"> mld. Kč) výrazně odlišná od výsledku hospodaření (schodek 18</w:t>
      </w:r>
      <w:r w:rsidR="00B668F1" w:rsidRPr="00B668F1">
        <w:rPr>
          <w:rFonts w:cs="Arial"/>
        </w:rPr>
        <w:t>5</w:t>
      </w:r>
      <w:r w:rsidRPr="00B668F1">
        <w:rPr>
          <w:rFonts w:cs="Arial"/>
        </w:rPr>
        <w:t>,</w:t>
      </w:r>
      <w:r w:rsidR="00B668F1" w:rsidRPr="00B668F1">
        <w:rPr>
          <w:rFonts w:cs="Arial"/>
        </w:rPr>
        <w:t>5</w:t>
      </w:r>
      <w:r w:rsidRPr="00B668F1">
        <w:rPr>
          <w:rFonts w:cs="Arial"/>
        </w:rPr>
        <w:t xml:space="preserve"> mld. Kč), což znamená, že si vládní instituce vypůjčily o 11</w:t>
      </w:r>
      <w:r w:rsidR="00692BE9">
        <w:rPr>
          <w:rFonts w:cs="Arial"/>
        </w:rPr>
        <w:t>3</w:t>
      </w:r>
      <w:r w:rsidRPr="00B668F1">
        <w:rPr>
          <w:rFonts w:cs="Arial"/>
        </w:rPr>
        <w:t>,</w:t>
      </w:r>
      <w:r w:rsidR="00692BE9">
        <w:rPr>
          <w:rFonts w:cs="Arial"/>
        </w:rPr>
        <w:t>3</w:t>
      </w:r>
      <w:r w:rsidRPr="00B668F1">
        <w:rPr>
          <w:rFonts w:cs="Arial"/>
        </w:rPr>
        <w:t> mld. Kč více, než činila potřeba financování</w:t>
      </w:r>
      <w:r w:rsidRPr="006D132B">
        <w:rPr>
          <w:rFonts w:cs="Arial"/>
        </w:rPr>
        <w:t>. Tato skutečnost se na straně aktiv projevila nárůstem hodnoty držených finančních aktiv, zejména</w:t>
      </w:r>
      <w:r w:rsidR="00500517" w:rsidRPr="006D132B">
        <w:rPr>
          <w:rFonts w:cs="Arial"/>
        </w:rPr>
        <w:t xml:space="preserve"> </w:t>
      </w:r>
      <w:r w:rsidRPr="006D132B">
        <w:rPr>
          <w:rFonts w:cs="Arial"/>
        </w:rPr>
        <w:t>vkladů.</w:t>
      </w:r>
    </w:p>
    <w:p w14:paraId="2CB87F6A" w14:textId="0E1FBADC" w:rsidR="001B5603" w:rsidRDefault="001B5603" w:rsidP="001B5603">
      <w:pPr>
        <w:jc w:val="left"/>
      </w:pPr>
      <w:r>
        <w:t>Ukazatele uvedené v notifikační tabulce byly 30. září 2026 odeslány Eurostatu.</w:t>
      </w:r>
    </w:p>
    <w:p w14:paraId="4F91AE4C" w14:textId="497A93AA" w:rsidR="00985B76" w:rsidRPr="00CA15B7" w:rsidRDefault="002C4C20" w:rsidP="00820D78">
      <w:pPr>
        <w:pStyle w:val="Poznmky0"/>
        <w:jc w:val="left"/>
        <w:rPr>
          <w:rFonts w:cs="Arial"/>
          <w:i w:val="0"/>
        </w:rPr>
      </w:pPr>
      <w:r>
        <w:t xml:space="preserve">Poznámky: </w:t>
      </w:r>
      <w:r w:rsidR="00985B76" w:rsidRPr="00CA15B7">
        <w:rPr>
          <w:rFonts w:cs="Arial"/>
        </w:rPr>
        <w:t xml:space="preserve">Notifikaci deficitu a dluhu vládních institucí sestavuje a předkládá Evropské komisi každá členská země Evropské unie vždy za čtyři uplynulé roky a formou projekce </w:t>
      </w:r>
      <w:r w:rsidR="00985B76">
        <w:rPr>
          <w:rFonts w:cs="Arial"/>
        </w:rPr>
        <w:t>za</w:t>
      </w:r>
      <w:r w:rsidR="00985B76" w:rsidRPr="00CA15B7">
        <w:rPr>
          <w:rFonts w:cs="Arial"/>
        </w:rPr>
        <w:t xml:space="preserve"> běžný rok, a to vždy ke konci března a září. Projekci běžného roku sestavuje a publikuje Ministerstvo financí. Kvantifikace fiskálních ukazatelů je založena na metodice Evropského systému národních účtů (ESA 2010)</w:t>
      </w:r>
      <w:r w:rsidR="00985B76">
        <w:rPr>
          <w:rFonts w:cs="Arial"/>
        </w:rPr>
        <w:t xml:space="preserve"> a slouží </w:t>
      </w:r>
      <w:r w:rsidR="002B1BA1">
        <w:rPr>
          <w:rFonts w:cs="Arial"/>
        </w:rPr>
        <w:t>k hodnocení</w:t>
      </w:r>
      <w:r w:rsidR="00985B76">
        <w:rPr>
          <w:rFonts w:cs="Arial"/>
        </w:rPr>
        <w:t xml:space="preserve"> plnění maastrichtských konvergenčních kritérií</w:t>
      </w:r>
      <w:r w:rsidR="00985B76" w:rsidRPr="00CA15B7">
        <w:rPr>
          <w:rFonts w:cs="Arial"/>
        </w:rPr>
        <w:t xml:space="preserve">. Podle maastrichtských kritérií výše deficitu </w:t>
      </w:r>
      <w:r w:rsidR="00985B76">
        <w:rPr>
          <w:rFonts w:cs="Arial"/>
        </w:rPr>
        <w:t>nesmí</w:t>
      </w:r>
      <w:r w:rsidR="00985B76" w:rsidRPr="00CA15B7">
        <w:rPr>
          <w:rFonts w:cs="Arial"/>
        </w:rPr>
        <w:t xml:space="preserve"> překročit 3 % a úroveň kumulovaného dluhu 60 % HDP.</w:t>
      </w:r>
    </w:p>
    <w:p w14:paraId="22D876BF" w14:textId="77777777" w:rsidR="00985B76" w:rsidRPr="00CA15B7" w:rsidRDefault="00985B76" w:rsidP="00820D78">
      <w:pPr>
        <w:pStyle w:val="Zkladntext2"/>
        <w:spacing w:line="276" w:lineRule="auto"/>
        <w:jc w:val="left"/>
        <w:rPr>
          <w:rFonts w:ascii="Arial" w:hAnsi="Arial" w:cs="Arial"/>
          <w:i/>
          <w:sz w:val="18"/>
          <w:szCs w:val="18"/>
        </w:rPr>
      </w:pPr>
    </w:p>
    <w:p w14:paraId="65504EC2" w14:textId="77777777" w:rsidR="00985B76" w:rsidRPr="00CA15B7" w:rsidRDefault="00985B76" w:rsidP="00820D78">
      <w:pPr>
        <w:jc w:val="left"/>
        <w:rPr>
          <w:rFonts w:cs="Arial"/>
          <w:i/>
          <w:sz w:val="18"/>
          <w:szCs w:val="18"/>
        </w:rPr>
      </w:pPr>
      <w:r w:rsidRPr="007071D6">
        <w:rPr>
          <w:rFonts w:cs="Arial"/>
          <w:i/>
          <w:sz w:val="18"/>
          <w:szCs w:val="18"/>
        </w:rPr>
        <w:t>Přebytek/deficit vládních institucí</w:t>
      </w:r>
      <w:r w:rsidRPr="00CA15B7">
        <w:rPr>
          <w:rFonts w:cs="Arial"/>
          <w:i/>
          <w:sz w:val="18"/>
          <w:szCs w:val="18"/>
        </w:rPr>
        <w:t xml:space="preserve"> je výše čistých půjček (+) nebo výpůjček (</w:t>
      </w:r>
      <w:r>
        <w:rPr>
          <w:rFonts w:cs="Arial"/>
          <w:i/>
          <w:sz w:val="18"/>
          <w:szCs w:val="18"/>
        </w:rPr>
        <w:t>−</w:t>
      </w:r>
      <w:r w:rsidRPr="00CA15B7">
        <w:rPr>
          <w:rFonts w:cs="Arial"/>
          <w:i/>
          <w:sz w:val="18"/>
          <w:szCs w:val="18"/>
        </w:rPr>
        <w:t>) v systému národního účetnictví. Ukazatel vyjadřuje schopnost sektoru v daném roce financovat (+) jiné sektory ekonomiky nebo potřebu tohoto sektoru být ostatními sektory financován (</w:t>
      </w:r>
      <w:r>
        <w:rPr>
          <w:rFonts w:cs="Arial"/>
          <w:i/>
          <w:sz w:val="18"/>
          <w:szCs w:val="18"/>
        </w:rPr>
        <w:t>−</w:t>
      </w:r>
      <w:r w:rsidRPr="00CA15B7">
        <w:rPr>
          <w:rFonts w:cs="Arial"/>
          <w:i/>
          <w:sz w:val="18"/>
          <w:szCs w:val="18"/>
        </w:rPr>
        <w:t>).</w:t>
      </w:r>
    </w:p>
    <w:p w14:paraId="54EA4C5B" w14:textId="77777777" w:rsidR="00985B76" w:rsidRPr="00CA15B7" w:rsidRDefault="00985B76" w:rsidP="00820D78">
      <w:pPr>
        <w:jc w:val="left"/>
        <w:rPr>
          <w:rFonts w:cs="Arial"/>
          <w:i/>
          <w:sz w:val="18"/>
          <w:szCs w:val="18"/>
        </w:rPr>
      </w:pPr>
    </w:p>
    <w:p w14:paraId="3B801DC5" w14:textId="77777777" w:rsidR="00985B76" w:rsidRDefault="00985B76" w:rsidP="00820D78">
      <w:pPr>
        <w:jc w:val="left"/>
        <w:rPr>
          <w:rFonts w:cs="Arial"/>
          <w:i/>
          <w:sz w:val="18"/>
          <w:szCs w:val="18"/>
        </w:rPr>
      </w:pPr>
      <w:r w:rsidRPr="007071D6">
        <w:rPr>
          <w:rFonts w:cs="Arial"/>
          <w:i/>
          <w:sz w:val="18"/>
          <w:szCs w:val="18"/>
        </w:rPr>
        <w:lastRenderedPageBreak/>
        <w:t>Dluh vládních institucí</w:t>
      </w:r>
      <w:r w:rsidRPr="00CA15B7">
        <w:rPr>
          <w:rFonts w:cs="Arial"/>
          <w:i/>
          <w:sz w:val="18"/>
          <w:szCs w:val="18"/>
        </w:rPr>
        <w:t xml:space="preserve"> představuje nominální výši konsolidovaných závazků sektoru vládních institucí vyplývající z emitovaného oběživa, přijatých vkladů, emitovaných dluhových cenných papírů a přijatých půjček. U cizoměnových dluhových nástrojů zajištěných proti měnovému riziku je ocenění provedeno na bázi smluvního kurzu.</w:t>
      </w:r>
    </w:p>
    <w:p w14:paraId="1F83A004" w14:textId="052E91FE" w:rsidR="00B600BD" w:rsidRDefault="00B600BD" w:rsidP="00820D78">
      <w:pPr>
        <w:jc w:val="left"/>
        <w:rPr>
          <w:rFonts w:cs="Arial"/>
          <w:i/>
          <w:sz w:val="18"/>
          <w:szCs w:val="18"/>
        </w:rPr>
      </w:pPr>
      <w:r>
        <w:rPr>
          <w:rFonts w:cs="Arial"/>
          <w:i/>
          <w:sz w:val="18"/>
          <w:szCs w:val="18"/>
        </w:rPr>
        <w:t xml:space="preserve">Dílčí </w:t>
      </w:r>
      <w:r w:rsidRPr="00B600BD">
        <w:rPr>
          <w:rFonts w:cs="Arial"/>
          <w:i/>
          <w:sz w:val="18"/>
          <w:szCs w:val="18"/>
        </w:rPr>
        <w:t xml:space="preserve">rozdíly na </w:t>
      </w:r>
      <w:r>
        <w:rPr>
          <w:rFonts w:cs="Arial"/>
          <w:i/>
          <w:sz w:val="18"/>
          <w:szCs w:val="18"/>
        </w:rPr>
        <w:t>posledním desetinném</w:t>
      </w:r>
      <w:r w:rsidRPr="00B600BD">
        <w:rPr>
          <w:rFonts w:cs="Arial"/>
          <w:i/>
          <w:sz w:val="18"/>
          <w:szCs w:val="18"/>
        </w:rPr>
        <w:t xml:space="preserve"> </w:t>
      </w:r>
      <w:r>
        <w:rPr>
          <w:rFonts w:cs="Arial"/>
          <w:i/>
          <w:sz w:val="18"/>
          <w:szCs w:val="18"/>
        </w:rPr>
        <w:t>místě vznikají z důvodu zaokrouhlování.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5275"/>
      </w:tblGrid>
      <w:tr w:rsidR="00985B76" w:rsidRPr="00A3199C" w14:paraId="6CFA635B" w14:textId="77777777" w:rsidTr="00A019EB">
        <w:tc>
          <w:tcPr>
            <w:tcW w:w="3369" w:type="dxa"/>
          </w:tcPr>
          <w:p w14:paraId="4B52D20B" w14:textId="77777777" w:rsidR="00985B76" w:rsidRPr="00A3199C" w:rsidRDefault="00985B76" w:rsidP="00985B76">
            <w:pPr>
              <w:spacing w:after="0"/>
              <w:rPr>
                <w:i/>
                <w:iCs/>
                <w:sz w:val="18"/>
                <w:szCs w:val="18"/>
              </w:rPr>
            </w:pPr>
            <w:r w:rsidRPr="00A3199C">
              <w:rPr>
                <w:i/>
                <w:iCs/>
                <w:sz w:val="18"/>
                <w:szCs w:val="18"/>
              </w:rPr>
              <w:t>Zodpovědný vedoucí pracovník ČSÚ:</w:t>
            </w:r>
          </w:p>
        </w:tc>
        <w:tc>
          <w:tcPr>
            <w:tcW w:w="5275" w:type="dxa"/>
          </w:tcPr>
          <w:p w14:paraId="4350BC7F" w14:textId="72FBF8CD" w:rsidR="00985B76" w:rsidRPr="00A3199C" w:rsidRDefault="00985B76" w:rsidP="00985B76">
            <w:pPr>
              <w:spacing w:after="0"/>
              <w:rPr>
                <w:i/>
                <w:iCs/>
                <w:sz w:val="18"/>
                <w:szCs w:val="18"/>
              </w:rPr>
            </w:pPr>
            <w:r w:rsidRPr="00A3199C">
              <w:rPr>
                <w:i/>
                <w:iCs/>
                <w:sz w:val="18"/>
                <w:szCs w:val="18"/>
              </w:rPr>
              <w:t xml:space="preserve">Ing. </w:t>
            </w:r>
            <w:r>
              <w:rPr>
                <w:i/>
                <w:iCs/>
                <w:sz w:val="18"/>
                <w:szCs w:val="18"/>
              </w:rPr>
              <w:t>Petr Musil, Ph.D.</w:t>
            </w:r>
            <w:r w:rsidRPr="00A3199C">
              <w:rPr>
                <w:i/>
                <w:iCs/>
                <w:sz w:val="18"/>
                <w:szCs w:val="18"/>
              </w:rPr>
              <w:t xml:space="preserve">, ředitel </w:t>
            </w:r>
            <w:r>
              <w:rPr>
                <w:i/>
                <w:iCs/>
                <w:sz w:val="18"/>
                <w:szCs w:val="18"/>
              </w:rPr>
              <w:t>odboru vládních a finančních účtů</w:t>
            </w:r>
            <w:r w:rsidRPr="00A3199C">
              <w:rPr>
                <w:i/>
                <w:iCs/>
                <w:sz w:val="18"/>
                <w:szCs w:val="18"/>
              </w:rPr>
              <w:t xml:space="preserve">, </w:t>
            </w:r>
          </w:p>
          <w:p w14:paraId="0B5C3F70" w14:textId="3557D435" w:rsidR="00985B76" w:rsidRPr="00A3199C" w:rsidRDefault="00985B76" w:rsidP="00985B76">
            <w:pPr>
              <w:spacing w:after="0"/>
              <w:rPr>
                <w:i/>
                <w:iCs/>
                <w:sz w:val="18"/>
                <w:szCs w:val="18"/>
              </w:rPr>
            </w:pPr>
            <w:r w:rsidRPr="00A3199C">
              <w:rPr>
                <w:i/>
                <w:iCs/>
                <w:sz w:val="18"/>
                <w:szCs w:val="18"/>
              </w:rPr>
              <w:t xml:space="preserve">tel.: </w:t>
            </w:r>
            <w:r w:rsidR="00FF347B" w:rsidRPr="00FF347B">
              <w:rPr>
                <w:i/>
                <w:iCs/>
                <w:sz w:val="18"/>
                <w:szCs w:val="18"/>
              </w:rPr>
              <w:t>734</w:t>
            </w:r>
            <w:r w:rsidR="00FF347B">
              <w:rPr>
                <w:i/>
                <w:iCs/>
                <w:sz w:val="18"/>
                <w:szCs w:val="18"/>
              </w:rPr>
              <w:t> </w:t>
            </w:r>
            <w:r w:rsidR="00FF347B" w:rsidRPr="00FF347B">
              <w:rPr>
                <w:i/>
                <w:iCs/>
                <w:sz w:val="18"/>
                <w:szCs w:val="18"/>
              </w:rPr>
              <w:t>352</w:t>
            </w:r>
            <w:r w:rsidR="00FF347B">
              <w:rPr>
                <w:i/>
                <w:iCs/>
                <w:sz w:val="18"/>
                <w:szCs w:val="18"/>
              </w:rPr>
              <w:t xml:space="preserve"> </w:t>
            </w:r>
            <w:r w:rsidR="00FF347B" w:rsidRPr="00FF347B">
              <w:rPr>
                <w:i/>
                <w:iCs/>
                <w:sz w:val="18"/>
                <w:szCs w:val="18"/>
              </w:rPr>
              <w:t>286</w:t>
            </w:r>
            <w:r w:rsidRPr="00A3199C">
              <w:rPr>
                <w:i/>
                <w:iCs/>
                <w:sz w:val="18"/>
                <w:szCs w:val="18"/>
              </w:rPr>
              <w:t xml:space="preserve">, e-mail: </w:t>
            </w:r>
            <w:hyperlink r:id="rId12" w:history="1">
              <w:r w:rsidRPr="00FF347B">
                <w:rPr>
                  <w:rStyle w:val="Hypertextovodkaz"/>
                  <w:sz w:val="18"/>
                  <w:szCs w:val="18"/>
                </w:rPr>
                <w:t>petr.musil@csu.gov.cz</w:t>
              </w:r>
            </w:hyperlink>
            <w:r w:rsidRPr="00A3199C">
              <w:rPr>
                <w:sz w:val="18"/>
              </w:rPr>
              <w:t xml:space="preserve"> </w:t>
            </w:r>
          </w:p>
        </w:tc>
      </w:tr>
      <w:tr w:rsidR="00985B76" w:rsidRPr="00A3199C" w14:paraId="548C2A0D" w14:textId="77777777" w:rsidTr="00A019EB">
        <w:tc>
          <w:tcPr>
            <w:tcW w:w="3369" w:type="dxa"/>
          </w:tcPr>
          <w:p w14:paraId="6F7FFB4B" w14:textId="77777777" w:rsidR="00985B76" w:rsidRDefault="00985B76" w:rsidP="00985B76">
            <w:pPr>
              <w:spacing w:after="0"/>
              <w:rPr>
                <w:i/>
                <w:iCs/>
                <w:sz w:val="18"/>
                <w:szCs w:val="18"/>
              </w:rPr>
            </w:pPr>
            <w:r w:rsidRPr="00A3199C">
              <w:rPr>
                <w:i/>
                <w:iCs/>
                <w:sz w:val="18"/>
                <w:szCs w:val="18"/>
              </w:rPr>
              <w:t>Kontaktní osoba:</w:t>
            </w:r>
          </w:p>
          <w:p w14:paraId="58D688BF" w14:textId="77777777" w:rsidR="00456191" w:rsidRDefault="00456191" w:rsidP="00985B76">
            <w:pPr>
              <w:spacing w:after="0"/>
              <w:rPr>
                <w:i/>
                <w:iCs/>
                <w:sz w:val="18"/>
                <w:szCs w:val="18"/>
              </w:rPr>
            </w:pPr>
          </w:p>
          <w:p w14:paraId="5CC298B0" w14:textId="6A2E6148" w:rsidR="00456191" w:rsidRPr="00A3199C" w:rsidRDefault="00456191" w:rsidP="00985B76">
            <w:pPr>
              <w:spacing w:after="0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Navazující informace:</w:t>
            </w:r>
          </w:p>
        </w:tc>
        <w:tc>
          <w:tcPr>
            <w:tcW w:w="5275" w:type="dxa"/>
          </w:tcPr>
          <w:p w14:paraId="306870E1" w14:textId="77777777" w:rsidR="00985B76" w:rsidRPr="00A3199C" w:rsidRDefault="00985B76" w:rsidP="00985B76">
            <w:pPr>
              <w:spacing w:after="0"/>
              <w:rPr>
                <w:i/>
                <w:iCs/>
                <w:sz w:val="18"/>
                <w:szCs w:val="18"/>
              </w:rPr>
            </w:pPr>
            <w:r w:rsidRPr="00A3199C">
              <w:rPr>
                <w:i/>
                <w:iCs/>
                <w:sz w:val="18"/>
                <w:szCs w:val="18"/>
              </w:rPr>
              <w:t xml:space="preserve">Ing. Jaroslav Kahoun, vedoucí oddělení vládních účtů, </w:t>
            </w:r>
          </w:p>
          <w:p w14:paraId="31BF3285" w14:textId="77777777" w:rsidR="00985B76" w:rsidRDefault="00985B76" w:rsidP="00985B76">
            <w:pPr>
              <w:spacing w:after="0"/>
              <w:rPr>
                <w:sz w:val="18"/>
              </w:rPr>
            </w:pPr>
            <w:r w:rsidRPr="00A3199C">
              <w:rPr>
                <w:i/>
                <w:iCs/>
                <w:sz w:val="18"/>
                <w:szCs w:val="18"/>
              </w:rPr>
              <w:t xml:space="preserve">tel.: 274 054 232, e-mail: </w:t>
            </w:r>
            <w:hyperlink r:id="rId13" w:history="1">
              <w:r w:rsidRPr="00E27578">
                <w:rPr>
                  <w:rStyle w:val="Hypertextovodkaz"/>
                  <w:sz w:val="18"/>
                </w:rPr>
                <w:t>jaroslav.kahoun@csu.gov.cz</w:t>
              </w:r>
            </w:hyperlink>
            <w:r w:rsidRPr="00A3199C">
              <w:rPr>
                <w:sz w:val="18"/>
              </w:rPr>
              <w:t xml:space="preserve"> </w:t>
            </w:r>
          </w:p>
          <w:p w14:paraId="7AE94D1C" w14:textId="77777777" w:rsidR="00456191" w:rsidRDefault="00456191" w:rsidP="00456191">
            <w:hyperlink r:id="rId14" w:history="1">
              <w:r w:rsidRPr="00767D28">
                <w:rPr>
                  <w:rStyle w:val="Hypertextovodkaz"/>
                </w:rPr>
                <w:t>https://csu.gov.cz/vladni-financni-statistika</w:t>
              </w:r>
            </w:hyperlink>
          </w:p>
          <w:p w14:paraId="0F01D66F" w14:textId="77777777" w:rsidR="00985B76" w:rsidRPr="00A3199C" w:rsidRDefault="00985B76" w:rsidP="00985B76">
            <w:pPr>
              <w:spacing w:after="0"/>
              <w:rPr>
                <w:i/>
                <w:iCs/>
                <w:sz w:val="18"/>
                <w:szCs w:val="18"/>
              </w:rPr>
            </w:pPr>
          </w:p>
        </w:tc>
      </w:tr>
      <w:tr w:rsidR="00985B76" w:rsidRPr="00A3199C" w14:paraId="2DE1D2D4" w14:textId="77777777" w:rsidTr="00A019EB">
        <w:tc>
          <w:tcPr>
            <w:tcW w:w="3369" w:type="dxa"/>
          </w:tcPr>
          <w:p w14:paraId="20362ABD" w14:textId="77777777" w:rsidR="00985B76" w:rsidRPr="00A3199C" w:rsidRDefault="00985B76" w:rsidP="00985B76">
            <w:pPr>
              <w:spacing w:after="0"/>
              <w:rPr>
                <w:i/>
                <w:iCs/>
                <w:sz w:val="18"/>
                <w:szCs w:val="18"/>
              </w:rPr>
            </w:pPr>
            <w:r w:rsidRPr="00A3199C">
              <w:rPr>
                <w:i/>
                <w:iCs/>
                <w:sz w:val="18"/>
                <w:szCs w:val="18"/>
              </w:rPr>
              <w:t>Termín zveřejnění další RI:</w:t>
            </w:r>
          </w:p>
        </w:tc>
        <w:tc>
          <w:tcPr>
            <w:tcW w:w="5275" w:type="dxa"/>
          </w:tcPr>
          <w:p w14:paraId="59124B5B" w14:textId="00F8D0B2" w:rsidR="00985B76" w:rsidRPr="00A3199C" w:rsidRDefault="00985B76" w:rsidP="00985B76">
            <w:pPr>
              <w:spacing w:after="0"/>
              <w:rPr>
                <w:i/>
                <w:iCs/>
                <w:sz w:val="18"/>
                <w:szCs w:val="18"/>
              </w:rPr>
            </w:pPr>
            <w:r w:rsidRPr="00A3199C">
              <w:rPr>
                <w:i/>
                <w:iCs/>
                <w:sz w:val="18"/>
                <w:szCs w:val="18"/>
              </w:rPr>
              <w:t>2</w:t>
            </w:r>
            <w:r w:rsidR="00FF347B">
              <w:rPr>
                <w:i/>
                <w:iCs/>
                <w:sz w:val="18"/>
                <w:szCs w:val="18"/>
              </w:rPr>
              <w:t>1</w:t>
            </w:r>
            <w:r w:rsidRPr="00A3199C">
              <w:rPr>
                <w:i/>
                <w:iCs/>
                <w:sz w:val="18"/>
                <w:szCs w:val="18"/>
              </w:rPr>
              <w:t xml:space="preserve">. </w:t>
            </w:r>
            <w:r w:rsidR="00FF347B">
              <w:rPr>
                <w:i/>
                <w:iCs/>
                <w:sz w:val="18"/>
                <w:szCs w:val="18"/>
              </w:rPr>
              <w:t>10</w:t>
            </w:r>
            <w:r w:rsidRPr="00A3199C">
              <w:rPr>
                <w:i/>
                <w:iCs/>
                <w:sz w:val="18"/>
                <w:szCs w:val="18"/>
              </w:rPr>
              <w:t>. 202</w:t>
            </w:r>
            <w:r>
              <w:rPr>
                <w:i/>
                <w:iCs/>
                <w:sz w:val="18"/>
                <w:szCs w:val="18"/>
              </w:rPr>
              <w:t>6</w:t>
            </w:r>
          </w:p>
        </w:tc>
      </w:tr>
    </w:tbl>
    <w:p w14:paraId="7E778C6B" w14:textId="77777777" w:rsidR="00985B76" w:rsidRDefault="00985B76" w:rsidP="00985B76">
      <w:pPr>
        <w:rPr>
          <w:rFonts w:cs="Arial"/>
          <w:i/>
          <w:sz w:val="18"/>
          <w:szCs w:val="18"/>
        </w:rPr>
      </w:pPr>
    </w:p>
    <w:p w14:paraId="1A598238" w14:textId="3D02D8D2" w:rsidR="00A7786D" w:rsidRDefault="00A7786D" w:rsidP="00A7786D">
      <w:pPr>
        <w:pStyle w:val="Poznmky"/>
      </w:pPr>
    </w:p>
    <w:p w14:paraId="76E54E5F" w14:textId="77777777" w:rsidR="00200551" w:rsidRDefault="00200551" w:rsidP="00A7786D">
      <w:pPr>
        <w:pStyle w:val="Poznmky"/>
      </w:pPr>
    </w:p>
    <w:p w14:paraId="00F37B61" w14:textId="77777777" w:rsidR="00200551" w:rsidRDefault="00200551" w:rsidP="00A7786D">
      <w:pPr>
        <w:pStyle w:val="Poznmky"/>
      </w:pPr>
    </w:p>
    <w:p w14:paraId="17D0E62C" w14:textId="77777777" w:rsidR="00062565" w:rsidRDefault="00062565" w:rsidP="00A7786D">
      <w:pPr>
        <w:pStyle w:val="Poznmky"/>
      </w:pPr>
    </w:p>
    <w:p w14:paraId="441AE6B9" w14:textId="77777777" w:rsidR="00062565" w:rsidRDefault="00062565" w:rsidP="00062565">
      <w:pPr>
        <w:spacing w:after="0"/>
      </w:pPr>
      <w:r>
        <w:t>Přílohy:</w:t>
      </w:r>
    </w:p>
    <w:p w14:paraId="57122A26" w14:textId="3F52B750" w:rsidR="00062565" w:rsidRDefault="00062565" w:rsidP="00062565">
      <w:pPr>
        <w:spacing w:after="0"/>
      </w:pPr>
      <w:r>
        <w:t xml:space="preserve">Tab. 1 </w:t>
      </w:r>
      <w:r w:rsidR="003F3EEC">
        <w:t xml:space="preserve">Notifikační tabulky deficitu a dluhu vládních institucí </w:t>
      </w:r>
      <w:r w:rsidR="00283783">
        <w:t>2022–2025</w:t>
      </w:r>
    </w:p>
    <w:p w14:paraId="2CBB60FF" w14:textId="0A247DFE" w:rsidR="00070445" w:rsidRDefault="00070445">
      <w:pPr>
        <w:rPr>
          <w:i/>
          <w:sz w:val="18"/>
        </w:rPr>
      </w:pPr>
    </w:p>
    <w:sectPr w:rsidR="00070445" w:rsidSect="00BE2E0B">
      <w:headerReference w:type="default" r:id="rId15"/>
      <w:footerReference w:type="default" r:id="rId16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93FF4" w14:textId="77777777" w:rsidR="00963415" w:rsidRDefault="00963415" w:rsidP="004A01A7">
      <w:pPr>
        <w:spacing w:after="0" w:line="240" w:lineRule="auto"/>
      </w:pPr>
      <w:r>
        <w:separator/>
      </w:r>
    </w:p>
  </w:endnote>
  <w:endnote w:type="continuationSeparator" w:id="0">
    <w:p w14:paraId="4D3C8819" w14:textId="77777777" w:rsidR="00963415" w:rsidRDefault="00963415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C6A20" w14:textId="77777777" w:rsidR="006A57CC" w:rsidRDefault="006A57CC" w:rsidP="00F21B6A">
    <w:pPr>
      <w:pStyle w:val="Zpat"/>
    </w:pPr>
    <w:r w:rsidRPr="006A57CC">
      <w:t>Český statistický úřad</w:t>
    </w:r>
  </w:p>
  <w:p w14:paraId="46D01A6D" w14:textId="77777777" w:rsidR="00F21B6A" w:rsidRDefault="00CB5768" w:rsidP="00F21B6A">
    <w:pPr>
      <w:pStyle w:val="Zpat"/>
    </w:pPr>
    <w:r w:rsidRPr="00CB5768">
      <w:t>Oddělení informačních služeb – ústředí</w:t>
    </w:r>
    <w:r w:rsidR="00F21B6A">
      <w:tab/>
    </w:r>
    <w:r w:rsidR="00F21B6A">
      <w:tab/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PAGE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1</w:t>
    </w:r>
    <w:r w:rsidR="00F21B6A" w:rsidRPr="008B0E87">
      <w:rPr>
        <w:spacing w:val="20"/>
      </w:rPr>
      <w:fldChar w:fldCharType="end"/>
    </w:r>
    <w:r w:rsidR="00F21B6A" w:rsidRPr="008B0E87">
      <w:rPr>
        <w:spacing w:val="20"/>
      </w:rPr>
      <w:t>/</w:t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NUMPAGES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6</w:t>
    </w:r>
    <w:r w:rsidR="00F21B6A" w:rsidRPr="008B0E87">
      <w:rPr>
        <w:spacing w:val="20"/>
      </w:rPr>
      <w:fldChar w:fldCharType="end"/>
    </w:r>
  </w:p>
  <w:p w14:paraId="3892A868" w14:textId="77777777" w:rsidR="00F21B6A" w:rsidRDefault="006A57CC" w:rsidP="00F21B6A">
    <w:pPr>
      <w:pStyle w:val="Zpat"/>
      <w:tabs>
        <w:tab w:val="left" w:pos="4440"/>
      </w:tabs>
    </w:pPr>
    <w:r w:rsidRPr="006A57CC">
      <w:t>Na padesátém 3268/81, 100 82 Praha 10</w:t>
    </w:r>
    <w:r w:rsidR="00F21B6A">
      <w:tab/>
    </w:r>
    <w:r w:rsidR="00F21B6A">
      <w:tab/>
    </w:r>
    <w:r w:rsidR="00F21B6A">
      <w:tab/>
    </w:r>
  </w:p>
  <w:p w14:paraId="6D536B54" w14:textId="77777777" w:rsidR="004A01A7" w:rsidRPr="00F21B6A" w:rsidRDefault="00CB5768" w:rsidP="00F21B6A">
    <w:pPr>
      <w:pStyle w:val="Zpat"/>
    </w:pPr>
    <w:r w:rsidRPr="00CB5768">
      <w:t>T: +420 274 056 789, E: infoservis@csu.gov.cz</w:t>
    </w:r>
    <w:r w:rsidR="00F21B6A">
      <w:tab/>
    </w:r>
    <w:r w:rsidR="00F21B6A">
      <w:tab/>
    </w:r>
    <w:hyperlink r:id="rId1" w:history="1">
      <w:r w:rsidR="006A57CC"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E328A" w14:textId="77777777" w:rsidR="00963415" w:rsidRDefault="00963415" w:rsidP="004A01A7">
      <w:pPr>
        <w:spacing w:after="0" w:line="240" w:lineRule="auto"/>
      </w:pPr>
    </w:p>
  </w:footnote>
  <w:footnote w:type="continuationSeparator" w:id="0">
    <w:p w14:paraId="51852EED" w14:textId="77777777" w:rsidR="00963415" w:rsidRDefault="00963415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79E2A5AF" w14:textId="77777777" w:rsidTr="00F21B6A">
      <w:trPr>
        <w:jc w:val="right"/>
      </w:trPr>
      <w:tc>
        <w:tcPr>
          <w:tcW w:w="4253" w:type="dxa"/>
        </w:tcPr>
        <w:p w14:paraId="19374F1C" w14:textId="77777777" w:rsidR="003208E6" w:rsidRDefault="001510FA" w:rsidP="00C063DD">
          <w:pPr>
            <w:pStyle w:val="Nadpis3"/>
            <w:spacing w:before="0"/>
            <w:jc w:val="right"/>
          </w:pPr>
          <w:r w:rsidRPr="001510FA">
            <w:t>Rychlá informace</w:t>
          </w:r>
        </w:p>
      </w:tc>
    </w:tr>
  </w:tbl>
  <w:p w14:paraId="06FB137A" w14:textId="77777777" w:rsidR="004A01A7" w:rsidRDefault="00811964" w:rsidP="00550B36">
    <w:pPr>
      <w:pStyle w:val="Zhlav"/>
    </w:pPr>
    <w:r w:rsidRPr="0024515A">
      <w:rPr>
        <w:noProof/>
        <w:color w:val="000000" w:themeColor="text1"/>
      </w:rPr>
      <w:drawing>
        <wp:anchor distT="0" distB="0" distL="114300" distR="114300" simplePos="0" relativeHeight="251659264" behindDoc="0" locked="0" layoutInCell="1" allowOverlap="1" wp14:anchorId="64A68708" wp14:editId="2C8C5463">
          <wp:simplePos x="0" y="0"/>
          <wp:positionH relativeFrom="page">
            <wp:posOffset>485775</wp:posOffset>
          </wp:positionH>
          <wp:positionV relativeFrom="page">
            <wp:posOffset>362218</wp:posOffset>
          </wp:positionV>
          <wp:extent cx="1602000" cy="791464"/>
          <wp:effectExtent l="0" t="0" r="0" b="8890"/>
          <wp:wrapNone/>
          <wp:docPr id="20934161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791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960494"/>
    <w:multiLevelType w:val="multilevel"/>
    <w:tmpl w:val="3BE66384"/>
    <w:numStyleLink w:val="Stylseznamu-odrky"/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</w:abstractNum>
  <w:abstractNum w:abstractNumId="14" w15:restartNumberingAfterBreak="0">
    <w:nsid w:val="74052CCF"/>
    <w:multiLevelType w:val="multilevel"/>
    <w:tmpl w:val="3BE66384"/>
    <w:numStyleLink w:val="Stylseznamu-odrky"/>
  </w:abstractNum>
  <w:abstractNum w:abstractNumId="15" w15:restartNumberingAfterBreak="0">
    <w:nsid w:val="7B356AC3"/>
    <w:multiLevelType w:val="multilevel"/>
    <w:tmpl w:val="B87A9D68"/>
    <w:numStyleLink w:val="Stylseznamu-odstavceslovan"/>
  </w:abstractNum>
  <w:abstractNum w:abstractNumId="16" w15:restartNumberingAfterBreak="0">
    <w:nsid w:val="7CA64431"/>
    <w:multiLevelType w:val="multilevel"/>
    <w:tmpl w:val="3BE66384"/>
    <w:numStyleLink w:val="Stylseznamu-odrky"/>
  </w:abstractNum>
  <w:abstractNum w:abstractNumId="17" w15:restartNumberingAfterBreak="0">
    <w:nsid w:val="7F397BA4"/>
    <w:multiLevelType w:val="multilevel"/>
    <w:tmpl w:val="599C2AC6"/>
    <w:numStyleLink w:val="Stylseznamu-nadpisyslovan"/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3AB"/>
    <w:rsid w:val="00006160"/>
    <w:rsid w:val="00007A38"/>
    <w:rsid w:val="000106FE"/>
    <w:rsid w:val="000120B4"/>
    <w:rsid w:val="0002560E"/>
    <w:rsid w:val="00026156"/>
    <w:rsid w:val="00032CCE"/>
    <w:rsid w:val="00035F16"/>
    <w:rsid w:val="00043335"/>
    <w:rsid w:val="00054392"/>
    <w:rsid w:val="0005510C"/>
    <w:rsid w:val="00062565"/>
    <w:rsid w:val="00070445"/>
    <w:rsid w:val="00071F0F"/>
    <w:rsid w:val="00083A55"/>
    <w:rsid w:val="00085436"/>
    <w:rsid w:val="000968A9"/>
    <w:rsid w:val="000A4DA9"/>
    <w:rsid w:val="000B4F0B"/>
    <w:rsid w:val="000C11F2"/>
    <w:rsid w:val="000C2452"/>
    <w:rsid w:val="000C67FA"/>
    <w:rsid w:val="000C68F4"/>
    <w:rsid w:val="000D2954"/>
    <w:rsid w:val="000D5C58"/>
    <w:rsid w:val="000E00C3"/>
    <w:rsid w:val="000E3099"/>
    <w:rsid w:val="000F141D"/>
    <w:rsid w:val="000F5A54"/>
    <w:rsid w:val="00102994"/>
    <w:rsid w:val="0010606B"/>
    <w:rsid w:val="00134D21"/>
    <w:rsid w:val="00134F2B"/>
    <w:rsid w:val="00135EBB"/>
    <w:rsid w:val="001363A5"/>
    <w:rsid w:val="00137B85"/>
    <w:rsid w:val="00140402"/>
    <w:rsid w:val="00141449"/>
    <w:rsid w:val="00146A2A"/>
    <w:rsid w:val="0015074B"/>
    <w:rsid w:val="001510FA"/>
    <w:rsid w:val="00160FEB"/>
    <w:rsid w:val="00164790"/>
    <w:rsid w:val="001707B9"/>
    <w:rsid w:val="001712FE"/>
    <w:rsid w:val="00171B3E"/>
    <w:rsid w:val="00175680"/>
    <w:rsid w:val="001909FA"/>
    <w:rsid w:val="0019514E"/>
    <w:rsid w:val="001B5603"/>
    <w:rsid w:val="001D1470"/>
    <w:rsid w:val="001D52C5"/>
    <w:rsid w:val="001D719A"/>
    <w:rsid w:val="001E0520"/>
    <w:rsid w:val="001E1B82"/>
    <w:rsid w:val="001E417F"/>
    <w:rsid w:val="001E513B"/>
    <w:rsid w:val="001E691A"/>
    <w:rsid w:val="001F493F"/>
    <w:rsid w:val="002000F6"/>
    <w:rsid w:val="00200551"/>
    <w:rsid w:val="002013B0"/>
    <w:rsid w:val="0020716F"/>
    <w:rsid w:val="00216463"/>
    <w:rsid w:val="00222610"/>
    <w:rsid w:val="002234D1"/>
    <w:rsid w:val="002363CA"/>
    <w:rsid w:val="0024676C"/>
    <w:rsid w:val="00260DCA"/>
    <w:rsid w:val="00275B42"/>
    <w:rsid w:val="00280346"/>
    <w:rsid w:val="00280D21"/>
    <w:rsid w:val="0028101B"/>
    <w:rsid w:val="002826B4"/>
    <w:rsid w:val="00283783"/>
    <w:rsid w:val="00293F29"/>
    <w:rsid w:val="00297C33"/>
    <w:rsid w:val="002B1BA1"/>
    <w:rsid w:val="002C4C20"/>
    <w:rsid w:val="002D11B9"/>
    <w:rsid w:val="002D53AB"/>
    <w:rsid w:val="002D796B"/>
    <w:rsid w:val="002F7004"/>
    <w:rsid w:val="0030061B"/>
    <w:rsid w:val="00303A0E"/>
    <w:rsid w:val="00307360"/>
    <w:rsid w:val="003206E7"/>
    <w:rsid w:val="003208E6"/>
    <w:rsid w:val="0032285E"/>
    <w:rsid w:val="003351B8"/>
    <w:rsid w:val="00342E5E"/>
    <w:rsid w:val="00346435"/>
    <w:rsid w:val="003540FA"/>
    <w:rsid w:val="00356332"/>
    <w:rsid w:val="00363815"/>
    <w:rsid w:val="003654CD"/>
    <w:rsid w:val="00370110"/>
    <w:rsid w:val="00372598"/>
    <w:rsid w:val="00376F84"/>
    <w:rsid w:val="00392F53"/>
    <w:rsid w:val="00393EC0"/>
    <w:rsid w:val="003A2A49"/>
    <w:rsid w:val="003A3966"/>
    <w:rsid w:val="003A7E6A"/>
    <w:rsid w:val="003C027F"/>
    <w:rsid w:val="003C3F6A"/>
    <w:rsid w:val="003D1629"/>
    <w:rsid w:val="003D2BE1"/>
    <w:rsid w:val="003D639F"/>
    <w:rsid w:val="003E0572"/>
    <w:rsid w:val="003E3910"/>
    <w:rsid w:val="003E6369"/>
    <w:rsid w:val="003F36C7"/>
    <w:rsid w:val="003F3EEC"/>
    <w:rsid w:val="003F54C8"/>
    <w:rsid w:val="003F69B1"/>
    <w:rsid w:val="004027D2"/>
    <w:rsid w:val="0040303E"/>
    <w:rsid w:val="00407B47"/>
    <w:rsid w:val="004136C9"/>
    <w:rsid w:val="00420F82"/>
    <w:rsid w:val="00421717"/>
    <w:rsid w:val="00426C60"/>
    <w:rsid w:val="00427375"/>
    <w:rsid w:val="00430BB6"/>
    <w:rsid w:val="0043243E"/>
    <w:rsid w:val="00433E54"/>
    <w:rsid w:val="00436EC2"/>
    <w:rsid w:val="00450156"/>
    <w:rsid w:val="00454DC7"/>
    <w:rsid w:val="00456191"/>
    <w:rsid w:val="004573FA"/>
    <w:rsid w:val="004607B2"/>
    <w:rsid w:val="00463047"/>
    <w:rsid w:val="0046727D"/>
    <w:rsid w:val="004723B2"/>
    <w:rsid w:val="00493ED9"/>
    <w:rsid w:val="004977D7"/>
    <w:rsid w:val="004A01A7"/>
    <w:rsid w:val="004A09C5"/>
    <w:rsid w:val="004A38DD"/>
    <w:rsid w:val="004B4A94"/>
    <w:rsid w:val="004C7DCA"/>
    <w:rsid w:val="004D273A"/>
    <w:rsid w:val="004D2E55"/>
    <w:rsid w:val="004D6E16"/>
    <w:rsid w:val="004E7E0E"/>
    <w:rsid w:val="00500517"/>
    <w:rsid w:val="00500A63"/>
    <w:rsid w:val="00521746"/>
    <w:rsid w:val="00534403"/>
    <w:rsid w:val="00542A56"/>
    <w:rsid w:val="00542CA8"/>
    <w:rsid w:val="00546E9A"/>
    <w:rsid w:val="00550B36"/>
    <w:rsid w:val="00553ACE"/>
    <w:rsid w:val="005548CD"/>
    <w:rsid w:val="00554FC7"/>
    <w:rsid w:val="0055531A"/>
    <w:rsid w:val="00560EC8"/>
    <w:rsid w:val="00563A5F"/>
    <w:rsid w:val="00563FE8"/>
    <w:rsid w:val="0056491C"/>
    <w:rsid w:val="00564F2B"/>
    <w:rsid w:val="005801BB"/>
    <w:rsid w:val="005865A4"/>
    <w:rsid w:val="00586756"/>
    <w:rsid w:val="0058729F"/>
    <w:rsid w:val="00593FA2"/>
    <w:rsid w:val="005970F5"/>
    <w:rsid w:val="005A012C"/>
    <w:rsid w:val="005A4EC9"/>
    <w:rsid w:val="005A60C3"/>
    <w:rsid w:val="005C14EB"/>
    <w:rsid w:val="005C29C9"/>
    <w:rsid w:val="005C781E"/>
    <w:rsid w:val="005F546A"/>
    <w:rsid w:val="00601C8A"/>
    <w:rsid w:val="00601DFE"/>
    <w:rsid w:val="006051FE"/>
    <w:rsid w:val="00606CF5"/>
    <w:rsid w:val="00607675"/>
    <w:rsid w:val="006120D2"/>
    <w:rsid w:val="006151A9"/>
    <w:rsid w:val="00626A46"/>
    <w:rsid w:val="00626A74"/>
    <w:rsid w:val="0062750B"/>
    <w:rsid w:val="00637E8B"/>
    <w:rsid w:val="00640E73"/>
    <w:rsid w:val="0064237D"/>
    <w:rsid w:val="00647757"/>
    <w:rsid w:val="00650D3D"/>
    <w:rsid w:val="0067042F"/>
    <w:rsid w:val="00692BE9"/>
    <w:rsid w:val="006950C1"/>
    <w:rsid w:val="0069631F"/>
    <w:rsid w:val="006A4940"/>
    <w:rsid w:val="006A57CC"/>
    <w:rsid w:val="006C0860"/>
    <w:rsid w:val="006D132B"/>
    <w:rsid w:val="006E7273"/>
    <w:rsid w:val="006F12B5"/>
    <w:rsid w:val="006F4755"/>
    <w:rsid w:val="006F51DB"/>
    <w:rsid w:val="00702BED"/>
    <w:rsid w:val="007049E6"/>
    <w:rsid w:val="00713213"/>
    <w:rsid w:val="007141CA"/>
    <w:rsid w:val="0071455E"/>
    <w:rsid w:val="00716F0E"/>
    <w:rsid w:val="007228DD"/>
    <w:rsid w:val="00724E67"/>
    <w:rsid w:val="0073040F"/>
    <w:rsid w:val="007371E0"/>
    <w:rsid w:val="00765263"/>
    <w:rsid w:val="00773B0B"/>
    <w:rsid w:val="00787190"/>
    <w:rsid w:val="00793BAD"/>
    <w:rsid w:val="007D6A0E"/>
    <w:rsid w:val="007D6F07"/>
    <w:rsid w:val="00800E88"/>
    <w:rsid w:val="00801CDD"/>
    <w:rsid w:val="0081159E"/>
    <w:rsid w:val="00811964"/>
    <w:rsid w:val="00820D78"/>
    <w:rsid w:val="008340C9"/>
    <w:rsid w:val="00834A49"/>
    <w:rsid w:val="008355D9"/>
    <w:rsid w:val="00837E45"/>
    <w:rsid w:val="0084277E"/>
    <w:rsid w:val="00851074"/>
    <w:rsid w:val="008541DA"/>
    <w:rsid w:val="00857ABC"/>
    <w:rsid w:val="00870D3E"/>
    <w:rsid w:val="0087655C"/>
    <w:rsid w:val="00877CF1"/>
    <w:rsid w:val="00881BA3"/>
    <w:rsid w:val="00884306"/>
    <w:rsid w:val="0088431E"/>
    <w:rsid w:val="008A4895"/>
    <w:rsid w:val="008B0E87"/>
    <w:rsid w:val="008C4A49"/>
    <w:rsid w:val="008D405D"/>
    <w:rsid w:val="008D44D8"/>
    <w:rsid w:val="008D5575"/>
    <w:rsid w:val="008D7C52"/>
    <w:rsid w:val="008F125B"/>
    <w:rsid w:val="008F533C"/>
    <w:rsid w:val="009149E6"/>
    <w:rsid w:val="00916E60"/>
    <w:rsid w:val="00917C90"/>
    <w:rsid w:val="00924387"/>
    <w:rsid w:val="00945FB9"/>
    <w:rsid w:val="009475A7"/>
    <w:rsid w:val="00951930"/>
    <w:rsid w:val="009610E2"/>
    <w:rsid w:val="00963415"/>
    <w:rsid w:val="0096469E"/>
    <w:rsid w:val="0097303D"/>
    <w:rsid w:val="00983393"/>
    <w:rsid w:val="00984352"/>
    <w:rsid w:val="00985819"/>
    <w:rsid w:val="00985B76"/>
    <w:rsid w:val="00985E6B"/>
    <w:rsid w:val="009A389D"/>
    <w:rsid w:val="009B032C"/>
    <w:rsid w:val="009B0804"/>
    <w:rsid w:val="009C081A"/>
    <w:rsid w:val="009C0BC3"/>
    <w:rsid w:val="009C31A6"/>
    <w:rsid w:val="009D72AA"/>
    <w:rsid w:val="009E4B81"/>
    <w:rsid w:val="009F1533"/>
    <w:rsid w:val="009F2A49"/>
    <w:rsid w:val="009F3E9D"/>
    <w:rsid w:val="00A15A28"/>
    <w:rsid w:val="00A243C3"/>
    <w:rsid w:val="00A274A1"/>
    <w:rsid w:val="00A3283F"/>
    <w:rsid w:val="00A47859"/>
    <w:rsid w:val="00A55A71"/>
    <w:rsid w:val="00A76EA3"/>
    <w:rsid w:val="00A7786D"/>
    <w:rsid w:val="00A81466"/>
    <w:rsid w:val="00A851CE"/>
    <w:rsid w:val="00A91166"/>
    <w:rsid w:val="00A91452"/>
    <w:rsid w:val="00A95D0B"/>
    <w:rsid w:val="00AA0C58"/>
    <w:rsid w:val="00AA1D72"/>
    <w:rsid w:val="00AB4BE7"/>
    <w:rsid w:val="00AB5479"/>
    <w:rsid w:val="00AB7649"/>
    <w:rsid w:val="00AB7FF3"/>
    <w:rsid w:val="00AC0BF4"/>
    <w:rsid w:val="00AC74B0"/>
    <w:rsid w:val="00AD40DD"/>
    <w:rsid w:val="00AD6299"/>
    <w:rsid w:val="00AE1317"/>
    <w:rsid w:val="00AE23A0"/>
    <w:rsid w:val="00AE6440"/>
    <w:rsid w:val="00AF05E0"/>
    <w:rsid w:val="00AF06B0"/>
    <w:rsid w:val="00AF3319"/>
    <w:rsid w:val="00AF39AC"/>
    <w:rsid w:val="00AF6E9E"/>
    <w:rsid w:val="00B0330A"/>
    <w:rsid w:val="00B07208"/>
    <w:rsid w:val="00B2195A"/>
    <w:rsid w:val="00B3112C"/>
    <w:rsid w:val="00B31BB1"/>
    <w:rsid w:val="00B40D87"/>
    <w:rsid w:val="00B43D9B"/>
    <w:rsid w:val="00B47092"/>
    <w:rsid w:val="00B51C8F"/>
    <w:rsid w:val="00B600BD"/>
    <w:rsid w:val="00B6024F"/>
    <w:rsid w:val="00B602D0"/>
    <w:rsid w:val="00B62344"/>
    <w:rsid w:val="00B65670"/>
    <w:rsid w:val="00B668F1"/>
    <w:rsid w:val="00B70022"/>
    <w:rsid w:val="00B7165F"/>
    <w:rsid w:val="00B733E5"/>
    <w:rsid w:val="00B759AD"/>
    <w:rsid w:val="00B8724F"/>
    <w:rsid w:val="00B90BD8"/>
    <w:rsid w:val="00B96F18"/>
    <w:rsid w:val="00BA2E49"/>
    <w:rsid w:val="00BA64C3"/>
    <w:rsid w:val="00BA6934"/>
    <w:rsid w:val="00BB04F3"/>
    <w:rsid w:val="00BB2466"/>
    <w:rsid w:val="00BB2B9A"/>
    <w:rsid w:val="00BB6195"/>
    <w:rsid w:val="00BB6635"/>
    <w:rsid w:val="00BC23FF"/>
    <w:rsid w:val="00BC5C99"/>
    <w:rsid w:val="00BD0DE5"/>
    <w:rsid w:val="00BD27B2"/>
    <w:rsid w:val="00BD57E3"/>
    <w:rsid w:val="00BE2E0B"/>
    <w:rsid w:val="00BE3BE4"/>
    <w:rsid w:val="00BE5550"/>
    <w:rsid w:val="00BF58C9"/>
    <w:rsid w:val="00C03731"/>
    <w:rsid w:val="00C044C1"/>
    <w:rsid w:val="00C063DD"/>
    <w:rsid w:val="00C12B28"/>
    <w:rsid w:val="00C15C5E"/>
    <w:rsid w:val="00C206E5"/>
    <w:rsid w:val="00C21594"/>
    <w:rsid w:val="00C240F6"/>
    <w:rsid w:val="00C27B17"/>
    <w:rsid w:val="00C30639"/>
    <w:rsid w:val="00C311A5"/>
    <w:rsid w:val="00C4391D"/>
    <w:rsid w:val="00C472C6"/>
    <w:rsid w:val="00C47D31"/>
    <w:rsid w:val="00C5077B"/>
    <w:rsid w:val="00C559EC"/>
    <w:rsid w:val="00C5725B"/>
    <w:rsid w:val="00C61C26"/>
    <w:rsid w:val="00C678BE"/>
    <w:rsid w:val="00C744B6"/>
    <w:rsid w:val="00C744B7"/>
    <w:rsid w:val="00C74A09"/>
    <w:rsid w:val="00C90F2F"/>
    <w:rsid w:val="00CA3ABB"/>
    <w:rsid w:val="00CB1B52"/>
    <w:rsid w:val="00CB1E4F"/>
    <w:rsid w:val="00CB5768"/>
    <w:rsid w:val="00CB6B2A"/>
    <w:rsid w:val="00CC0409"/>
    <w:rsid w:val="00CC309B"/>
    <w:rsid w:val="00CC35A2"/>
    <w:rsid w:val="00CC7927"/>
    <w:rsid w:val="00CD0856"/>
    <w:rsid w:val="00CD784B"/>
    <w:rsid w:val="00CE0BC6"/>
    <w:rsid w:val="00CF6697"/>
    <w:rsid w:val="00D04CD4"/>
    <w:rsid w:val="00D05A2D"/>
    <w:rsid w:val="00D066AA"/>
    <w:rsid w:val="00D12AC4"/>
    <w:rsid w:val="00D15008"/>
    <w:rsid w:val="00D15B3B"/>
    <w:rsid w:val="00D20AC3"/>
    <w:rsid w:val="00D50FAD"/>
    <w:rsid w:val="00D63056"/>
    <w:rsid w:val="00D67C2A"/>
    <w:rsid w:val="00D70040"/>
    <w:rsid w:val="00D7143F"/>
    <w:rsid w:val="00D74036"/>
    <w:rsid w:val="00DA10DB"/>
    <w:rsid w:val="00DC6321"/>
    <w:rsid w:val="00DD3D93"/>
    <w:rsid w:val="00DD4E3E"/>
    <w:rsid w:val="00DD6689"/>
    <w:rsid w:val="00DF0CB8"/>
    <w:rsid w:val="00DF3F66"/>
    <w:rsid w:val="00E12747"/>
    <w:rsid w:val="00E14659"/>
    <w:rsid w:val="00E24FEA"/>
    <w:rsid w:val="00E314D0"/>
    <w:rsid w:val="00E34849"/>
    <w:rsid w:val="00E4075E"/>
    <w:rsid w:val="00E414DB"/>
    <w:rsid w:val="00E456D4"/>
    <w:rsid w:val="00E47767"/>
    <w:rsid w:val="00E62893"/>
    <w:rsid w:val="00E67257"/>
    <w:rsid w:val="00E704CC"/>
    <w:rsid w:val="00E721D1"/>
    <w:rsid w:val="00E72CDB"/>
    <w:rsid w:val="00E8736C"/>
    <w:rsid w:val="00E9571D"/>
    <w:rsid w:val="00E97FB6"/>
    <w:rsid w:val="00EB5DA8"/>
    <w:rsid w:val="00EC2292"/>
    <w:rsid w:val="00EF1981"/>
    <w:rsid w:val="00EF4611"/>
    <w:rsid w:val="00F0418D"/>
    <w:rsid w:val="00F049CC"/>
    <w:rsid w:val="00F04EC6"/>
    <w:rsid w:val="00F1217C"/>
    <w:rsid w:val="00F126E5"/>
    <w:rsid w:val="00F152C4"/>
    <w:rsid w:val="00F21784"/>
    <w:rsid w:val="00F21B6A"/>
    <w:rsid w:val="00F26AB3"/>
    <w:rsid w:val="00F30E1E"/>
    <w:rsid w:val="00F32286"/>
    <w:rsid w:val="00F34410"/>
    <w:rsid w:val="00F40BA4"/>
    <w:rsid w:val="00F46D75"/>
    <w:rsid w:val="00F562EF"/>
    <w:rsid w:val="00F668A6"/>
    <w:rsid w:val="00F70F49"/>
    <w:rsid w:val="00F837DE"/>
    <w:rsid w:val="00FA0FB3"/>
    <w:rsid w:val="00FA634C"/>
    <w:rsid w:val="00FA79CC"/>
    <w:rsid w:val="00FA7B77"/>
    <w:rsid w:val="00FB11FD"/>
    <w:rsid w:val="00FB4F1B"/>
    <w:rsid w:val="00FB57B9"/>
    <w:rsid w:val="00FC186E"/>
    <w:rsid w:val="00FD5BC4"/>
    <w:rsid w:val="00FD5BEC"/>
    <w:rsid w:val="00FD5E47"/>
    <w:rsid w:val="00FD7332"/>
    <w:rsid w:val="00FE7E23"/>
    <w:rsid w:val="00FF347B"/>
    <w:rsid w:val="00FF6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75B84B"/>
  <w15:chartTrackingRefBased/>
  <w15:docId w15:val="{8F924623-3C60-4298-A004-980D9F4FC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46E9A"/>
  </w:style>
  <w:style w:type="paragraph" w:styleId="Nadpis1">
    <w:name w:val="heading 1"/>
    <w:basedOn w:val="Normln"/>
    <w:next w:val="Normln"/>
    <w:link w:val="Nadpis1Char"/>
    <w:uiPriority w:val="1"/>
    <w:qFormat/>
    <w:rsid w:val="00200551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773B0B"/>
    <w:pPr>
      <w:keepNext/>
      <w:keepLines/>
      <w:suppressAutoHyphens/>
      <w:spacing w:before="280" w:after="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200551"/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773B0B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Poznmky">
    <w:name w:val="Poznámky"/>
    <w:basedOn w:val="Normln"/>
    <w:qFormat/>
    <w:rsid w:val="00200551"/>
    <w:pPr>
      <w:pBdr>
        <w:top w:val="single" w:sz="4" w:space="4" w:color="auto"/>
      </w:pBdr>
      <w:spacing w:after="0"/>
      <w:jc w:val="left"/>
    </w:pPr>
    <w:rPr>
      <w:i/>
      <w:sz w:val="18"/>
    </w:rPr>
  </w:style>
  <w:style w:type="paragraph" w:customStyle="1" w:styleId="Poznmky0">
    <w:name w:val="Poznámky_"/>
    <w:next w:val="Normln"/>
    <w:qFormat/>
    <w:rsid w:val="00985B76"/>
    <w:pPr>
      <w:pBdr>
        <w:top w:val="single" w:sz="4" w:space="9" w:color="auto"/>
      </w:pBdr>
      <w:spacing w:before="280" w:after="0"/>
    </w:pPr>
    <w:rPr>
      <w:rFonts w:ascii="Arial" w:eastAsia="Calibri" w:hAnsi="Arial" w:cs="ArialMT"/>
      <w:i/>
      <w:kern w:val="0"/>
      <w:sz w:val="18"/>
      <w:szCs w:val="18"/>
      <w14:ligatures w14:val="none"/>
    </w:rPr>
  </w:style>
  <w:style w:type="paragraph" w:styleId="Zkladntext2">
    <w:name w:val="Body Text 2"/>
    <w:basedOn w:val="Normln"/>
    <w:link w:val="Zkladntext2Char"/>
    <w:semiHidden/>
    <w:rsid w:val="00985B76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eastAsia="cs-CZ"/>
      <w14:ligatures w14:val="none"/>
    </w:rPr>
  </w:style>
  <w:style w:type="character" w:customStyle="1" w:styleId="Zkladntext2Char">
    <w:name w:val="Základní text 2 Char"/>
    <w:basedOn w:val="Standardnpsmoodstavce"/>
    <w:link w:val="Zkladntext2"/>
    <w:semiHidden/>
    <w:rsid w:val="00985B76"/>
    <w:rPr>
      <w:rFonts w:ascii="Times New Roman" w:eastAsia="Times New Roman" w:hAnsi="Times New Roman" w:cs="Times New Roman"/>
      <w:kern w:val="0"/>
      <w:szCs w:val="24"/>
      <w:lang w:eastAsia="cs-CZ"/>
      <w14:ligatures w14:val="none"/>
    </w:rPr>
  </w:style>
  <w:style w:type="character" w:styleId="Sledovanodkaz">
    <w:name w:val="FollowedHyperlink"/>
    <w:basedOn w:val="Standardnpsmoodstavce"/>
    <w:uiPriority w:val="99"/>
    <w:semiHidden/>
    <w:unhideWhenUsed/>
    <w:rsid w:val="00456191"/>
    <w:rPr>
      <w:color w:val="00459B" w:themeColor="followedHyperlink"/>
      <w:u w:val="single"/>
    </w:rPr>
  </w:style>
  <w:style w:type="paragraph" w:styleId="Revize">
    <w:name w:val="Revision"/>
    <w:hidden/>
    <w:uiPriority w:val="99"/>
    <w:semiHidden/>
    <w:rsid w:val="00DF0CB8"/>
    <w:pPr>
      <w:spacing w:after="0" w:line="240" w:lineRule="auto"/>
      <w:jc w:val="left"/>
    </w:pPr>
  </w:style>
  <w:style w:type="character" w:styleId="Odkaznakoment">
    <w:name w:val="annotation reference"/>
    <w:basedOn w:val="Standardnpsmoodstavce"/>
    <w:uiPriority w:val="99"/>
    <w:semiHidden/>
    <w:unhideWhenUsed/>
    <w:rsid w:val="0050051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00517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rsid w:val="00500517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0051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005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aroslav.kahoun@csu.gov.cz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etr.musil@csu.gov.cz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csu.gov.cz/vladni-financni-statistika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ABFS3\BARANNU\nu\NOTIFIKACE\internet\2026\DATA\data_100126_&#382;iv&#283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stacked"/>
        <c:varyColors val="0"/>
        <c:ser>
          <c:idx val="2"/>
          <c:order val="1"/>
          <c:tx>
            <c:strRef>
              <c:f>'RI '!$A$74</c:f>
              <c:strCache>
                <c:ptCount val="1"/>
                <c:pt idx="0">
                  <c:v>vliv změny HDP</c:v>
                </c:pt>
              </c:strCache>
            </c:strRef>
          </c:tx>
          <c:spPr>
            <a:solidFill>
              <a:srgbClr val="00469B"/>
            </a:solidFill>
            <a:ln>
              <a:noFill/>
            </a:ln>
            <a:effectLst/>
          </c:spPr>
          <c:invertIfNegative val="0"/>
          <c:cat>
            <c:strRef>
              <c:f>'RI '!$F$72:$I$72</c:f>
              <c:strCache>
                <c:ptCount val="4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</c:strCache>
            </c:strRef>
          </c:cat>
          <c:val>
            <c:numRef>
              <c:f>'RI '!$F$74:$I$74</c:f>
              <c:numCache>
                <c:formatCode>0.0</c:formatCode>
                <c:ptCount val="4"/>
                <c:pt idx="0">
                  <c:v>-4.2835144964379737</c:v>
                </c:pt>
                <c:pt idx="1">
                  <c:v>-3.3850351915128059</c:v>
                </c:pt>
                <c:pt idx="2">
                  <c:v>-2.1435936641715827</c:v>
                </c:pt>
                <c:pt idx="3">
                  <c:v>-2.5404976633478711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201-4676-B8FE-F10A051A2FD2}"/>
            </c:ext>
          </c:extLst>
        </c:ser>
        <c:ser>
          <c:idx val="3"/>
          <c:order val="2"/>
          <c:tx>
            <c:strRef>
              <c:f>'RI '!$A$75</c:f>
              <c:strCache>
                <c:ptCount val="1"/>
                <c:pt idx="0">
                  <c:v>vliv změny dluhu</c:v>
                </c:pt>
              </c:strCache>
            </c:strRef>
          </c:tx>
          <c:spPr>
            <a:solidFill>
              <a:srgbClr val="D70C0F"/>
            </a:solidFill>
            <a:ln>
              <a:noFill/>
            </a:ln>
            <a:effectLst/>
          </c:spPr>
          <c:invertIfNegative val="0"/>
          <c:cat>
            <c:strRef>
              <c:f>'RI '!$F$72:$I$72</c:f>
              <c:strCache>
                <c:ptCount val="4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</c:strCache>
            </c:strRef>
          </c:cat>
          <c:val>
            <c:numRef>
              <c:f>'RI '!$F$75:$I$75</c:f>
              <c:numCache>
                <c:formatCode>0.0</c:formatCode>
                <c:ptCount val="4"/>
                <c:pt idx="0">
                  <c:v>6.1118840171849911</c:v>
                </c:pt>
                <c:pt idx="1">
                  <c:v>3.0872147635892233</c:v>
                </c:pt>
                <c:pt idx="2">
                  <c:v>3.1526548809652724</c:v>
                </c:pt>
                <c:pt idx="3">
                  <c:v>3.4847623806677746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201-4676-B8FE-F10A051A2FD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515520352"/>
        <c:axId val="1515512032"/>
      </c:barChart>
      <c:scatterChart>
        <c:scatterStyle val="lineMarker"/>
        <c:varyColors val="0"/>
        <c:ser>
          <c:idx val="1"/>
          <c:order val="0"/>
          <c:tx>
            <c:strRef>
              <c:f>'RI '!$A$73</c:f>
              <c:strCache>
                <c:ptCount val="1"/>
                <c:pt idx="0">
                  <c:v>celková změna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3175">
                <a:solidFill>
                  <a:schemeClr val="tx1"/>
                </a:solidFill>
              </a:ln>
              <a:effectLst/>
            </c:spPr>
          </c:marker>
          <c:dPt>
            <c:idx val="3"/>
            <c:marker>
              <c:symbol val="circle"/>
              <c:size val="5"/>
              <c:spPr>
                <a:solidFill>
                  <a:schemeClr val="bg1"/>
                </a:solidFill>
                <a:ln w="3175">
                  <a:solidFill>
                    <a:schemeClr val="tx1"/>
                  </a:solidFill>
                </a:ln>
                <a:effectLst/>
              </c:spPr>
            </c:marker>
            <c:bubble3D val="0"/>
            <c:spPr>
              <a:ln w="25400" cap="rnd">
                <a:noFill/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3-E201-4676-B8FE-F10A051A2FD2}"/>
              </c:ext>
            </c:extLst>
          </c:dPt>
          <c:dLbls>
            <c:dLbl>
              <c:idx val="0"/>
              <c:layout>
                <c:manualLayout>
                  <c:x val="-3.2470405485028657E-2"/>
                  <c:y val="-4.32787654120554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E201-4676-B8FE-F10A051A2FD2}"/>
                </c:ext>
              </c:extLst>
            </c:dLbl>
            <c:dLbl>
              <c:idx val="1"/>
              <c:layout>
                <c:manualLayout>
                  <c:x val="-3.0457442819647546E-2"/>
                  <c:y val="-7.10631274183510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201-4676-B8FE-F10A051A2FD2}"/>
                </c:ext>
              </c:extLst>
            </c:dLbl>
            <c:dLbl>
              <c:idx val="2"/>
              <c:layout>
                <c:manualLayout>
                  <c:x val="-2.8969057439248665E-2"/>
                  <c:y val="-5.65071118687483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E201-4676-B8FE-F10A051A2FD2}"/>
                </c:ext>
              </c:extLst>
            </c:dLbl>
            <c:dLbl>
              <c:idx val="3"/>
              <c:layout>
                <c:manualLayout>
                  <c:x val="-3.2168836038352348E-2"/>
                  <c:y val="-4.331340025795740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201-4676-B8FE-F10A051A2FD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yVal>
            <c:numRef>
              <c:f>'RI '!$F$73:$I$73</c:f>
              <c:numCache>
                <c:formatCode>0.0</c:formatCode>
                <c:ptCount val="4"/>
                <c:pt idx="0">
                  <c:v>1.8283695207470174</c:v>
                </c:pt>
                <c:pt idx="1">
                  <c:v>-0.29782042792358254</c:v>
                </c:pt>
                <c:pt idx="2">
                  <c:v>1.0090612167936897</c:v>
                </c:pt>
                <c:pt idx="3">
                  <c:v>0.94426471731990347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7-E201-4676-B8FE-F10A051A2FD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515520352"/>
        <c:axId val="1515512032"/>
      </c:scatterChart>
      <c:catAx>
        <c:axId val="15155203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cs-CZ"/>
          </a:p>
        </c:txPr>
        <c:crossAx val="1515512032"/>
        <c:crosses val="autoZero"/>
        <c:auto val="1"/>
        <c:lblAlgn val="ctr"/>
        <c:lblOffset val="100"/>
        <c:noMultiLvlLbl val="0"/>
      </c:catAx>
      <c:valAx>
        <c:axId val="1515512032"/>
        <c:scaling>
          <c:orientation val="minMax"/>
        </c:scaling>
        <c:delete val="0"/>
        <c:axPos val="l"/>
        <c:majorGridlines>
          <c:spPr>
            <a:ln w="6350" cap="flat" cmpd="sng" algn="ctr">
              <a:solidFill>
                <a:schemeClr val="bg1"/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cs-CZ" sz="800">
                    <a:latin typeface="Arial" panose="020B0604020202020204" pitchFamily="34" charset="0"/>
                    <a:cs typeface="Arial" panose="020B0604020202020204" pitchFamily="34" charset="0"/>
                  </a:rPr>
                  <a:t>p. b.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cs-CZ"/>
            </a:p>
          </c:txPr>
        </c:title>
        <c:numFmt formatCode="0" sourceLinked="0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5155203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baseline="0">
          <a:solidFill>
            <a:sysClr val="windowText" lastClr="000000"/>
          </a:solidFill>
        </a:defRPr>
      </a:pPr>
      <a:endParaRPr lang="cs-CZ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75872B8E9CF4C04BE3F32A742F7ED2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5531E22-8245-4D26-831B-2AE7BCA0D57A}"/>
      </w:docPartPr>
      <w:docPartBody>
        <w:p w:rsidR="00FB1BC5" w:rsidRDefault="00FB1BC5">
          <w:pPr>
            <w:pStyle w:val="A75872B8E9CF4C04BE3F32A742F7ED24"/>
          </w:pPr>
          <w:r w:rsidRPr="000C0286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BC5"/>
    <w:rsid w:val="000A6BAC"/>
    <w:rsid w:val="001657E3"/>
    <w:rsid w:val="001B0311"/>
    <w:rsid w:val="001D1470"/>
    <w:rsid w:val="0024442C"/>
    <w:rsid w:val="003D1629"/>
    <w:rsid w:val="005F546A"/>
    <w:rsid w:val="005F6667"/>
    <w:rsid w:val="008355D9"/>
    <w:rsid w:val="0087655C"/>
    <w:rsid w:val="00880155"/>
    <w:rsid w:val="008D7C52"/>
    <w:rsid w:val="00A55DE4"/>
    <w:rsid w:val="00A81D67"/>
    <w:rsid w:val="00AF3C86"/>
    <w:rsid w:val="00B5684C"/>
    <w:rsid w:val="00C03731"/>
    <w:rsid w:val="00D15008"/>
    <w:rsid w:val="00F126E5"/>
    <w:rsid w:val="00F32286"/>
    <w:rsid w:val="00F46D75"/>
    <w:rsid w:val="00FB1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666666"/>
    </w:rPr>
  </w:style>
  <w:style w:type="paragraph" w:customStyle="1" w:styleId="A75872B8E9CF4C04BE3F32A742F7ED24">
    <w:name w:val="A75872B8E9CF4C04BE3F32A742F7ED2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E00E32D9964647925B05BE21A1B4C5" ma:contentTypeVersion="7" ma:contentTypeDescription="Vytvoří nový dokument" ma:contentTypeScope="" ma:versionID="95af9ca08a4a9d1bc57791a941890564">
  <xsd:schema xmlns:xsd="http://www.w3.org/2001/XMLSchema" xmlns:xs="http://www.w3.org/2001/XMLSchema" xmlns:p="http://schemas.microsoft.com/office/2006/metadata/properties" xmlns:ns2="6f5a4aca-455c-4012-a902-4d97d6c174df" targetNamespace="http://schemas.microsoft.com/office/2006/metadata/properties" ma:root="true" ma:fieldsID="929800427860fcf7e20516a4b343b8ce" ns2:_="">
    <xsd:import namespace="6f5a4aca-455c-4012-a902-4d97d6c174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a4aca-455c-4012-a902-4d97d6c174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C102256-3A31-4737-A534-DCDA398E8874}"/>
</file>

<file path=customXml/itemProps3.xml><?xml version="1.0" encoding="utf-8"?>
<ds:datastoreItem xmlns:ds="http://schemas.openxmlformats.org/officeDocument/2006/customXml" ds:itemID="{1C70789B-7DE5-43F3-AC77-5FBD9F0692FA}">
  <ds:schemaRefs>
    <ds:schemaRef ds:uri="http://schemas.microsoft.com/office/2006/metadata/properties"/>
    <ds:schemaRef ds:uri="http://schemas.microsoft.com/office/infopath/2007/PartnerControls"/>
    <ds:schemaRef ds:uri="8675fb2b-b414-4bad-b4c4-d9349268b5a1"/>
    <ds:schemaRef ds:uri="406a38fe-c53c-4047-b0f8-c641386931ae"/>
  </ds:schemaRefs>
</ds:datastoreItem>
</file>

<file path=customXml/itemProps4.xml><?xml version="1.0" encoding="utf-8"?>
<ds:datastoreItem xmlns:ds="http://schemas.openxmlformats.org/officeDocument/2006/customXml" ds:itemID="{C45F2BFF-B860-4BCB-BD6E-29CA14312D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3</Pages>
  <Words>739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Rychlá informace CZ</vt:lpstr>
    </vt:vector>
  </TitlesOfParts>
  <Company/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Rychlá informace CZ</dc:title>
  <dc:subject/>
  <dc:creator>Musil Petr</dc:creator>
  <cp:keywords/>
  <dc:description/>
  <cp:lastModifiedBy>Musil Petr</cp:lastModifiedBy>
  <cp:revision>43</cp:revision>
  <cp:lastPrinted>2026-09-30T06:18:00Z</cp:lastPrinted>
  <dcterms:created xsi:type="dcterms:W3CDTF">2026-09-10T09:54:00Z</dcterms:created>
  <dcterms:modified xsi:type="dcterms:W3CDTF">2026-09-30T07:09:00Z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0x0101001BE00E32D9964647925B05BE21A1B4C5</vt:lpwstr>
  </property>
  <property fmtid="{D5CDD505-2E9C-101B-9397-08002B2CF9AE}" pid="3" name="MediaServiceImageTags">
    <vt:lpwstr/>
  </property>
  <property fmtid="{D5CDD505-2E9C-101B-9397-08002B2CF9AE}" pid="4" name="Order">
    <vt:r8>183900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