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449F7" w14:textId="4063CF41" w:rsidR="00F21B6A" w:rsidRPr="001D57D2" w:rsidRDefault="0095322F" w:rsidP="00F21B6A">
      <w:pPr>
        <w:pStyle w:val="Nadpis1"/>
        <w:rPr>
          <w:lang w:val="en-GB"/>
        </w:rPr>
      </w:pPr>
      <w:r>
        <w:rPr>
          <w:lang w:val="en-GB"/>
        </w:rPr>
        <w:t xml:space="preserve">General government debt reached 43.8% </w:t>
      </w:r>
      <w:r w:rsidR="00B93439">
        <w:rPr>
          <w:lang w:val="en-GB"/>
        </w:rPr>
        <w:t xml:space="preserve">of the </w:t>
      </w:r>
      <w:r>
        <w:rPr>
          <w:lang w:val="en-GB"/>
        </w:rPr>
        <w:t>GDP</w:t>
      </w:r>
    </w:p>
    <w:p w14:paraId="41D66F9B" w14:textId="01420061" w:rsidR="00F21B6A" w:rsidRPr="001D57D2" w:rsidRDefault="00423B11" w:rsidP="00200551">
      <w:pPr>
        <w:jc w:val="left"/>
        <w:rPr>
          <w:lang w:val="en-GB"/>
        </w:rPr>
      </w:pPr>
      <w:r w:rsidRPr="001D57D2">
        <w:rPr>
          <w:lang w:val="en-GB"/>
        </w:rPr>
        <w:t>1 </w:t>
      </w:r>
      <w:r w:rsidR="00231050" w:rsidRPr="001D57D2">
        <w:rPr>
          <w:lang w:val="en-GB"/>
        </w:rPr>
        <w:t>October</w:t>
      </w:r>
      <w:r w:rsidRPr="001D57D2">
        <w:rPr>
          <w:lang w:val="en-GB"/>
        </w:rPr>
        <w:t xml:space="preserve"> 2026</w:t>
      </w:r>
    </w:p>
    <w:p w14:paraId="5A847635" w14:textId="127E1255" w:rsidR="00773B0B" w:rsidRPr="001D57D2" w:rsidRDefault="00535481" w:rsidP="00773B0B">
      <w:pPr>
        <w:pStyle w:val="Nadpis2"/>
        <w:rPr>
          <w:lang w:val="en-GB"/>
        </w:rPr>
      </w:pPr>
      <w:r w:rsidRPr="001D57D2">
        <w:rPr>
          <w:lang w:val="en-GB"/>
        </w:rPr>
        <w:t xml:space="preserve">Government deficit and debt – the </w:t>
      </w:r>
      <w:r w:rsidR="00231050" w:rsidRPr="001D57D2">
        <w:rPr>
          <w:lang w:val="en-GB"/>
        </w:rPr>
        <w:t>second</w:t>
      </w:r>
      <w:r w:rsidRPr="001D57D2">
        <w:rPr>
          <w:lang w:val="en-GB"/>
        </w:rPr>
        <w:t xml:space="preserve"> quarter of 2026</w:t>
      </w:r>
    </w:p>
    <w:p w14:paraId="441F5C49" w14:textId="6CDC4FB6" w:rsidR="009414F1" w:rsidRPr="001D57D2" w:rsidRDefault="0040680B" w:rsidP="009414F1">
      <w:pPr>
        <w:pStyle w:val="Perex"/>
      </w:pPr>
      <w:r w:rsidRPr="001D57D2">
        <w:t xml:space="preserve">In the </w:t>
      </w:r>
      <w:r w:rsidR="00231050" w:rsidRPr="001D57D2">
        <w:t>Q2</w:t>
      </w:r>
      <w:r w:rsidRPr="001D57D2">
        <w:t xml:space="preserve"> 2026, the general government sector balance ended up with a deficit corresponding to </w:t>
      </w:r>
      <w:r w:rsidR="00AC312F" w:rsidRPr="001D57D2">
        <w:t>1</w:t>
      </w:r>
      <w:r w:rsidRPr="001D57D2">
        <w:t>.5% of the GDP. The government debt ratio reached 4</w:t>
      </w:r>
      <w:r w:rsidR="00AC312F" w:rsidRPr="001D57D2">
        <w:t>3</w:t>
      </w:r>
      <w:r w:rsidRPr="001D57D2">
        <w:t>.</w:t>
      </w:r>
      <w:r w:rsidR="00AC312F" w:rsidRPr="001D57D2">
        <w:t>8</w:t>
      </w:r>
      <w:r w:rsidRPr="001D57D2">
        <w:t>% of the GDP.</w:t>
      </w:r>
    </w:p>
    <w:p w14:paraId="525DC1D6" w14:textId="19ABCC82" w:rsidR="00FB1F5E" w:rsidRPr="001D57D2" w:rsidRDefault="00FB1F5E" w:rsidP="009414F1">
      <w:pPr>
        <w:jc w:val="left"/>
        <w:rPr>
          <w:rFonts w:eastAsiaTheme="majorEastAsia" w:cstheme="majorBidi"/>
          <w:b/>
          <w:bCs/>
          <w:color w:val="545860" w:themeColor="text2"/>
        </w:rPr>
      </w:pPr>
      <w:r w:rsidRPr="001D57D2">
        <w:rPr>
          <w:rFonts w:eastAsiaTheme="majorEastAsia" w:cstheme="majorBidi"/>
          <w:b/>
          <w:bCs/>
          <w:color w:val="545860" w:themeColor="text2"/>
        </w:rPr>
        <w:t xml:space="preserve">General government sector balance </w:t>
      </w:r>
    </w:p>
    <w:p w14:paraId="682929C6" w14:textId="53B5F464" w:rsidR="00535481" w:rsidRPr="001D57D2" w:rsidRDefault="00542C22" w:rsidP="009414F1">
      <w:pPr>
        <w:jc w:val="left"/>
        <w:rPr>
          <w:lang w:val="en-GB"/>
        </w:rPr>
      </w:pPr>
      <w:r w:rsidRPr="001D57D2">
        <w:t xml:space="preserve">In the </w:t>
      </w:r>
      <w:r w:rsidR="00231050" w:rsidRPr="001D57D2">
        <w:t>Q2</w:t>
      </w:r>
      <w:r w:rsidRPr="001D57D2">
        <w:t xml:space="preserve"> 2026, the general government sector deficit reached CZK</w:t>
      </w:r>
      <w:r w:rsidR="002226BC" w:rsidRPr="001D57D2">
        <w:t> </w:t>
      </w:r>
      <w:r w:rsidR="00DF6351" w:rsidRPr="001D57D2">
        <w:t>33</w:t>
      </w:r>
      <w:r w:rsidRPr="001D57D2">
        <w:t>.3</w:t>
      </w:r>
      <w:r w:rsidR="002226BC" w:rsidRPr="001D57D2">
        <w:t> </w:t>
      </w:r>
      <w:r w:rsidRPr="001D57D2">
        <w:t>billion</w:t>
      </w:r>
      <w:r w:rsidR="00A57E08">
        <w:t xml:space="preserve"> (bn)</w:t>
      </w:r>
      <w:r w:rsidRPr="001D57D2">
        <w:t>, which means that it worsened by CZK</w:t>
      </w:r>
      <w:r w:rsidR="002226BC" w:rsidRPr="001D57D2">
        <w:t> </w:t>
      </w:r>
      <w:r w:rsidR="00DF6351" w:rsidRPr="001D57D2">
        <w:t>42</w:t>
      </w:r>
      <w:r w:rsidRPr="001D57D2">
        <w:t>.6</w:t>
      </w:r>
      <w:r w:rsidR="002226BC" w:rsidRPr="001D57D2">
        <w:t> </w:t>
      </w:r>
      <w:r w:rsidRPr="001D57D2">
        <w:t>billion in the year-on-year comparison. The central government ended up with a</w:t>
      </w:r>
      <w:r w:rsidR="00A81AFF" w:rsidRPr="001D57D2">
        <w:t> </w:t>
      </w:r>
      <w:r w:rsidRPr="001D57D2">
        <w:t>deficit of CZK</w:t>
      </w:r>
      <w:r w:rsidR="00A81AFF" w:rsidRPr="001D57D2">
        <w:t> </w:t>
      </w:r>
      <w:r w:rsidR="00DF6351" w:rsidRPr="001D57D2">
        <w:t>107</w:t>
      </w:r>
      <w:r w:rsidRPr="001D57D2">
        <w:t>.</w:t>
      </w:r>
      <w:r w:rsidR="00DF6351" w:rsidRPr="001D57D2">
        <w:t>1</w:t>
      </w:r>
      <w:r w:rsidR="00A81AFF" w:rsidRPr="001D57D2">
        <w:t> </w:t>
      </w:r>
      <w:r w:rsidRPr="001D57D2">
        <w:t xml:space="preserve">billion that </w:t>
      </w:r>
      <w:r w:rsidR="00DF6351" w:rsidRPr="001D57D2">
        <w:t>increased</w:t>
      </w:r>
      <w:r w:rsidRPr="001D57D2">
        <w:t xml:space="preserve"> by CZK</w:t>
      </w:r>
      <w:r w:rsidR="00A81AFF" w:rsidRPr="001D57D2">
        <w:t> </w:t>
      </w:r>
      <w:r w:rsidR="00DF6351" w:rsidRPr="001D57D2">
        <w:t>74</w:t>
      </w:r>
      <w:r w:rsidRPr="001D57D2">
        <w:t>.</w:t>
      </w:r>
      <w:r w:rsidR="00DF6351" w:rsidRPr="001D57D2">
        <w:t>7</w:t>
      </w:r>
      <w:r w:rsidR="00A81AFF" w:rsidRPr="001D57D2">
        <w:t> </w:t>
      </w:r>
      <w:r w:rsidRPr="001D57D2">
        <w:t>billion, y-o-y. Performance of the local government sector ended up with a surplus in the amount of CZK</w:t>
      </w:r>
      <w:r w:rsidR="00A81AFF" w:rsidRPr="001D57D2">
        <w:t> </w:t>
      </w:r>
      <w:r w:rsidR="00DF6351" w:rsidRPr="001D57D2">
        <w:t>60</w:t>
      </w:r>
      <w:r w:rsidRPr="001D57D2">
        <w:t>.</w:t>
      </w:r>
      <w:r w:rsidR="00DF6351" w:rsidRPr="001D57D2">
        <w:t>7</w:t>
      </w:r>
      <w:r w:rsidR="00A81AFF" w:rsidRPr="001D57D2">
        <w:t> </w:t>
      </w:r>
      <w:r w:rsidRPr="001D57D2">
        <w:t xml:space="preserve">billion, which means, in a year-on-year comparison, </w:t>
      </w:r>
      <w:r w:rsidR="00DF6351" w:rsidRPr="001D57D2">
        <w:t>improvement</w:t>
      </w:r>
      <w:r w:rsidRPr="001D57D2">
        <w:t xml:space="preserve"> by CZK</w:t>
      </w:r>
      <w:r w:rsidR="00EA621E" w:rsidRPr="001D57D2">
        <w:t> </w:t>
      </w:r>
      <w:r w:rsidRPr="001D57D2">
        <w:t>19.</w:t>
      </w:r>
      <w:r w:rsidR="00DF6351" w:rsidRPr="001D57D2">
        <w:t>6</w:t>
      </w:r>
      <w:r w:rsidR="00EA621E" w:rsidRPr="001D57D2">
        <w:t> </w:t>
      </w:r>
      <w:r w:rsidRPr="001D57D2">
        <w:t xml:space="preserve">billion. Performance of social security funds (of health insurance companies) ended up with a </w:t>
      </w:r>
      <w:r w:rsidR="002C0EAA">
        <w:t>surplus</w:t>
      </w:r>
      <w:r w:rsidRPr="001D57D2">
        <w:t xml:space="preserve"> of CZK</w:t>
      </w:r>
      <w:r w:rsidR="00EA621E" w:rsidRPr="001D57D2">
        <w:t> </w:t>
      </w:r>
      <w:r w:rsidRPr="001D57D2">
        <w:t>1</w:t>
      </w:r>
      <w:r w:rsidR="00323B1B" w:rsidRPr="001D57D2">
        <w:t>3</w:t>
      </w:r>
      <w:r w:rsidRPr="001D57D2">
        <w:t>.</w:t>
      </w:r>
      <w:r w:rsidR="00323B1B" w:rsidRPr="001D57D2">
        <w:t>1</w:t>
      </w:r>
      <w:r w:rsidR="00EA621E" w:rsidRPr="001D57D2">
        <w:t> </w:t>
      </w:r>
      <w:r w:rsidRPr="001D57D2">
        <w:t>billion</w:t>
      </w:r>
      <w:r w:rsidR="00EE0D55" w:rsidRPr="001D57D2">
        <w:t>, by</w:t>
      </w:r>
      <w:r w:rsidR="00BD657F" w:rsidRPr="001D57D2">
        <w:t xml:space="preserve"> CZK </w:t>
      </w:r>
      <w:r w:rsidR="00EE0D55" w:rsidRPr="001D57D2">
        <w:t>1</w:t>
      </w:r>
      <w:r w:rsidR="00323B1B" w:rsidRPr="001D57D2">
        <w:t>2</w:t>
      </w:r>
      <w:r w:rsidR="00EE0D55" w:rsidRPr="001D57D2">
        <w:t>.</w:t>
      </w:r>
      <w:r w:rsidR="00323B1B" w:rsidRPr="001D57D2">
        <w:t>5</w:t>
      </w:r>
      <w:r w:rsidR="00EE0D55" w:rsidRPr="001D57D2">
        <w:t xml:space="preserve"> billion </w:t>
      </w:r>
      <w:r w:rsidR="00323B1B" w:rsidRPr="001D57D2">
        <w:t>higher</w:t>
      </w:r>
      <w:r w:rsidR="00EE0D55" w:rsidRPr="001D57D2">
        <w:t>, year-on-year.</w:t>
      </w:r>
    </w:p>
    <w:p w14:paraId="07F5E7F8" w14:textId="66366D51" w:rsidR="006A57CC" w:rsidRPr="001D57D2" w:rsidRDefault="002B774C" w:rsidP="00535481">
      <w:pPr>
        <w:jc w:val="left"/>
        <w:rPr>
          <w:i/>
          <w:iCs/>
        </w:rPr>
      </w:pPr>
      <w:r w:rsidRPr="001D57D2">
        <w:rPr>
          <w:i/>
          <w:iCs/>
          <w:lang w:val="en-GB"/>
        </w:rPr>
        <w:t xml:space="preserve">“In the </w:t>
      </w:r>
      <w:r w:rsidR="00231050" w:rsidRPr="001D57D2">
        <w:rPr>
          <w:i/>
          <w:iCs/>
          <w:lang w:val="en-GB"/>
        </w:rPr>
        <w:t>second</w:t>
      </w:r>
      <w:r w:rsidRPr="001D57D2">
        <w:rPr>
          <w:i/>
          <w:iCs/>
          <w:lang w:val="en-GB"/>
        </w:rPr>
        <w:t xml:space="preserve"> quarter of 2026, the general government sector ended up with a deficit of CZK</w:t>
      </w:r>
      <w:r w:rsidR="00AA28B3">
        <w:rPr>
          <w:i/>
          <w:iCs/>
          <w:lang w:val="en-GB"/>
        </w:rPr>
        <w:t> </w:t>
      </w:r>
      <w:r w:rsidR="00002270" w:rsidRPr="001D57D2">
        <w:rPr>
          <w:i/>
          <w:iCs/>
          <w:lang w:val="en-GB"/>
        </w:rPr>
        <w:t>33</w:t>
      </w:r>
      <w:r w:rsidRPr="001D57D2">
        <w:rPr>
          <w:i/>
          <w:iCs/>
          <w:lang w:val="en-GB"/>
        </w:rPr>
        <w:t>.3</w:t>
      </w:r>
      <w:r w:rsidR="00AA28B3">
        <w:rPr>
          <w:i/>
          <w:iCs/>
          <w:lang w:val="en-GB"/>
        </w:rPr>
        <w:t> </w:t>
      </w:r>
      <w:r w:rsidRPr="001D57D2">
        <w:rPr>
          <w:i/>
          <w:iCs/>
          <w:lang w:val="en-GB"/>
        </w:rPr>
        <w:t xml:space="preserve">billion, which is in relative terms </w:t>
      </w:r>
      <w:r w:rsidR="00002270" w:rsidRPr="001D57D2">
        <w:rPr>
          <w:i/>
          <w:iCs/>
          <w:lang w:val="en-GB"/>
        </w:rPr>
        <w:t>1</w:t>
      </w:r>
      <w:r w:rsidRPr="001D57D2">
        <w:rPr>
          <w:i/>
          <w:iCs/>
          <w:lang w:val="en-GB"/>
        </w:rPr>
        <w:t>.5% of the GDP.</w:t>
      </w:r>
      <w:r w:rsidR="009414F1" w:rsidRPr="001D57D2">
        <w:t xml:space="preserve"> </w:t>
      </w:r>
      <w:r w:rsidR="0048670C" w:rsidRPr="001D57D2">
        <w:rPr>
          <w:i/>
          <w:iCs/>
        </w:rPr>
        <w:t>The government debt ratio increased to 4</w:t>
      </w:r>
      <w:r w:rsidR="00002270" w:rsidRPr="001D57D2">
        <w:rPr>
          <w:i/>
          <w:iCs/>
        </w:rPr>
        <w:t>3</w:t>
      </w:r>
      <w:r w:rsidR="0048670C" w:rsidRPr="001D57D2">
        <w:rPr>
          <w:i/>
          <w:iCs/>
        </w:rPr>
        <w:t>.</w:t>
      </w:r>
      <w:r w:rsidR="00002270" w:rsidRPr="001D57D2">
        <w:rPr>
          <w:i/>
          <w:iCs/>
        </w:rPr>
        <w:t>8</w:t>
      </w:r>
      <w:r w:rsidR="0048670C" w:rsidRPr="001D57D2">
        <w:rPr>
          <w:i/>
          <w:iCs/>
        </w:rPr>
        <w:t xml:space="preserve">% of the GDP, year-on-year,” </w:t>
      </w:r>
      <w:r w:rsidR="00231050" w:rsidRPr="001D57D2">
        <w:rPr>
          <w:lang w:val="en-GB"/>
        </w:rPr>
        <w:t>Petr Musil</w:t>
      </w:r>
      <w:r w:rsidR="00535481" w:rsidRPr="001D57D2">
        <w:rPr>
          <w:lang w:val="en-GB"/>
        </w:rPr>
        <w:t xml:space="preserve">, Director of the </w:t>
      </w:r>
      <w:r w:rsidR="007C12A4" w:rsidRPr="001D57D2">
        <w:rPr>
          <w:lang w:val="en-GB"/>
        </w:rPr>
        <w:t>Government and Financial Accounts Department</w:t>
      </w:r>
      <w:r w:rsidR="00535481" w:rsidRPr="001D57D2">
        <w:rPr>
          <w:lang w:val="en-GB"/>
        </w:rPr>
        <w:t xml:space="preserve"> of the Czech Statistical Office (CZSO), stated.</w:t>
      </w:r>
    </w:p>
    <w:p w14:paraId="5AAB4B0E" w14:textId="0B9AA5C6" w:rsidR="00AF2D75" w:rsidRPr="001D57D2" w:rsidRDefault="00AF2D75" w:rsidP="00AF2D75">
      <w:pPr>
        <w:jc w:val="left"/>
        <w:rPr>
          <w:b/>
          <w:bCs/>
        </w:rPr>
      </w:pPr>
      <w:r w:rsidRPr="001D57D2">
        <w:rPr>
          <w:b/>
          <w:bCs/>
        </w:rPr>
        <w:t>Table: The general government sector balance</w:t>
      </w:r>
    </w:p>
    <w:tbl>
      <w:tblPr>
        <w:tblW w:w="9000" w:type="dxa"/>
        <w:tblCellMar>
          <w:left w:w="70" w:type="dxa"/>
          <w:right w:w="70" w:type="dxa"/>
        </w:tblCellMar>
        <w:tblLook w:val="04A0" w:firstRow="1" w:lastRow="0" w:firstColumn="1" w:lastColumn="0" w:noHBand="0" w:noVBand="1"/>
      </w:tblPr>
      <w:tblGrid>
        <w:gridCol w:w="1246"/>
        <w:gridCol w:w="860"/>
        <w:gridCol w:w="860"/>
        <w:gridCol w:w="860"/>
        <w:gridCol w:w="861"/>
        <w:gridCol w:w="861"/>
        <w:gridCol w:w="861"/>
        <w:gridCol w:w="869"/>
        <w:gridCol w:w="861"/>
        <w:gridCol w:w="861"/>
      </w:tblGrid>
      <w:tr w:rsidR="00AF2D75" w:rsidRPr="001D57D2" w14:paraId="2D15B2DA" w14:textId="77777777" w:rsidTr="00AF2D75">
        <w:trPr>
          <w:trHeight w:val="300"/>
        </w:trPr>
        <w:tc>
          <w:tcPr>
            <w:tcW w:w="1360" w:type="dxa"/>
            <w:tcBorders>
              <w:top w:val="single" w:sz="8" w:space="0" w:color="00459B"/>
              <w:left w:val="single" w:sz="8" w:space="0" w:color="00459B"/>
              <w:bottom w:val="single" w:sz="8" w:space="0" w:color="00459B"/>
              <w:right w:val="single" w:sz="8" w:space="0" w:color="00459B"/>
            </w:tcBorders>
            <w:shd w:val="clear" w:color="000000" w:fill="00459B"/>
            <w:vAlign w:val="center"/>
            <w:hideMark/>
          </w:tcPr>
          <w:p w14:paraId="31DF0A93" w14:textId="77777777" w:rsidR="00AF2D75" w:rsidRPr="001D57D2" w:rsidRDefault="00AF2D75" w:rsidP="00AF2D75">
            <w:pPr>
              <w:spacing w:after="0" w:line="240" w:lineRule="auto"/>
              <w:jc w:val="lef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 </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54A57EF8"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Q2 2024</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6C04DA91"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Q3 2024</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1141CACA"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Q4 2024</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240D6041"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Q1 2025</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30327249"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Q2 2025</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1A5717BD"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Q3 2025</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1A367080"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Q4 2025</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358692E0"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Q1 2026</w:t>
            </w:r>
          </w:p>
        </w:tc>
        <w:tc>
          <w:tcPr>
            <w:tcW w:w="907" w:type="dxa"/>
            <w:tcBorders>
              <w:top w:val="single" w:sz="8" w:space="0" w:color="00459B"/>
              <w:left w:val="nil"/>
              <w:bottom w:val="single" w:sz="8" w:space="0" w:color="00459B"/>
              <w:right w:val="single" w:sz="8" w:space="0" w:color="00459B"/>
            </w:tcBorders>
            <w:shd w:val="clear" w:color="000000" w:fill="00459B"/>
            <w:vAlign w:val="center"/>
            <w:hideMark/>
          </w:tcPr>
          <w:p w14:paraId="06BD73F2" w14:textId="77777777" w:rsidR="00AF2D75" w:rsidRPr="001D57D2" w:rsidRDefault="00AF2D75" w:rsidP="00AF2D75">
            <w:pPr>
              <w:spacing w:after="0" w:line="240" w:lineRule="auto"/>
              <w:jc w:val="right"/>
              <w:rPr>
                <w:rFonts w:ascii="Arial" w:eastAsia="Times New Roman" w:hAnsi="Arial" w:cs="Arial"/>
                <w:color w:val="FFFFFF"/>
                <w:kern w:val="0"/>
                <w:lang w:eastAsia="cs-CZ"/>
                <w14:ligatures w14:val="none"/>
              </w:rPr>
            </w:pPr>
            <w:r w:rsidRPr="001D57D2">
              <w:rPr>
                <w:rFonts w:ascii="Arial" w:eastAsia="Times New Roman" w:hAnsi="Arial" w:cs="Arial"/>
                <w:color w:val="FFFFFF"/>
                <w:kern w:val="0"/>
                <w:lang w:eastAsia="cs-CZ"/>
                <w14:ligatures w14:val="none"/>
              </w:rPr>
              <w:t>Q2 2026</w:t>
            </w:r>
          </w:p>
        </w:tc>
      </w:tr>
      <w:tr w:rsidR="00AF2D75" w:rsidRPr="001D57D2" w14:paraId="373872CB" w14:textId="77777777" w:rsidTr="00AF2D75">
        <w:trPr>
          <w:trHeight w:val="300"/>
        </w:trPr>
        <w:tc>
          <w:tcPr>
            <w:tcW w:w="1360" w:type="dxa"/>
            <w:tcBorders>
              <w:top w:val="nil"/>
              <w:left w:val="single" w:sz="8" w:space="0" w:color="00459B"/>
              <w:bottom w:val="single" w:sz="8" w:space="0" w:color="00459B"/>
              <w:right w:val="single" w:sz="8" w:space="0" w:color="00459B"/>
            </w:tcBorders>
            <w:vAlign w:val="center"/>
            <w:hideMark/>
          </w:tcPr>
          <w:p w14:paraId="347B27EB" w14:textId="77777777" w:rsidR="00AF2D75" w:rsidRPr="001D57D2" w:rsidRDefault="00AF2D75" w:rsidP="00AF2D75">
            <w:pPr>
              <w:spacing w:after="0" w:line="240" w:lineRule="auto"/>
              <w:jc w:val="lef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CZK bn</w:t>
            </w:r>
          </w:p>
        </w:tc>
        <w:tc>
          <w:tcPr>
            <w:tcW w:w="907" w:type="dxa"/>
            <w:tcBorders>
              <w:top w:val="nil"/>
              <w:left w:val="nil"/>
              <w:bottom w:val="single" w:sz="8" w:space="0" w:color="00459B"/>
              <w:right w:val="single" w:sz="8" w:space="0" w:color="00459B"/>
            </w:tcBorders>
            <w:vAlign w:val="center"/>
            <w:hideMark/>
          </w:tcPr>
          <w:p w14:paraId="73B72A39" w14:textId="38089F8C"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5.3</w:t>
            </w:r>
          </w:p>
        </w:tc>
        <w:tc>
          <w:tcPr>
            <w:tcW w:w="907" w:type="dxa"/>
            <w:tcBorders>
              <w:top w:val="nil"/>
              <w:left w:val="nil"/>
              <w:bottom w:val="single" w:sz="8" w:space="0" w:color="00459B"/>
              <w:right w:val="single" w:sz="8" w:space="0" w:color="00459B"/>
            </w:tcBorders>
            <w:vAlign w:val="center"/>
            <w:hideMark/>
          </w:tcPr>
          <w:p w14:paraId="54DBD454" w14:textId="7A4DB178"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-30.1</w:t>
            </w:r>
          </w:p>
        </w:tc>
        <w:tc>
          <w:tcPr>
            <w:tcW w:w="907" w:type="dxa"/>
            <w:tcBorders>
              <w:top w:val="nil"/>
              <w:left w:val="nil"/>
              <w:bottom w:val="single" w:sz="8" w:space="0" w:color="00459B"/>
              <w:right w:val="single" w:sz="8" w:space="0" w:color="00459B"/>
            </w:tcBorders>
            <w:vAlign w:val="center"/>
            <w:hideMark/>
          </w:tcPr>
          <w:p w14:paraId="106D6BAB" w14:textId="0158807B"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-75.5</w:t>
            </w:r>
          </w:p>
        </w:tc>
        <w:tc>
          <w:tcPr>
            <w:tcW w:w="907" w:type="dxa"/>
            <w:tcBorders>
              <w:top w:val="nil"/>
              <w:left w:val="nil"/>
              <w:bottom w:val="single" w:sz="8" w:space="0" w:color="00459B"/>
              <w:right w:val="single" w:sz="8" w:space="0" w:color="00459B"/>
            </w:tcBorders>
            <w:vAlign w:val="center"/>
            <w:hideMark/>
          </w:tcPr>
          <w:p w14:paraId="50C827BB" w14:textId="77CA0351"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-70.0</w:t>
            </w:r>
          </w:p>
        </w:tc>
        <w:tc>
          <w:tcPr>
            <w:tcW w:w="907" w:type="dxa"/>
            <w:tcBorders>
              <w:top w:val="nil"/>
              <w:left w:val="nil"/>
              <w:bottom w:val="single" w:sz="8" w:space="0" w:color="00459B"/>
              <w:right w:val="single" w:sz="8" w:space="0" w:color="00459B"/>
            </w:tcBorders>
            <w:vAlign w:val="center"/>
            <w:hideMark/>
          </w:tcPr>
          <w:p w14:paraId="29A91C02" w14:textId="1C82CD4A"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9.4</w:t>
            </w:r>
          </w:p>
        </w:tc>
        <w:tc>
          <w:tcPr>
            <w:tcW w:w="907" w:type="dxa"/>
            <w:tcBorders>
              <w:top w:val="nil"/>
              <w:left w:val="nil"/>
              <w:bottom w:val="single" w:sz="8" w:space="0" w:color="00459B"/>
              <w:right w:val="single" w:sz="8" w:space="0" w:color="00459B"/>
            </w:tcBorders>
            <w:vAlign w:val="center"/>
            <w:hideMark/>
          </w:tcPr>
          <w:p w14:paraId="57A441DB" w14:textId="65BDA471"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-24.5</w:t>
            </w:r>
          </w:p>
        </w:tc>
        <w:tc>
          <w:tcPr>
            <w:tcW w:w="907" w:type="dxa"/>
            <w:tcBorders>
              <w:top w:val="nil"/>
              <w:left w:val="nil"/>
              <w:bottom w:val="single" w:sz="8" w:space="0" w:color="00459B"/>
              <w:right w:val="single" w:sz="8" w:space="0" w:color="00459B"/>
            </w:tcBorders>
            <w:vAlign w:val="center"/>
            <w:hideMark/>
          </w:tcPr>
          <w:p w14:paraId="537F5330" w14:textId="210F03FA"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-100.4</w:t>
            </w:r>
          </w:p>
        </w:tc>
        <w:tc>
          <w:tcPr>
            <w:tcW w:w="907" w:type="dxa"/>
            <w:tcBorders>
              <w:top w:val="nil"/>
              <w:left w:val="nil"/>
              <w:bottom w:val="single" w:sz="8" w:space="0" w:color="00459B"/>
              <w:right w:val="single" w:sz="8" w:space="0" w:color="00459B"/>
            </w:tcBorders>
            <w:vAlign w:val="center"/>
            <w:hideMark/>
          </w:tcPr>
          <w:p w14:paraId="56A7301A" w14:textId="36DE2327"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-73.2</w:t>
            </w:r>
          </w:p>
        </w:tc>
        <w:tc>
          <w:tcPr>
            <w:tcW w:w="907" w:type="dxa"/>
            <w:tcBorders>
              <w:top w:val="nil"/>
              <w:left w:val="nil"/>
              <w:bottom w:val="single" w:sz="8" w:space="0" w:color="00459B"/>
              <w:right w:val="single" w:sz="8" w:space="0" w:color="00459B"/>
            </w:tcBorders>
            <w:vAlign w:val="center"/>
            <w:hideMark/>
          </w:tcPr>
          <w:p w14:paraId="66ED4337" w14:textId="652E89CE"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-33.3</w:t>
            </w:r>
          </w:p>
        </w:tc>
      </w:tr>
      <w:tr w:rsidR="00AF2D75" w:rsidRPr="001D57D2" w14:paraId="62E21084" w14:textId="77777777" w:rsidTr="00AF2D75">
        <w:trPr>
          <w:trHeight w:val="300"/>
        </w:trPr>
        <w:tc>
          <w:tcPr>
            <w:tcW w:w="1360" w:type="dxa"/>
            <w:tcBorders>
              <w:top w:val="nil"/>
              <w:left w:val="single" w:sz="8" w:space="0" w:color="00459B"/>
              <w:bottom w:val="single" w:sz="8" w:space="0" w:color="00459B"/>
              <w:right w:val="single" w:sz="8" w:space="0" w:color="00459B"/>
            </w:tcBorders>
            <w:vAlign w:val="center"/>
            <w:hideMark/>
          </w:tcPr>
          <w:p w14:paraId="0B98991C" w14:textId="77777777" w:rsidR="00AF2D75" w:rsidRPr="001D57D2" w:rsidRDefault="00AF2D75" w:rsidP="00AF2D75">
            <w:pPr>
              <w:spacing w:after="0" w:line="240" w:lineRule="auto"/>
              <w:jc w:val="lef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 of the GDP</w:t>
            </w:r>
          </w:p>
        </w:tc>
        <w:tc>
          <w:tcPr>
            <w:tcW w:w="907" w:type="dxa"/>
            <w:tcBorders>
              <w:top w:val="nil"/>
              <w:left w:val="nil"/>
              <w:bottom w:val="single" w:sz="8" w:space="0" w:color="00459B"/>
              <w:right w:val="single" w:sz="8" w:space="0" w:color="00459B"/>
            </w:tcBorders>
            <w:vAlign w:val="center"/>
            <w:hideMark/>
          </w:tcPr>
          <w:p w14:paraId="783685F5" w14:textId="0028E36D"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0.3</w:t>
            </w:r>
          </w:p>
        </w:tc>
        <w:tc>
          <w:tcPr>
            <w:tcW w:w="907" w:type="dxa"/>
            <w:tcBorders>
              <w:top w:val="nil"/>
              <w:left w:val="nil"/>
              <w:bottom w:val="single" w:sz="8" w:space="0" w:color="00459B"/>
              <w:right w:val="single" w:sz="8" w:space="0" w:color="00459B"/>
            </w:tcBorders>
            <w:vAlign w:val="center"/>
            <w:hideMark/>
          </w:tcPr>
          <w:p w14:paraId="5EBE1072" w14:textId="6EAF0113"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-1.5</w:t>
            </w:r>
          </w:p>
        </w:tc>
        <w:tc>
          <w:tcPr>
            <w:tcW w:w="907" w:type="dxa"/>
            <w:tcBorders>
              <w:top w:val="nil"/>
              <w:left w:val="nil"/>
              <w:bottom w:val="single" w:sz="8" w:space="0" w:color="00459B"/>
              <w:right w:val="single" w:sz="8" w:space="0" w:color="00459B"/>
            </w:tcBorders>
            <w:vAlign w:val="center"/>
            <w:hideMark/>
          </w:tcPr>
          <w:p w14:paraId="3C89DCC6" w14:textId="247DF7F0"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-3.6</w:t>
            </w:r>
          </w:p>
        </w:tc>
        <w:tc>
          <w:tcPr>
            <w:tcW w:w="907" w:type="dxa"/>
            <w:tcBorders>
              <w:top w:val="nil"/>
              <w:left w:val="nil"/>
              <w:bottom w:val="single" w:sz="8" w:space="0" w:color="00459B"/>
              <w:right w:val="single" w:sz="8" w:space="0" w:color="00459B"/>
            </w:tcBorders>
            <w:vAlign w:val="center"/>
            <w:hideMark/>
          </w:tcPr>
          <w:p w14:paraId="0FE77F56" w14:textId="254091B3"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-3.6</w:t>
            </w:r>
          </w:p>
        </w:tc>
        <w:tc>
          <w:tcPr>
            <w:tcW w:w="907" w:type="dxa"/>
            <w:tcBorders>
              <w:top w:val="nil"/>
              <w:left w:val="nil"/>
              <w:bottom w:val="single" w:sz="8" w:space="0" w:color="00459B"/>
              <w:right w:val="single" w:sz="8" w:space="0" w:color="00459B"/>
            </w:tcBorders>
            <w:vAlign w:val="center"/>
            <w:hideMark/>
          </w:tcPr>
          <w:p w14:paraId="3F0CACD5" w14:textId="708908BF"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0.4</w:t>
            </w:r>
          </w:p>
        </w:tc>
        <w:tc>
          <w:tcPr>
            <w:tcW w:w="907" w:type="dxa"/>
            <w:tcBorders>
              <w:top w:val="nil"/>
              <w:left w:val="nil"/>
              <w:bottom w:val="single" w:sz="8" w:space="0" w:color="00459B"/>
              <w:right w:val="single" w:sz="8" w:space="0" w:color="00459B"/>
            </w:tcBorders>
            <w:vAlign w:val="center"/>
            <w:hideMark/>
          </w:tcPr>
          <w:p w14:paraId="644F2FC2" w14:textId="256F9CC6"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-1.1</w:t>
            </w:r>
          </w:p>
        </w:tc>
        <w:tc>
          <w:tcPr>
            <w:tcW w:w="907" w:type="dxa"/>
            <w:tcBorders>
              <w:top w:val="nil"/>
              <w:left w:val="nil"/>
              <w:bottom w:val="single" w:sz="8" w:space="0" w:color="00459B"/>
              <w:right w:val="single" w:sz="8" w:space="0" w:color="00459B"/>
            </w:tcBorders>
            <w:vAlign w:val="center"/>
            <w:hideMark/>
          </w:tcPr>
          <w:p w14:paraId="4CE81126" w14:textId="75DADEBF"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-4.5</w:t>
            </w:r>
          </w:p>
        </w:tc>
        <w:tc>
          <w:tcPr>
            <w:tcW w:w="907" w:type="dxa"/>
            <w:tcBorders>
              <w:top w:val="nil"/>
              <w:left w:val="nil"/>
              <w:bottom w:val="single" w:sz="8" w:space="0" w:color="00459B"/>
              <w:right w:val="single" w:sz="8" w:space="0" w:color="00459B"/>
            </w:tcBorders>
            <w:vAlign w:val="center"/>
            <w:hideMark/>
          </w:tcPr>
          <w:p w14:paraId="7DE6B951" w14:textId="67A8E2E1"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-3.6</w:t>
            </w:r>
          </w:p>
        </w:tc>
        <w:tc>
          <w:tcPr>
            <w:tcW w:w="907" w:type="dxa"/>
            <w:tcBorders>
              <w:top w:val="nil"/>
              <w:left w:val="nil"/>
              <w:bottom w:val="single" w:sz="8" w:space="0" w:color="00459B"/>
              <w:right w:val="single" w:sz="8" w:space="0" w:color="00459B"/>
            </w:tcBorders>
            <w:vAlign w:val="center"/>
            <w:hideMark/>
          </w:tcPr>
          <w:p w14:paraId="17604274" w14:textId="179F2091" w:rsidR="00AF2D75" w:rsidRPr="001D57D2" w:rsidRDefault="00AF2D75" w:rsidP="00AF2D75">
            <w:pPr>
              <w:spacing w:after="0" w:line="240" w:lineRule="auto"/>
              <w:jc w:val="right"/>
              <w:rPr>
                <w:rFonts w:ascii="Arial" w:eastAsia="Times New Roman" w:hAnsi="Arial" w:cs="Arial"/>
                <w:color w:val="000000"/>
                <w:kern w:val="0"/>
                <w:lang w:eastAsia="cs-CZ"/>
                <w14:ligatures w14:val="none"/>
              </w:rPr>
            </w:pPr>
            <w:r w:rsidRPr="001D57D2">
              <w:rPr>
                <w:rFonts w:ascii="Arial" w:eastAsia="Times New Roman" w:hAnsi="Arial" w:cs="Arial"/>
                <w:color w:val="000000"/>
                <w:kern w:val="0"/>
                <w:lang w:eastAsia="cs-CZ"/>
                <w14:ligatures w14:val="none"/>
              </w:rPr>
              <w:t>-1.5</w:t>
            </w:r>
          </w:p>
        </w:tc>
      </w:tr>
    </w:tbl>
    <w:p w14:paraId="036AEF4B" w14:textId="4458D2B0" w:rsidR="00AF2D75" w:rsidRPr="001D57D2" w:rsidRDefault="00AF2D75" w:rsidP="00535481">
      <w:pPr>
        <w:rPr>
          <w:lang w:val="en-GB"/>
        </w:rPr>
      </w:pPr>
      <w:r w:rsidRPr="001D57D2">
        <w:rPr>
          <w:sz w:val="16"/>
          <w:szCs w:val="16"/>
          <w:lang w:val="en-GB"/>
        </w:rPr>
        <w:t>Data in the table are not seasonally</w:t>
      </w:r>
      <w:r w:rsidRPr="001D57D2">
        <w:rPr>
          <w:sz w:val="16"/>
          <w:szCs w:val="16"/>
        </w:rPr>
        <w:t xml:space="preserve"> adjusted; they cannot be compared quarter-on-quarter</w:t>
      </w:r>
    </w:p>
    <w:p w14:paraId="0C2C7669" w14:textId="1CC3C381" w:rsidR="008C05D0" w:rsidRPr="001D57D2" w:rsidRDefault="006E1DFA" w:rsidP="009414F1">
      <w:pPr>
        <w:jc w:val="left"/>
      </w:pPr>
      <w:r w:rsidRPr="001D57D2">
        <w:t xml:space="preserve">The total government revenues increased by </w:t>
      </w:r>
      <w:r w:rsidR="003A3D53" w:rsidRPr="001D57D2">
        <w:t>4</w:t>
      </w:r>
      <w:r w:rsidRPr="001D57D2">
        <w:t>.</w:t>
      </w:r>
      <w:r w:rsidR="003A3D53" w:rsidRPr="001D57D2">
        <w:t>8</w:t>
      </w:r>
      <w:r w:rsidRPr="001D57D2">
        <w:t>%</w:t>
      </w:r>
      <w:r w:rsidR="003A3D53" w:rsidRPr="001D57D2">
        <w:t>,</w:t>
      </w:r>
      <w:r w:rsidRPr="001D57D2">
        <w:t xml:space="preserve"> y-o-y</w:t>
      </w:r>
      <w:r w:rsidR="003A3D53" w:rsidRPr="001D57D2">
        <w:t>,</w:t>
      </w:r>
      <w:r w:rsidRPr="001D57D2">
        <w:t xml:space="preserve"> and reached 4</w:t>
      </w:r>
      <w:r w:rsidR="003A3D53" w:rsidRPr="001D57D2">
        <w:t>3</w:t>
      </w:r>
      <w:r w:rsidRPr="001D57D2">
        <w:t>.</w:t>
      </w:r>
      <w:r w:rsidR="003A3D53" w:rsidRPr="001D57D2">
        <w:t>1</w:t>
      </w:r>
      <w:r w:rsidRPr="001D57D2">
        <w:t>% of the GDP. Especially received social contributions</w:t>
      </w:r>
      <w:r w:rsidR="003A3D53" w:rsidRPr="001D57D2">
        <w:t xml:space="preserve"> (</w:t>
      </w:r>
      <w:r w:rsidR="003444AF">
        <w:t>+</w:t>
      </w:r>
      <w:r w:rsidR="003A3D53" w:rsidRPr="001D57D2">
        <w:t>CZK 32.9 bn)</w:t>
      </w:r>
      <w:r w:rsidRPr="001D57D2">
        <w:t xml:space="preserve"> </w:t>
      </w:r>
      <w:r w:rsidR="003A3D53" w:rsidRPr="001D57D2">
        <w:t>contributed to the y-o-y increase in revenues</w:t>
      </w:r>
      <w:r w:rsidRPr="001D57D2">
        <w:t xml:space="preserve">. The total government expenditure increased by </w:t>
      </w:r>
      <w:r w:rsidR="00F5556D" w:rsidRPr="001D57D2">
        <w:t>9</w:t>
      </w:r>
      <w:r w:rsidRPr="001D57D2">
        <w:t>.</w:t>
      </w:r>
      <w:r w:rsidR="00F5556D" w:rsidRPr="001D57D2">
        <w:t>5</w:t>
      </w:r>
      <w:r w:rsidRPr="001D57D2">
        <w:t>%</w:t>
      </w:r>
      <w:r w:rsidR="00F5556D" w:rsidRPr="001D57D2">
        <w:t>,</w:t>
      </w:r>
      <w:r w:rsidRPr="001D57D2">
        <w:t xml:space="preserve"> y-o-y</w:t>
      </w:r>
      <w:r w:rsidR="00F5556D" w:rsidRPr="001D57D2">
        <w:t>,</w:t>
      </w:r>
      <w:r w:rsidRPr="001D57D2">
        <w:t xml:space="preserve"> and reached 4</w:t>
      </w:r>
      <w:r w:rsidR="00F5556D" w:rsidRPr="001D57D2">
        <w:t>4</w:t>
      </w:r>
      <w:r w:rsidRPr="001D57D2">
        <w:t>.</w:t>
      </w:r>
      <w:r w:rsidR="00F5556D" w:rsidRPr="001D57D2">
        <w:t>6</w:t>
      </w:r>
      <w:r w:rsidRPr="001D57D2">
        <w:t>% of the GDP.</w:t>
      </w:r>
      <w:r w:rsidR="008C05D0" w:rsidRPr="001D57D2">
        <w:t xml:space="preserve"> The highest growth in terms of volume was mainly recorded in </w:t>
      </w:r>
      <w:r w:rsidR="00B90C06" w:rsidRPr="001D57D2">
        <w:t xml:space="preserve">social </w:t>
      </w:r>
      <w:r w:rsidR="001D46E2" w:rsidRPr="001D57D2">
        <w:t>benefits</w:t>
      </w:r>
      <w:r w:rsidR="00B90C06" w:rsidRPr="001D57D2">
        <w:t xml:space="preserve"> </w:t>
      </w:r>
      <w:r w:rsidR="00B83BF8" w:rsidRPr="001D57D2">
        <w:t>payable</w:t>
      </w:r>
      <w:r w:rsidR="00DD047E" w:rsidRPr="001D57D2">
        <w:t xml:space="preserve"> (</w:t>
      </w:r>
      <w:r w:rsidR="003444AF">
        <w:t>+</w:t>
      </w:r>
      <w:r w:rsidR="00DD047E" w:rsidRPr="001D57D2">
        <w:t>CZK 27.5 bn), compensation of employees paid (</w:t>
      </w:r>
      <w:r w:rsidR="003444AF">
        <w:t>+</w:t>
      </w:r>
      <w:r w:rsidR="00DD047E" w:rsidRPr="001D57D2">
        <w:t xml:space="preserve">CZK 19.2 bn), and </w:t>
      </w:r>
      <w:r w:rsidR="008C05D0" w:rsidRPr="001D57D2">
        <w:t>gross fixed capital formation</w:t>
      </w:r>
      <w:r w:rsidR="00DD047E" w:rsidRPr="001D57D2">
        <w:t xml:space="preserve"> (</w:t>
      </w:r>
      <w:r w:rsidR="003444AF">
        <w:t>+</w:t>
      </w:r>
      <w:r w:rsidR="00DD047E" w:rsidRPr="001D57D2">
        <w:t>CZK 17.8 bn).</w:t>
      </w:r>
    </w:p>
    <w:p w14:paraId="2F456FC5" w14:textId="098FBB66" w:rsidR="00FB1F5E" w:rsidRPr="001D57D2" w:rsidRDefault="00FB1F5E" w:rsidP="00FB1F5E">
      <w:pPr>
        <w:pStyle w:val="Nadpis6"/>
        <w:rPr>
          <w:lang w:val="en-GB"/>
        </w:rPr>
      </w:pPr>
      <w:r w:rsidRPr="001D57D2">
        <w:rPr>
          <w:lang w:val="en-GB"/>
        </w:rPr>
        <w:t>Debt</w:t>
      </w:r>
    </w:p>
    <w:p w14:paraId="3E1EA4AF" w14:textId="14319852" w:rsidR="009414F1" w:rsidRPr="001D57D2" w:rsidRDefault="00E82AD0" w:rsidP="009414F1">
      <w:pPr>
        <w:jc w:val="left"/>
      </w:pPr>
      <w:r w:rsidRPr="001D57D2">
        <w:t>The nominal debt of the general government increased</w:t>
      </w:r>
      <w:r w:rsidR="002B2E74" w:rsidRPr="001D57D2">
        <w:t>,</w:t>
      </w:r>
      <w:r w:rsidRPr="001D57D2">
        <w:t xml:space="preserve"> year-on-year</w:t>
      </w:r>
      <w:r w:rsidR="002B2E74" w:rsidRPr="001D57D2">
        <w:t>,</w:t>
      </w:r>
      <w:r w:rsidRPr="001D57D2">
        <w:t xml:space="preserve"> by CZK</w:t>
      </w:r>
      <w:r w:rsidR="00EA621E" w:rsidRPr="001D57D2">
        <w:t> </w:t>
      </w:r>
      <w:r w:rsidRPr="001D57D2">
        <w:t>2</w:t>
      </w:r>
      <w:r w:rsidR="002B2E74" w:rsidRPr="001D57D2">
        <w:t>15</w:t>
      </w:r>
      <w:r w:rsidRPr="001D57D2">
        <w:t>.</w:t>
      </w:r>
      <w:r w:rsidR="002B2E74" w:rsidRPr="001D57D2">
        <w:t>1</w:t>
      </w:r>
      <w:r w:rsidR="00EA621E" w:rsidRPr="001D57D2">
        <w:t> </w:t>
      </w:r>
      <w:r w:rsidRPr="001D57D2">
        <w:t>bn to CZK</w:t>
      </w:r>
      <w:r w:rsidR="00EA621E" w:rsidRPr="001D57D2">
        <w:t> </w:t>
      </w:r>
      <w:r w:rsidRPr="001D57D2">
        <w:t>3</w:t>
      </w:r>
      <w:r w:rsidR="00EA621E" w:rsidRPr="001D57D2">
        <w:t> </w:t>
      </w:r>
      <w:r w:rsidRPr="001D57D2">
        <w:t>8</w:t>
      </w:r>
      <w:r w:rsidR="002B2E74" w:rsidRPr="001D57D2">
        <w:t>42</w:t>
      </w:r>
      <w:r w:rsidRPr="001D57D2">
        <w:t>.</w:t>
      </w:r>
      <w:r w:rsidR="002B2E74" w:rsidRPr="001D57D2">
        <w:t>4</w:t>
      </w:r>
      <w:r w:rsidR="00EA621E" w:rsidRPr="001D57D2">
        <w:t> </w:t>
      </w:r>
      <w:r w:rsidRPr="001D57D2">
        <w:t>bn. The government debt ratio increased from 43.</w:t>
      </w:r>
      <w:r w:rsidR="00AE3EA7" w:rsidRPr="001D57D2">
        <w:t>7</w:t>
      </w:r>
      <w:r w:rsidRPr="001D57D2">
        <w:t>% to 4</w:t>
      </w:r>
      <w:r w:rsidR="00AE3EA7" w:rsidRPr="001D57D2">
        <w:t>3</w:t>
      </w:r>
      <w:r w:rsidRPr="001D57D2">
        <w:t>.</w:t>
      </w:r>
      <w:r w:rsidR="00AE3EA7" w:rsidRPr="001D57D2">
        <w:t>8</w:t>
      </w:r>
      <w:r w:rsidRPr="001D57D2">
        <w:t>% of the GDP</w:t>
      </w:r>
      <w:r w:rsidR="00AE3EA7" w:rsidRPr="001D57D2">
        <w:t>,</w:t>
      </w:r>
      <w:r w:rsidRPr="001D57D2">
        <w:t xml:space="preserve"> y-o-y; the influence of the nominal change of the debt was +</w:t>
      </w:r>
      <w:r w:rsidR="00A3441C" w:rsidRPr="001D57D2">
        <w:t>2</w:t>
      </w:r>
      <w:r w:rsidRPr="001D57D2">
        <w:t>.</w:t>
      </w:r>
      <w:r w:rsidR="00A3441C" w:rsidRPr="001D57D2">
        <w:t>4</w:t>
      </w:r>
      <w:r w:rsidR="00EA621E" w:rsidRPr="001D57D2">
        <w:t> </w:t>
      </w:r>
      <w:r w:rsidRPr="001D57D2">
        <w:t>p.</w:t>
      </w:r>
      <w:r w:rsidR="00EA621E" w:rsidRPr="001D57D2">
        <w:t> </w:t>
      </w:r>
      <w:r w:rsidRPr="001D57D2">
        <w:t xml:space="preserve">p. while the increasing nominal GDP </w:t>
      </w:r>
      <w:r w:rsidR="00866918" w:rsidRPr="001D57D2">
        <w:t>reduced</w:t>
      </w:r>
      <w:r w:rsidR="007F4BC5" w:rsidRPr="001D57D2">
        <w:t xml:space="preserve"> the debt ratio</w:t>
      </w:r>
      <w:r w:rsidRPr="001D57D2">
        <w:t xml:space="preserve"> by –2.</w:t>
      </w:r>
      <w:r w:rsidR="00A3441C" w:rsidRPr="001D57D2">
        <w:t>3</w:t>
      </w:r>
      <w:r w:rsidR="00EA621E" w:rsidRPr="001D57D2">
        <w:t> </w:t>
      </w:r>
      <w:r w:rsidRPr="001D57D2">
        <w:t>p.</w:t>
      </w:r>
      <w:r w:rsidR="00EA621E" w:rsidRPr="001D57D2">
        <w:t> </w:t>
      </w:r>
      <w:r w:rsidRPr="001D57D2">
        <w:t>p. In the quarter-on-quarter comparison</w:t>
      </w:r>
      <w:r w:rsidR="008B07A2" w:rsidRPr="001D57D2">
        <w:t>,</w:t>
      </w:r>
      <w:r w:rsidRPr="001D57D2">
        <w:t xml:space="preserve"> the debt increased by CZK</w:t>
      </w:r>
      <w:r w:rsidR="003B5274" w:rsidRPr="001D57D2">
        <w:t> </w:t>
      </w:r>
      <w:r w:rsidRPr="001D57D2">
        <w:t>1</w:t>
      </w:r>
      <w:r w:rsidR="008B07A2" w:rsidRPr="001D57D2">
        <w:t>4</w:t>
      </w:r>
      <w:r w:rsidRPr="001D57D2">
        <w:t>.</w:t>
      </w:r>
      <w:r w:rsidR="008B07A2" w:rsidRPr="001D57D2">
        <w:t>9</w:t>
      </w:r>
      <w:r w:rsidR="003B5274" w:rsidRPr="001D57D2">
        <w:t> </w:t>
      </w:r>
      <w:r w:rsidRPr="001D57D2">
        <w:t>bn</w:t>
      </w:r>
      <w:r w:rsidR="008B07A2" w:rsidRPr="001D57D2">
        <w:t>,</w:t>
      </w:r>
      <w:r w:rsidRPr="001D57D2">
        <w:t xml:space="preserve"> the nominal change of the debt was 0.</w:t>
      </w:r>
      <w:r w:rsidR="00E3245C" w:rsidRPr="001D57D2">
        <w:t>1</w:t>
      </w:r>
      <w:r w:rsidR="003B5274" w:rsidRPr="001D57D2">
        <w:t> </w:t>
      </w:r>
      <w:r w:rsidRPr="001D57D2">
        <w:t>p.</w:t>
      </w:r>
      <w:r w:rsidR="003B5274" w:rsidRPr="001D57D2">
        <w:t> </w:t>
      </w:r>
      <w:r w:rsidRPr="001D57D2">
        <w:t>p.</w:t>
      </w:r>
      <w:r w:rsidR="00E3245C" w:rsidRPr="001D57D2">
        <w:t>,</w:t>
      </w:r>
      <w:r w:rsidRPr="001D57D2">
        <w:t xml:space="preserve"> whereas an increase in the nominal GDP contributed to a decrease in the indebtedness by –0.</w:t>
      </w:r>
      <w:r w:rsidR="00E3245C" w:rsidRPr="001D57D2">
        <w:t>4</w:t>
      </w:r>
      <w:r w:rsidR="003B5274" w:rsidRPr="001D57D2">
        <w:t> </w:t>
      </w:r>
      <w:r w:rsidRPr="001D57D2">
        <w:t>p.</w:t>
      </w:r>
      <w:r w:rsidR="003B5274" w:rsidRPr="001D57D2">
        <w:t> </w:t>
      </w:r>
      <w:r w:rsidRPr="001D57D2">
        <w:t>p.</w:t>
      </w:r>
      <w:r w:rsidR="00E3245C" w:rsidRPr="001D57D2">
        <w:t>,</w:t>
      </w:r>
      <w:r w:rsidRPr="001D57D2">
        <w:t xml:space="preserve"> which resulted in a</w:t>
      </w:r>
      <w:r w:rsidR="003B5274" w:rsidRPr="001D57D2">
        <w:t> </w:t>
      </w:r>
      <w:r w:rsidRPr="001D57D2">
        <w:t>decrease in the debt ratio by 0.</w:t>
      </w:r>
      <w:r w:rsidR="00E3245C" w:rsidRPr="001D57D2">
        <w:t>3</w:t>
      </w:r>
      <w:r w:rsidR="003B5274" w:rsidRPr="001D57D2">
        <w:t> </w:t>
      </w:r>
      <w:r w:rsidRPr="001D57D2">
        <w:t>p.</w:t>
      </w:r>
      <w:r w:rsidR="003B5274" w:rsidRPr="001D57D2">
        <w:t> </w:t>
      </w:r>
      <w:r w:rsidRPr="001D57D2">
        <w:t>p.</w:t>
      </w:r>
      <w:r w:rsidR="00E3245C" w:rsidRPr="001D57D2">
        <w:t>,</w:t>
      </w:r>
      <w:r w:rsidRPr="001D57D2">
        <w:t xml:space="preserve"> quarter-on-quarter</w:t>
      </w:r>
      <w:r w:rsidR="009414F1" w:rsidRPr="001D57D2">
        <w:t>.</w:t>
      </w:r>
    </w:p>
    <w:p w14:paraId="38A0AB3C" w14:textId="77777777" w:rsidR="009414F1" w:rsidRPr="001D57D2" w:rsidRDefault="009414F1" w:rsidP="009414F1">
      <w:pPr>
        <w:jc w:val="left"/>
      </w:pPr>
    </w:p>
    <w:p w14:paraId="6E163783" w14:textId="205C82EE" w:rsidR="00D71486" w:rsidRPr="001D57D2" w:rsidRDefault="00D71486" w:rsidP="00C572ED">
      <w:pPr>
        <w:keepNext/>
        <w:jc w:val="left"/>
        <w:rPr>
          <w:b/>
          <w:bCs/>
          <w:lang w:val="en-GB"/>
        </w:rPr>
      </w:pPr>
      <w:r w:rsidRPr="001D57D2">
        <w:rPr>
          <w:b/>
          <w:bCs/>
          <w:lang w:val="en-GB"/>
        </w:rPr>
        <w:t>Chart 1</w:t>
      </w:r>
      <w:r w:rsidR="00C572ED" w:rsidRPr="001D57D2">
        <w:rPr>
          <w:b/>
          <w:bCs/>
          <w:lang w:val="en-GB"/>
        </w:rPr>
        <w:t xml:space="preserve">: </w:t>
      </w:r>
      <w:r w:rsidRPr="001D57D2">
        <w:rPr>
          <w:b/>
          <w:bCs/>
          <w:lang w:val="en-GB"/>
        </w:rPr>
        <w:t>Debt of the general government sector</w:t>
      </w:r>
    </w:p>
    <w:p w14:paraId="4092C2EA" w14:textId="3B299C8C" w:rsidR="00AF2D75" w:rsidRPr="001D57D2" w:rsidRDefault="00C572ED" w:rsidP="00D71486">
      <w:pPr>
        <w:jc w:val="left"/>
        <w:rPr>
          <w:b/>
          <w:bCs/>
          <w:lang w:val="en-GB"/>
        </w:rPr>
      </w:pPr>
      <w:r w:rsidRPr="001D57D2">
        <w:rPr>
          <w:noProof/>
        </w:rPr>
        <w:drawing>
          <wp:inline distT="0" distB="0" distL="0" distR="0" wp14:anchorId="466780EC" wp14:editId="1FA3BDA1">
            <wp:extent cx="5760085" cy="3216275"/>
            <wp:effectExtent l="0" t="0" r="0" b="3175"/>
            <wp:docPr id="213982349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823496" name=""/>
                    <pic:cNvPicPr/>
                  </pic:nvPicPr>
                  <pic:blipFill>
                    <a:blip r:embed="rId11"/>
                    <a:stretch>
                      <a:fillRect/>
                    </a:stretch>
                  </pic:blipFill>
                  <pic:spPr>
                    <a:xfrm>
                      <a:off x="0" y="0"/>
                      <a:ext cx="5760085" cy="3216275"/>
                    </a:xfrm>
                    <a:prstGeom prst="rect">
                      <a:avLst/>
                    </a:prstGeom>
                  </pic:spPr>
                </pic:pic>
              </a:graphicData>
            </a:graphic>
          </wp:inline>
        </w:drawing>
      </w:r>
    </w:p>
    <w:p w14:paraId="655C9359" w14:textId="0DF004E2" w:rsidR="00D71486" w:rsidRPr="001D57D2" w:rsidRDefault="00D71486" w:rsidP="00D71486">
      <w:pPr>
        <w:jc w:val="left"/>
        <w:rPr>
          <w:b/>
          <w:bCs/>
          <w:lang w:val="en-GB"/>
        </w:rPr>
      </w:pPr>
      <w:r w:rsidRPr="001D57D2">
        <w:rPr>
          <w:b/>
          <w:bCs/>
          <w:lang w:val="en-GB"/>
        </w:rPr>
        <w:t>Chart</w:t>
      </w:r>
      <w:r w:rsidR="00084748">
        <w:rPr>
          <w:b/>
          <w:bCs/>
          <w:lang w:val="en-GB"/>
        </w:rPr>
        <w:t> 2</w:t>
      </w:r>
      <w:r w:rsidR="00C572ED" w:rsidRPr="001D57D2">
        <w:rPr>
          <w:b/>
          <w:bCs/>
          <w:lang w:val="en-GB"/>
        </w:rPr>
        <w:t xml:space="preserve">: </w:t>
      </w:r>
      <w:r w:rsidRPr="001D57D2">
        <w:rPr>
          <w:b/>
          <w:bCs/>
          <w:lang w:val="en-GB"/>
        </w:rPr>
        <w:t>Year-on-year relative changes in government debt</w:t>
      </w:r>
    </w:p>
    <w:p w14:paraId="033F9C60" w14:textId="7EE4A955" w:rsidR="00D71486" w:rsidRPr="001D57D2" w:rsidRDefault="00C572ED" w:rsidP="00D71486">
      <w:pPr>
        <w:jc w:val="left"/>
        <w:rPr>
          <w:lang w:val="en-GB"/>
        </w:rPr>
      </w:pPr>
      <w:r w:rsidRPr="001D57D2">
        <w:rPr>
          <w:noProof/>
        </w:rPr>
        <w:drawing>
          <wp:inline distT="0" distB="0" distL="0" distR="0" wp14:anchorId="2541302B" wp14:editId="5F2C0BD1">
            <wp:extent cx="5760085" cy="2406650"/>
            <wp:effectExtent l="0" t="0" r="0" b="0"/>
            <wp:docPr id="19269698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69802" name=""/>
                    <pic:cNvPicPr/>
                  </pic:nvPicPr>
                  <pic:blipFill>
                    <a:blip r:embed="rId12"/>
                    <a:stretch>
                      <a:fillRect/>
                    </a:stretch>
                  </pic:blipFill>
                  <pic:spPr>
                    <a:xfrm>
                      <a:off x="0" y="0"/>
                      <a:ext cx="5760085" cy="2406650"/>
                    </a:xfrm>
                    <a:prstGeom prst="rect">
                      <a:avLst/>
                    </a:prstGeom>
                  </pic:spPr>
                </pic:pic>
              </a:graphicData>
            </a:graphic>
          </wp:inline>
        </w:drawing>
      </w:r>
    </w:p>
    <w:p w14:paraId="16503C97" w14:textId="1162A726" w:rsidR="00FB1F5E" w:rsidRPr="001D57D2" w:rsidRDefault="00FB1F5E" w:rsidP="00FB1F5E">
      <w:pPr>
        <w:pStyle w:val="Nadpis6"/>
      </w:pPr>
      <w:r w:rsidRPr="001D57D2">
        <w:t>Seasonally adjusted</w:t>
      </w:r>
      <w:r w:rsidR="00011D23">
        <w:t xml:space="preserve"> general government sector</w:t>
      </w:r>
      <w:r w:rsidRPr="001D57D2">
        <w:t xml:space="preserve"> balance </w:t>
      </w:r>
    </w:p>
    <w:p w14:paraId="38E29D37" w14:textId="10B314C8" w:rsidR="00E748FE" w:rsidRPr="001D57D2" w:rsidRDefault="00200665" w:rsidP="00CA1B63">
      <w:pPr>
        <w:spacing w:after="0"/>
        <w:jc w:val="left"/>
        <w:rPr>
          <w:lang w:val="en-GB"/>
        </w:rPr>
      </w:pPr>
      <w:r w:rsidRPr="001D57D2">
        <w:t>The general government sector balance after seasonal adjustment as well as adjustment for calendar effects ended up with a deficit of CZK</w:t>
      </w:r>
      <w:r w:rsidR="007C3485" w:rsidRPr="001D57D2">
        <w:t> </w:t>
      </w:r>
      <w:r w:rsidR="00935A81" w:rsidRPr="001D57D2">
        <w:t>72</w:t>
      </w:r>
      <w:r w:rsidRPr="001D57D2">
        <w:t>.</w:t>
      </w:r>
      <w:r w:rsidR="00935A81" w:rsidRPr="001D57D2">
        <w:t>5</w:t>
      </w:r>
      <w:r w:rsidR="007C3485" w:rsidRPr="001D57D2">
        <w:t> </w:t>
      </w:r>
      <w:r w:rsidRPr="001D57D2">
        <w:t>bn</w:t>
      </w:r>
      <w:r w:rsidR="00935A81" w:rsidRPr="001D57D2">
        <w:t>,</w:t>
      </w:r>
      <w:r w:rsidRPr="001D57D2">
        <w:t xml:space="preserve"> which corresponded to </w:t>
      </w:r>
      <w:r w:rsidR="00935A81" w:rsidRPr="001D57D2">
        <w:t>3</w:t>
      </w:r>
      <w:r w:rsidRPr="001D57D2">
        <w:t>.3% of the GDP. The general government sector balance worsened by CZK</w:t>
      </w:r>
      <w:r w:rsidR="007C3485" w:rsidRPr="001D57D2">
        <w:t> </w:t>
      </w:r>
      <w:r w:rsidR="00935A81" w:rsidRPr="001D57D2">
        <w:t>16</w:t>
      </w:r>
      <w:r w:rsidRPr="001D57D2">
        <w:t>.</w:t>
      </w:r>
      <w:r w:rsidR="00935A81" w:rsidRPr="001D57D2">
        <w:t>3</w:t>
      </w:r>
      <w:r w:rsidR="007C3485" w:rsidRPr="001D57D2">
        <w:t> </w:t>
      </w:r>
      <w:r w:rsidRPr="001D57D2">
        <w:t>bn</w:t>
      </w:r>
      <w:r w:rsidR="00AF2D75" w:rsidRPr="001D57D2">
        <w:t>.</w:t>
      </w:r>
      <w:r w:rsidR="00011D23">
        <w:t>,</w:t>
      </w:r>
      <w:r w:rsidRPr="001D57D2">
        <w:t xml:space="preserve"> q-o-q. The development of the general government sector balance adjusted by seasonal and calendar effects is shown in the chart below</w:t>
      </w:r>
      <w:r w:rsidR="009414F1" w:rsidRPr="001D57D2">
        <w:t>.</w:t>
      </w:r>
    </w:p>
    <w:p w14:paraId="23515C93" w14:textId="77777777" w:rsidR="009414F1" w:rsidRPr="001D57D2" w:rsidRDefault="009414F1" w:rsidP="00D71486">
      <w:pPr>
        <w:jc w:val="left"/>
        <w:rPr>
          <w:b/>
          <w:bCs/>
          <w:lang w:val="en-GB"/>
        </w:rPr>
      </w:pPr>
    </w:p>
    <w:p w14:paraId="2B8DB9CA" w14:textId="03FDDBD2" w:rsidR="00D71486" w:rsidRPr="001D57D2" w:rsidRDefault="00E748FE" w:rsidP="00D71486">
      <w:pPr>
        <w:jc w:val="left"/>
        <w:rPr>
          <w:b/>
          <w:bCs/>
          <w:lang w:val="en-GB"/>
        </w:rPr>
      </w:pPr>
      <w:r w:rsidRPr="001D57D2">
        <w:rPr>
          <w:b/>
          <w:bCs/>
          <w:lang w:val="en-GB"/>
        </w:rPr>
        <w:t>Chart</w:t>
      </w:r>
      <w:r w:rsidR="00084748">
        <w:rPr>
          <w:b/>
          <w:bCs/>
          <w:lang w:val="en-GB"/>
        </w:rPr>
        <w:t> 3</w:t>
      </w:r>
      <w:r w:rsidR="00C572ED" w:rsidRPr="001D57D2">
        <w:rPr>
          <w:b/>
          <w:bCs/>
          <w:lang w:val="en-GB"/>
        </w:rPr>
        <w:t xml:space="preserve">: </w:t>
      </w:r>
      <w:r w:rsidRPr="001D57D2">
        <w:rPr>
          <w:b/>
          <w:bCs/>
          <w:lang w:val="en-GB"/>
        </w:rPr>
        <w:t>Seasonally adjusted general government sector balance</w:t>
      </w:r>
      <w:r w:rsidR="005E2C5D" w:rsidRPr="001D57D2">
        <w:rPr>
          <w:b/>
          <w:bCs/>
          <w:lang w:val="en-GB"/>
        </w:rPr>
        <w:t xml:space="preserve"> (% of GDP)</w:t>
      </w:r>
    </w:p>
    <w:p w14:paraId="3208A4C0" w14:textId="77777777" w:rsidR="00212390" w:rsidRDefault="00212390" w:rsidP="00535481">
      <w:pPr>
        <w:rPr>
          <w:lang w:val="en-GB"/>
        </w:rPr>
      </w:pPr>
    </w:p>
    <w:p w14:paraId="6A771979" w14:textId="0CB8AEAD" w:rsidR="00535481" w:rsidRPr="001D57D2" w:rsidRDefault="00212390" w:rsidP="00535481">
      <w:pPr>
        <w:rPr>
          <w:lang w:val="en-GB"/>
        </w:rPr>
      </w:pPr>
      <w:r>
        <w:rPr>
          <w:noProof/>
        </w:rPr>
        <w:drawing>
          <wp:inline distT="0" distB="0" distL="0" distR="0" wp14:anchorId="2411ED2E" wp14:editId="75FFACD4">
            <wp:extent cx="5760085" cy="2087245"/>
            <wp:effectExtent l="0" t="0" r="0" b="8255"/>
            <wp:docPr id="1666152330" name="Graf 1">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163501" w14:textId="17899EC1" w:rsidR="00623843" w:rsidRPr="001D57D2" w:rsidRDefault="00623843" w:rsidP="0098745C">
      <w:pPr>
        <w:pStyle w:val="Poznmky"/>
        <w:spacing w:before="280"/>
        <w:rPr>
          <w:lang w:val="en-GB"/>
        </w:rPr>
      </w:pPr>
      <w:r w:rsidRPr="001D57D2">
        <w:rPr>
          <w:lang w:val="en-GB"/>
        </w:rPr>
        <w:t>Notes:</w:t>
      </w:r>
      <w:r w:rsidR="002C4C20" w:rsidRPr="001D57D2">
        <w:rPr>
          <w:lang w:val="en-GB"/>
        </w:rPr>
        <w:t xml:space="preserve"> </w:t>
      </w:r>
      <w:r w:rsidRPr="001D57D2">
        <w:rPr>
          <w:lang w:val="en-GB"/>
        </w:rPr>
        <w:t xml:space="preserve">Quantification of fiscal indicators of government deficit and debt mentioned above is based on the ESA2010 methodology. Data published in this news release are methodologically consistent with the data used for the statistics of the excessive deficit procedure (EDP) purposes and for the assessment of how Maastricht convergence criteria are met. </w:t>
      </w:r>
    </w:p>
    <w:p w14:paraId="58DCDF62" w14:textId="6C2E8B48" w:rsidR="00623843" w:rsidRPr="001D57D2" w:rsidRDefault="00623843" w:rsidP="0098745C">
      <w:pPr>
        <w:pStyle w:val="Poznmky"/>
        <w:spacing w:before="280"/>
        <w:rPr>
          <w:lang w:val="en-GB"/>
        </w:rPr>
      </w:pPr>
      <w:r w:rsidRPr="001D57D2">
        <w:rPr>
          <w:lang w:val="en-GB"/>
        </w:rPr>
        <w:t>The government surplus/deficit is represented by the item B.9 “net borrowing (−) or net lending (+)” in the system of national accounts. It refers to the ability of the general government sector to finance other sectors of the economy (+) or the need of the general government sector to be financed (−) by other sectors of the economy in the given period.</w:t>
      </w:r>
    </w:p>
    <w:p w14:paraId="407D087E" w14:textId="2EA07A7E" w:rsidR="00623843" w:rsidRPr="001D57D2" w:rsidRDefault="00623843" w:rsidP="00812107">
      <w:pPr>
        <w:pStyle w:val="Poznmky"/>
        <w:spacing w:before="280"/>
        <w:rPr>
          <w:lang w:val="en-GB"/>
        </w:rPr>
      </w:pPr>
      <w:r w:rsidRPr="001D57D2">
        <w:rPr>
          <w:lang w:val="en-GB"/>
        </w:rPr>
        <w:t>The general government debt is the amount of consolidated liabilities of the general government sector comprising the following items: received deposits</w:t>
      </w:r>
      <w:r w:rsidR="00064121">
        <w:rPr>
          <w:lang w:val="en-GB"/>
        </w:rPr>
        <w:t>,</w:t>
      </w:r>
      <w:r w:rsidRPr="001D57D2">
        <w:rPr>
          <w:lang w:val="en-GB"/>
        </w:rPr>
        <w:t xml:space="preserve"> issued debt securities</w:t>
      </w:r>
      <w:r w:rsidR="00064121">
        <w:rPr>
          <w:lang w:val="en-GB"/>
        </w:rPr>
        <w:t>,</w:t>
      </w:r>
      <w:r w:rsidRPr="001D57D2">
        <w:rPr>
          <w:lang w:val="en-GB"/>
        </w:rPr>
        <w:t xml:space="preserve"> and received loans. In case of foreign exchange debt instruments hedged against the currency risk</w:t>
      </w:r>
      <w:r w:rsidR="00064121">
        <w:rPr>
          <w:lang w:val="en-GB"/>
        </w:rPr>
        <w:t>,</w:t>
      </w:r>
      <w:r w:rsidRPr="001D57D2">
        <w:rPr>
          <w:lang w:val="en-GB"/>
        </w:rPr>
        <w:t xml:space="preserve"> the value in CZK is obtained by means of the contractual exchange rate.</w:t>
      </w:r>
    </w:p>
    <w:p w14:paraId="6B0AB77B" w14:textId="3EEBC316" w:rsidR="0033710E" w:rsidRPr="001D57D2" w:rsidRDefault="0033710E" w:rsidP="00B603B5">
      <w:pPr>
        <w:pStyle w:val="Zkladntext"/>
        <w:spacing w:before="280" w:line="276" w:lineRule="auto"/>
        <w:jc w:val="left"/>
        <w:rPr>
          <w:rFonts w:ascii="Arial" w:hAnsi="Arial" w:cs="Arial"/>
          <w:i/>
          <w:sz w:val="18"/>
          <w:szCs w:val="18"/>
        </w:rPr>
      </w:pPr>
      <w:r w:rsidRPr="001D57D2">
        <w:rPr>
          <w:rFonts w:ascii="Arial" w:hAnsi="Arial" w:cs="Arial"/>
          <w:i/>
          <w:sz w:val="18"/>
          <w:szCs w:val="20"/>
        </w:rPr>
        <w:t>The general government sector balance is compared with the amount of the GDP in the given quarter at current prices. The amount of the consolidated general government debt is compared with the sum of quarterly GDP for the last four quarters at current prices.</w:t>
      </w:r>
      <w:r w:rsidR="00812107" w:rsidRPr="001D57D2">
        <w:rPr>
          <w:rFonts w:ascii="Arial" w:hAnsi="Arial" w:cs="Arial"/>
          <w:i/>
          <w:sz w:val="18"/>
          <w:szCs w:val="20"/>
        </w:rPr>
        <w:t xml:space="preserve"> </w:t>
      </w:r>
      <w:r w:rsidRPr="001D57D2">
        <w:rPr>
          <w:rFonts w:ascii="Arial" w:hAnsi="Arial" w:cs="Arial"/>
          <w:i/>
          <w:sz w:val="18"/>
          <w:szCs w:val="18"/>
        </w:rPr>
        <w:t>Unless otherwise stated</w:t>
      </w:r>
      <w:r w:rsidR="00812107" w:rsidRPr="001D57D2">
        <w:rPr>
          <w:rFonts w:ascii="Arial" w:hAnsi="Arial" w:cs="Arial"/>
          <w:i/>
          <w:sz w:val="18"/>
          <w:szCs w:val="18"/>
        </w:rPr>
        <w:t>,</w:t>
      </w:r>
      <w:r w:rsidRPr="001D57D2">
        <w:rPr>
          <w:rFonts w:ascii="Arial" w:hAnsi="Arial" w:cs="Arial"/>
          <w:i/>
          <w:sz w:val="18"/>
          <w:szCs w:val="18"/>
        </w:rPr>
        <w:t xml:space="preserve"> data are not seasonally adjusted as well as they are not adjusted for calendar effects. </w:t>
      </w:r>
    </w:p>
    <w:p w14:paraId="096953EB" w14:textId="77777777" w:rsidR="00CB64A6" w:rsidRPr="001D57D2" w:rsidRDefault="00CB64A6" w:rsidP="00812107">
      <w:pPr>
        <w:pStyle w:val="Zkladntext"/>
        <w:spacing w:before="280" w:line="276" w:lineRule="auto"/>
        <w:rPr>
          <w:rStyle w:val="Hypertextovodkaz"/>
          <w:rFonts w:ascii="Arial" w:hAnsi="Arial" w:cs="Arial"/>
          <w:i/>
          <w:color w:val="auto"/>
          <w:sz w:val="18"/>
          <w:szCs w:val="20"/>
          <w:u w:val="none"/>
        </w:rPr>
      </w:pPr>
    </w:p>
    <w:tbl>
      <w:tblPr>
        <w:tblW w:w="0" w:type="auto"/>
        <w:tblLook w:val="04A0" w:firstRow="1" w:lastRow="0" w:firstColumn="1" w:lastColumn="0" w:noHBand="0" w:noVBand="1"/>
      </w:tblPr>
      <w:tblGrid>
        <w:gridCol w:w="2835"/>
        <w:gridCol w:w="5669"/>
      </w:tblGrid>
      <w:tr w:rsidR="00623843" w:rsidRPr="001D57D2" w14:paraId="27888378" w14:textId="77777777" w:rsidTr="006461B4">
        <w:tc>
          <w:tcPr>
            <w:tcW w:w="2835" w:type="dxa"/>
          </w:tcPr>
          <w:p w14:paraId="6154610A" w14:textId="77777777" w:rsidR="00623843" w:rsidRPr="001D57D2" w:rsidRDefault="00623843" w:rsidP="0033710E">
            <w:pPr>
              <w:spacing w:after="0"/>
              <w:jc w:val="left"/>
              <w:rPr>
                <w:i/>
                <w:iCs/>
                <w:sz w:val="18"/>
                <w:szCs w:val="18"/>
                <w:lang w:val="en-GB"/>
              </w:rPr>
            </w:pPr>
            <w:r w:rsidRPr="001D57D2">
              <w:rPr>
                <w:i/>
                <w:iCs/>
                <w:sz w:val="18"/>
                <w:szCs w:val="18"/>
                <w:lang w:val="en-GB"/>
              </w:rPr>
              <w:t>Responsible head at the CZSO:</w:t>
            </w:r>
          </w:p>
        </w:tc>
        <w:tc>
          <w:tcPr>
            <w:tcW w:w="5669" w:type="dxa"/>
          </w:tcPr>
          <w:p w14:paraId="2626549B" w14:textId="79B811A5" w:rsidR="00623843" w:rsidRPr="001D57D2" w:rsidRDefault="00423CF2" w:rsidP="00DA596D">
            <w:pPr>
              <w:spacing w:after="0"/>
              <w:jc w:val="left"/>
              <w:rPr>
                <w:i/>
                <w:iCs/>
                <w:sz w:val="18"/>
                <w:szCs w:val="18"/>
              </w:rPr>
            </w:pPr>
            <w:r w:rsidRPr="001D57D2">
              <w:rPr>
                <w:i/>
                <w:iCs/>
                <w:sz w:val="18"/>
                <w:szCs w:val="18"/>
              </w:rPr>
              <w:t>Petr Musil</w:t>
            </w:r>
            <w:r w:rsidR="00846E64">
              <w:rPr>
                <w:i/>
                <w:iCs/>
                <w:sz w:val="18"/>
                <w:szCs w:val="18"/>
              </w:rPr>
              <w:t>,</w:t>
            </w:r>
            <w:r w:rsidR="00623843" w:rsidRPr="001D57D2">
              <w:rPr>
                <w:i/>
                <w:iCs/>
                <w:sz w:val="18"/>
                <w:szCs w:val="18"/>
              </w:rPr>
              <w:t xml:space="preserve"> </w:t>
            </w:r>
            <w:r w:rsidR="00623843" w:rsidRPr="001D57D2">
              <w:rPr>
                <w:i/>
                <w:iCs/>
                <w:sz w:val="18"/>
                <w:szCs w:val="18"/>
                <w:lang w:val="en-GB"/>
              </w:rPr>
              <w:t xml:space="preserve">Director of </w:t>
            </w:r>
            <w:r w:rsidR="002B5CC4" w:rsidRPr="001D57D2">
              <w:rPr>
                <w:i/>
                <w:iCs/>
                <w:sz w:val="18"/>
                <w:szCs w:val="18"/>
                <w:lang w:val="en-GB"/>
              </w:rPr>
              <w:t xml:space="preserve">the </w:t>
            </w:r>
            <w:r w:rsidRPr="001D57D2">
              <w:rPr>
                <w:i/>
                <w:iCs/>
                <w:sz w:val="18"/>
                <w:szCs w:val="18"/>
                <w:lang w:val="en-GB"/>
              </w:rPr>
              <w:t>Government and Financial Accounts Department</w:t>
            </w:r>
            <w:r w:rsidR="0069208A" w:rsidRPr="001D57D2">
              <w:rPr>
                <w:i/>
                <w:iCs/>
                <w:sz w:val="18"/>
                <w:szCs w:val="18"/>
                <w:lang w:val="en-GB"/>
              </w:rPr>
              <w:t>,</w:t>
            </w:r>
            <w:r w:rsidR="00623843" w:rsidRPr="001D57D2">
              <w:rPr>
                <w:i/>
                <w:iCs/>
                <w:sz w:val="18"/>
                <w:szCs w:val="18"/>
                <w:lang w:val="en-GB"/>
              </w:rPr>
              <w:t xml:space="preserve"> </w:t>
            </w:r>
            <w:r w:rsidR="00323EF7" w:rsidRPr="001D57D2">
              <w:rPr>
                <w:i/>
                <w:iCs/>
                <w:sz w:val="18"/>
                <w:szCs w:val="18"/>
                <w:lang w:val="en-GB"/>
              </w:rPr>
              <w:t>T: +420 </w:t>
            </w:r>
            <w:r w:rsidR="00323EF7" w:rsidRPr="001D57D2">
              <w:rPr>
                <w:i/>
                <w:iCs/>
                <w:sz w:val="18"/>
                <w:szCs w:val="18"/>
              </w:rPr>
              <w:t>734 352</w:t>
            </w:r>
            <w:r w:rsidR="0069208A" w:rsidRPr="001D57D2">
              <w:rPr>
                <w:i/>
                <w:iCs/>
                <w:sz w:val="18"/>
                <w:szCs w:val="18"/>
              </w:rPr>
              <w:t> </w:t>
            </w:r>
            <w:r w:rsidR="00323EF7" w:rsidRPr="001D57D2">
              <w:rPr>
                <w:i/>
                <w:iCs/>
                <w:sz w:val="18"/>
                <w:szCs w:val="18"/>
              </w:rPr>
              <w:t>286</w:t>
            </w:r>
            <w:r w:rsidR="0069208A" w:rsidRPr="001D57D2">
              <w:rPr>
                <w:i/>
                <w:iCs/>
                <w:sz w:val="18"/>
                <w:szCs w:val="18"/>
              </w:rPr>
              <w:t>,</w:t>
            </w:r>
            <w:r w:rsidR="00623843" w:rsidRPr="001D57D2">
              <w:rPr>
                <w:i/>
                <w:iCs/>
                <w:sz w:val="18"/>
                <w:szCs w:val="18"/>
              </w:rPr>
              <w:t xml:space="preserve"> </w:t>
            </w:r>
            <w:r w:rsidR="00DA596D" w:rsidRPr="001D57D2">
              <w:rPr>
                <w:i/>
                <w:iCs/>
                <w:sz w:val="18"/>
                <w:szCs w:val="18"/>
              </w:rPr>
              <w:t>E</w:t>
            </w:r>
            <w:r w:rsidR="00623843" w:rsidRPr="001D57D2">
              <w:rPr>
                <w:i/>
                <w:iCs/>
                <w:sz w:val="18"/>
                <w:szCs w:val="18"/>
              </w:rPr>
              <w:t>:</w:t>
            </w:r>
            <w:r w:rsidR="00712324" w:rsidRPr="001D57D2">
              <w:rPr>
                <w:i/>
                <w:iCs/>
                <w:sz w:val="18"/>
                <w:szCs w:val="18"/>
              </w:rPr>
              <w:t xml:space="preserve"> </w:t>
            </w:r>
            <w:hyperlink r:id="rId14" w:history="1">
              <w:r w:rsidR="002B5CC4" w:rsidRPr="001D57D2">
                <w:rPr>
                  <w:rStyle w:val="Hypertextovodkaz"/>
                  <w:i/>
                  <w:iCs/>
                  <w:sz w:val="18"/>
                  <w:szCs w:val="18"/>
                </w:rPr>
                <w:t>petr.musil@csu.gov.cz</w:t>
              </w:r>
            </w:hyperlink>
            <w:r w:rsidR="00623843" w:rsidRPr="001D57D2">
              <w:rPr>
                <w:sz w:val="18"/>
              </w:rPr>
              <w:t xml:space="preserve"> </w:t>
            </w:r>
          </w:p>
        </w:tc>
      </w:tr>
      <w:tr w:rsidR="00623843" w:rsidRPr="001D57D2" w14:paraId="73C16C60" w14:textId="77777777" w:rsidTr="006461B4">
        <w:tc>
          <w:tcPr>
            <w:tcW w:w="2835" w:type="dxa"/>
          </w:tcPr>
          <w:p w14:paraId="019D48B7" w14:textId="77777777" w:rsidR="00623843" w:rsidRPr="001D57D2" w:rsidRDefault="00623843" w:rsidP="0033710E">
            <w:pPr>
              <w:spacing w:after="0"/>
              <w:jc w:val="left"/>
              <w:rPr>
                <w:i/>
                <w:iCs/>
                <w:sz w:val="18"/>
                <w:szCs w:val="18"/>
                <w:lang w:val="en-GB"/>
              </w:rPr>
            </w:pPr>
            <w:r w:rsidRPr="001D57D2">
              <w:rPr>
                <w:i/>
                <w:iCs/>
                <w:sz w:val="18"/>
                <w:szCs w:val="18"/>
                <w:lang w:val="en-GB"/>
              </w:rPr>
              <w:t>Contact person:</w:t>
            </w:r>
          </w:p>
          <w:p w14:paraId="056971AF" w14:textId="77777777" w:rsidR="0069208A" w:rsidRPr="001D57D2" w:rsidRDefault="0069208A" w:rsidP="0033710E">
            <w:pPr>
              <w:spacing w:after="0"/>
              <w:jc w:val="left"/>
              <w:rPr>
                <w:i/>
                <w:iCs/>
                <w:sz w:val="18"/>
                <w:szCs w:val="18"/>
                <w:lang w:val="en-GB"/>
              </w:rPr>
            </w:pPr>
          </w:p>
          <w:p w14:paraId="27CC987E" w14:textId="11753952" w:rsidR="0069208A" w:rsidRPr="001D57D2" w:rsidRDefault="0069208A" w:rsidP="0033710E">
            <w:pPr>
              <w:spacing w:after="0"/>
              <w:jc w:val="left"/>
              <w:rPr>
                <w:i/>
                <w:iCs/>
                <w:sz w:val="18"/>
                <w:szCs w:val="18"/>
                <w:lang w:val="en-GB"/>
              </w:rPr>
            </w:pPr>
            <w:r w:rsidRPr="001D57D2">
              <w:rPr>
                <w:i/>
                <w:iCs/>
                <w:sz w:val="18"/>
                <w:szCs w:val="18"/>
                <w:lang w:val="en-GB"/>
              </w:rPr>
              <w:t>Related information:</w:t>
            </w:r>
          </w:p>
          <w:p w14:paraId="3B285F2C" w14:textId="77777777" w:rsidR="0069208A" w:rsidRPr="001D57D2" w:rsidRDefault="0069208A" w:rsidP="0033710E">
            <w:pPr>
              <w:spacing w:after="0"/>
              <w:jc w:val="left"/>
              <w:rPr>
                <w:i/>
                <w:iCs/>
                <w:sz w:val="18"/>
                <w:szCs w:val="18"/>
                <w:lang w:val="en-GB"/>
              </w:rPr>
            </w:pPr>
          </w:p>
        </w:tc>
        <w:tc>
          <w:tcPr>
            <w:tcW w:w="5669" w:type="dxa"/>
          </w:tcPr>
          <w:p w14:paraId="4A5B7055" w14:textId="577CC666" w:rsidR="00DA596D" w:rsidRPr="001D57D2" w:rsidRDefault="00623843" w:rsidP="0033710E">
            <w:pPr>
              <w:spacing w:after="0"/>
              <w:jc w:val="left"/>
              <w:rPr>
                <w:i/>
                <w:iCs/>
                <w:sz w:val="18"/>
                <w:szCs w:val="18"/>
                <w:lang w:val="en-GB"/>
              </w:rPr>
            </w:pPr>
            <w:r w:rsidRPr="001D57D2">
              <w:rPr>
                <w:i/>
                <w:iCs/>
                <w:sz w:val="18"/>
                <w:szCs w:val="18"/>
              </w:rPr>
              <w:t>Jaroslav Kahoun</w:t>
            </w:r>
            <w:r w:rsidR="0069208A" w:rsidRPr="001D57D2">
              <w:rPr>
                <w:i/>
                <w:iCs/>
                <w:sz w:val="18"/>
                <w:szCs w:val="18"/>
              </w:rPr>
              <w:t>,</w:t>
            </w:r>
            <w:r w:rsidRPr="001D57D2">
              <w:rPr>
                <w:i/>
                <w:iCs/>
                <w:sz w:val="18"/>
                <w:szCs w:val="18"/>
                <w:lang w:val="en-GB"/>
              </w:rPr>
              <w:t xml:space="preserve"> Head of the Government Accounts Unit</w:t>
            </w:r>
            <w:r w:rsidR="0069208A" w:rsidRPr="001D57D2">
              <w:rPr>
                <w:i/>
                <w:iCs/>
                <w:sz w:val="18"/>
                <w:szCs w:val="18"/>
                <w:lang w:val="en-GB"/>
              </w:rPr>
              <w:t>,</w:t>
            </w:r>
            <w:r w:rsidRPr="001D57D2">
              <w:rPr>
                <w:i/>
                <w:iCs/>
                <w:sz w:val="18"/>
                <w:szCs w:val="18"/>
                <w:lang w:val="en-GB"/>
              </w:rPr>
              <w:t xml:space="preserve"> </w:t>
            </w:r>
          </w:p>
          <w:p w14:paraId="000DF188" w14:textId="77777777" w:rsidR="0069208A" w:rsidRPr="001D57D2" w:rsidRDefault="00DA596D" w:rsidP="00DA596D">
            <w:pPr>
              <w:spacing w:after="0"/>
              <w:jc w:val="left"/>
              <w:rPr>
                <w:i/>
                <w:iCs/>
                <w:sz w:val="18"/>
                <w:szCs w:val="18"/>
              </w:rPr>
            </w:pPr>
            <w:r w:rsidRPr="001D57D2">
              <w:rPr>
                <w:i/>
                <w:iCs/>
                <w:sz w:val="18"/>
                <w:szCs w:val="18"/>
                <w:lang w:val="en-GB"/>
              </w:rPr>
              <w:t>T</w:t>
            </w:r>
            <w:r w:rsidR="00623843" w:rsidRPr="001D57D2">
              <w:rPr>
                <w:i/>
                <w:iCs/>
                <w:sz w:val="18"/>
                <w:szCs w:val="18"/>
                <w:lang w:val="en-GB"/>
              </w:rPr>
              <w:t>:</w:t>
            </w:r>
            <w:r w:rsidR="00623843" w:rsidRPr="001D57D2">
              <w:rPr>
                <w:i/>
                <w:iCs/>
                <w:sz w:val="18"/>
                <w:szCs w:val="18"/>
              </w:rPr>
              <w:t xml:space="preserve"> +420 274 054</w:t>
            </w:r>
            <w:r w:rsidR="0069208A" w:rsidRPr="001D57D2">
              <w:rPr>
                <w:i/>
                <w:iCs/>
                <w:sz w:val="18"/>
                <w:szCs w:val="18"/>
              </w:rPr>
              <w:t> </w:t>
            </w:r>
            <w:r w:rsidR="00623843" w:rsidRPr="001D57D2">
              <w:rPr>
                <w:i/>
                <w:iCs/>
                <w:sz w:val="18"/>
                <w:szCs w:val="18"/>
              </w:rPr>
              <w:t>232</w:t>
            </w:r>
            <w:r w:rsidR="0069208A" w:rsidRPr="001D57D2">
              <w:rPr>
                <w:i/>
                <w:iCs/>
                <w:sz w:val="18"/>
                <w:szCs w:val="18"/>
              </w:rPr>
              <w:t>,</w:t>
            </w:r>
            <w:r w:rsidR="00623843" w:rsidRPr="001D57D2">
              <w:rPr>
                <w:i/>
                <w:iCs/>
                <w:sz w:val="18"/>
                <w:szCs w:val="18"/>
              </w:rPr>
              <w:t xml:space="preserve"> </w:t>
            </w:r>
            <w:r w:rsidRPr="001D57D2">
              <w:rPr>
                <w:i/>
                <w:iCs/>
                <w:sz w:val="18"/>
                <w:szCs w:val="18"/>
              </w:rPr>
              <w:t>E</w:t>
            </w:r>
            <w:r w:rsidR="00623843" w:rsidRPr="001D57D2">
              <w:rPr>
                <w:sz w:val="18"/>
                <w:szCs w:val="18"/>
              </w:rPr>
              <w:t xml:space="preserve">: </w:t>
            </w:r>
            <w:hyperlink r:id="rId15" w:history="1">
              <w:r w:rsidR="00623843" w:rsidRPr="001D57D2">
                <w:rPr>
                  <w:rStyle w:val="Hypertextovodkaz"/>
                  <w:i/>
                  <w:iCs/>
                  <w:sz w:val="18"/>
                  <w:szCs w:val="18"/>
                </w:rPr>
                <w:t>jaroslav.kahoun@csu.gov.cz</w:t>
              </w:r>
            </w:hyperlink>
            <w:r w:rsidR="00623843" w:rsidRPr="001D57D2">
              <w:rPr>
                <w:i/>
                <w:iCs/>
                <w:sz w:val="18"/>
                <w:szCs w:val="18"/>
              </w:rPr>
              <w:t xml:space="preserve"> </w:t>
            </w:r>
          </w:p>
          <w:p w14:paraId="16D7E6E4" w14:textId="716E3D3E" w:rsidR="0069208A" w:rsidRPr="004F7490" w:rsidRDefault="001D57D2" w:rsidP="00DA596D">
            <w:pPr>
              <w:spacing w:after="0"/>
              <w:jc w:val="left"/>
              <w:rPr>
                <w:i/>
                <w:iCs/>
                <w:sz w:val="18"/>
                <w:szCs w:val="18"/>
              </w:rPr>
            </w:pPr>
            <w:hyperlink r:id="rId16" w:history="1">
              <w:r w:rsidRPr="004F7490">
                <w:rPr>
                  <w:rStyle w:val="Hypertextovodkaz"/>
                  <w:i/>
                  <w:iCs/>
                  <w:sz w:val="18"/>
                  <w:szCs w:val="18"/>
                  <w:lang w:val="en-GB"/>
                </w:rPr>
                <w:t>https://csu.gov.cz/government-finance-statistics</w:t>
              </w:r>
            </w:hyperlink>
          </w:p>
        </w:tc>
      </w:tr>
      <w:tr w:rsidR="00623843" w:rsidRPr="0097192A" w14:paraId="4FA5F99A" w14:textId="77777777" w:rsidTr="006461B4">
        <w:tc>
          <w:tcPr>
            <w:tcW w:w="2835" w:type="dxa"/>
          </w:tcPr>
          <w:p w14:paraId="2745A53A" w14:textId="77777777" w:rsidR="00623843" w:rsidRPr="001D57D2" w:rsidRDefault="00623843" w:rsidP="0033710E">
            <w:pPr>
              <w:spacing w:after="0"/>
              <w:jc w:val="left"/>
              <w:rPr>
                <w:i/>
                <w:iCs/>
                <w:sz w:val="18"/>
                <w:szCs w:val="18"/>
                <w:lang w:val="en-GB"/>
              </w:rPr>
            </w:pPr>
            <w:r w:rsidRPr="001D57D2">
              <w:rPr>
                <w:i/>
                <w:iCs/>
                <w:sz w:val="18"/>
                <w:szCs w:val="18"/>
                <w:lang w:val="en-GB"/>
              </w:rPr>
              <w:t>The next news release will be published on:</w:t>
            </w:r>
          </w:p>
          <w:p w14:paraId="35E074F1" w14:textId="77777777" w:rsidR="00623843" w:rsidRPr="001D57D2" w:rsidRDefault="00623843" w:rsidP="0033710E">
            <w:pPr>
              <w:spacing w:after="0"/>
              <w:jc w:val="left"/>
              <w:rPr>
                <w:i/>
                <w:iCs/>
                <w:sz w:val="18"/>
                <w:szCs w:val="18"/>
                <w:lang w:val="en-GB"/>
              </w:rPr>
            </w:pPr>
          </w:p>
          <w:p w14:paraId="7EF31757" w14:textId="77777777" w:rsidR="00623843" w:rsidRPr="001D57D2" w:rsidRDefault="00623843" w:rsidP="0033710E">
            <w:pPr>
              <w:spacing w:after="0"/>
              <w:jc w:val="left"/>
              <w:rPr>
                <w:i/>
                <w:iCs/>
                <w:sz w:val="18"/>
                <w:szCs w:val="18"/>
                <w:lang w:val="en-GB"/>
              </w:rPr>
            </w:pPr>
          </w:p>
        </w:tc>
        <w:tc>
          <w:tcPr>
            <w:tcW w:w="5669" w:type="dxa"/>
          </w:tcPr>
          <w:p w14:paraId="4ED363FC" w14:textId="77777777" w:rsidR="00623843" w:rsidRPr="001D57D2" w:rsidRDefault="00623843" w:rsidP="0033710E">
            <w:pPr>
              <w:spacing w:after="0"/>
              <w:jc w:val="left"/>
              <w:rPr>
                <w:i/>
                <w:iCs/>
                <w:sz w:val="18"/>
                <w:szCs w:val="18"/>
              </w:rPr>
            </w:pPr>
          </w:p>
          <w:p w14:paraId="1EAF8C4C" w14:textId="7E908AED" w:rsidR="00623843" w:rsidRPr="001D57D2" w:rsidRDefault="00E05EAA" w:rsidP="0033710E">
            <w:pPr>
              <w:spacing w:after="0"/>
              <w:jc w:val="left"/>
              <w:rPr>
                <w:i/>
                <w:iCs/>
                <w:sz w:val="18"/>
                <w:szCs w:val="18"/>
              </w:rPr>
            </w:pPr>
            <w:r w:rsidRPr="001D57D2">
              <w:rPr>
                <w:i/>
                <w:iCs/>
                <w:sz w:val="18"/>
                <w:szCs w:val="18"/>
              </w:rPr>
              <w:t>6 January </w:t>
            </w:r>
            <w:r w:rsidR="00623843" w:rsidRPr="001D57D2">
              <w:rPr>
                <w:i/>
                <w:iCs/>
                <w:sz w:val="18"/>
                <w:szCs w:val="18"/>
              </w:rPr>
              <w:t>202</w:t>
            </w:r>
            <w:r w:rsidRPr="001D57D2">
              <w:rPr>
                <w:i/>
                <w:iCs/>
                <w:sz w:val="18"/>
                <w:szCs w:val="18"/>
              </w:rPr>
              <w:t>7</w:t>
            </w:r>
          </w:p>
        </w:tc>
      </w:tr>
    </w:tbl>
    <w:p w14:paraId="570033EE" w14:textId="5CC36372" w:rsidR="00070445" w:rsidRPr="00623843" w:rsidRDefault="00070445" w:rsidP="00323EF7">
      <w:pPr>
        <w:rPr>
          <w:i/>
          <w:sz w:val="18"/>
          <w:lang w:val="en-GB"/>
        </w:rPr>
      </w:pPr>
    </w:p>
    <w:sectPr w:rsidR="00070445" w:rsidRPr="00623843" w:rsidSect="00BE2E0B">
      <w:headerReference w:type="default" r:id="rId17"/>
      <w:footerReference w:type="default" r:id="rId18"/>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504C" w14:textId="77777777" w:rsidR="002842DA" w:rsidRDefault="002842DA" w:rsidP="004A01A7">
      <w:pPr>
        <w:spacing w:after="0" w:line="240" w:lineRule="auto"/>
      </w:pPr>
      <w:r>
        <w:separator/>
      </w:r>
    </w:p>
  </w:endnote>
  <w:endnote w:type="continuationSeparator" w:id="0">
    <w:p w14:paraId="28913E6F" w14:textId="77777777" w:rsidR="002842DA" w:rsidRDefault="002842DA"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3153" w14:textId="77777777" w:rsidR="00B910FF" w:rsidRDefault="00B910FF" w:rsidP="00F21B6A">
    <w:pPr>
      <w:pStyle w:val="Zpat"/>
      <w:rPr>
        <w:b/>
        <w:bCs/>
      </w:rPr>
    </w:pPr>
    <w:r w:rsidRPr="00F243C9">
      <w:t>Czech Statistical Office</w:t>
    </w:r>
    <w:r w:rsidRPr="00B910FF">
      <w:rPr>
        <w:b/>
        <w:bCs/>
      </w:rPr>
      <w:t xml:space="preserve"> </w:t>
    </w:r>
  </w:p>
  <w:p w14:paraId="16E00BD4" w14:textId="77777777" w:rsidR="00F21B6A" w:rsidRDefault="00B910FF" w:rsidP="00F21B6A">
    <w:pPr>
      <w:pStyle w:val="Zpat"/>
    </w:pPr>
    <w:r w:rsidRPr="00B910FF">
      <w:t>Information Services Department</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2C329337" w14:textId="77777777" w:rsidR="00F21B6A" w:rsidRDefault="006A57CC" w:rsidP="00F21B6A">
    <w:pPr>
      <w:pStyle w:val="Zpat"/>
      <w:tabs>
        <w:tab w:val="left" w:pos="4440"/>
      </w:tabs>
    </w:pPr>
    <w:r w:rsidRPr="006A57CC">
      <w:t xml:space="preserve">Na padesátém 3268/81, 100 82 </w:t>
    </w:r>
    <w:r w:rsidR="00B910FF">
      <w:t>Prague</w:t>
    </w:r>
    <w:r w:rsidRPr="006A57CC">
      <w:t xml:space="preserve"> 10</w:t>
    </w:r>
    <w:r w:rsidR="007334B7">
      <w:t xml:space="preserve">, </w:t>
    </w:r>
    <w:r w:rsidR="007334B7" w:rsidRPr="007334B7">
      <w:t>Czech Republic</w:t>
    </w:r>
    <w:r w:rsidR="00F21B6A">
      <w:tab/>
    </w:r>
    <w:r w:rsidR="00F21B6A">
      <w:tab/>
    </w:r>
    <w:r w:rsidR="00F21B6A">
      <w:tab/>
    </w:r>
  </w:p>
  <w:p w14:paraId="2B467E99" w14:textId="77777777" w:rsidR="004A01A7" w:rsidRPr="00F21B6A" w:rsidRDefault="00CB5768" w:rsidP="00F21B6A">
    <w:pPr>
      <w:pStyle w:val="Zpat"/>
    </w:pPr>
    <w:r w:rsidRPr="00CB5768">
      <w:t>T: +420 274 056 789, E: infoservis@csu.gov.cz</w:t>
    </w:r>
    <w:r w:rsidR="00F21B6A">
      <w:tab/>
    </w:r>
    <w:r w:rsidR="00F21B6A">
      <w:tab/>
    </w:r>
    <w:hyperlink r:id="rId1" w:history="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B4F4B" w14:textId="77777777" w:rsidR="002842DA" w:rsidRDefault="002842DA" w:rsidP="004A01A7">
      <w:pPr>
        <w:spacing w:after="0" w:line="240" w:lineRule="auto"/>
      </w:pPr>
    </w:p>
  </w:footnote>
  <w:footnote w:type="continuationSeparator" w:id="0">
    <w:p w14:paraId="6A8449CE" w14:textId="77777777" w:rsidR="002842DA" w:rsidRDefault="002842DA"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65EA1B72" w14:textId="77777777" w:rsidTr="00F21B6A">
      <w:trPr>
        <w:jc w:val="right"/>
      </w:trPr>
      <w:tc>
        <w:tcPr>
          <w:tcW w:w="4253" w:type="dxa"/>
        </w:tcPr>
        <w:p w14:paraId="0E441BC5" w14:textId="77777777" w:rsidR="003208E6" w:rsidRDefault="00B910FF" w:rsidP="00C063DD">
          <w:pPr>
            <w:pStyle w:val="Nadpis3"/>
            <w:spacing w:before="0"/>
            <w:jc w:val="right"/>
          </w:pPr>
          <w:r>
            <w:t>News release</w:t>
          </w:r>
        </w:p>
      </w:tc>
    </w:tr>
  </w:tbl>
  <w:p w14:paraId="612BDE2C" w14:textId="77777777" w:rsidR="00B910FF" w:rsidRDefault="00B910FF" w:rsidP="00B910FF">
    <w:pPr>
      <w:pStyle w:val="Zhlav"/>
      <w:jc w:val="left"/>
    </w:pPr>
    <w:r>
      <w:rPr>
        <w:noProof/>
        <w:color w:val="000000" w:themeColor="text1"/>
      </w:rPr>
      <w:drawing>
        <wp:anchor distT="0" distB="0" distL="114300" distR="114300" simplePos="0" relativeHeight="251658240"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6AF71E31" w14:textId="77777777" w:rsidR="004A01A7"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C4A"/>
    <w:rsid w:val="00002270"/>
    <w:rsid w:val="000106FE"/>
    <w:rsid w:val="00011D23"/>
    <w:rsid w:val="000120B4"/>
    <w:rsid w:val="0002560E"/>
    <w:rsid w:val="00032CCE"/>
    <w:rsid w:val="00035F16"/>
    <w:rsid w:val="00043335"/>
    <w:rsid w:val="00054392"/>
    <w:rsid w:val="0005510C"/>
    <w:rsid w:val="00062565"/>
    <w:rsid w:val="00064121"/>
    <w:rsid w:val="00070445"/>
    <w:rsid w:val="00071F0F"/>
    <w:rsid w:val="00074AA6"/>
    <w:rsid w:val="00083A55"/>
    <w:rsid w:val="00084748"/>
    <w:rsid w:val="00085436"/>
    <w:rsid w:val="000968A9"/>
    <w:rsid w:val="000B4F0B"/>
    <w:rsid w:val="000C11F2"/>
    <w:rsid w:val="000C2452"/>
    <w:rsid w:val="000C3631"/>
    <w:rsid w:val="000C67FA"/>
    <w:rsid w:val="000C68F4"/>
    <w:rsid w:val="000D2954"/>
    <w:rsid w:val="000D5C58"/>
    <w:rsid w:val="000E00C3"/>
    <w:rsid w:val="000E3099"/>
    <w:rsid w:val="000E704C"/>
    <w:rsid w:val="000F141D"/>
    <w:rsid w:val="000F5A54"/>
    <w:rsid w:val="00102994"/>
    <w:rsid w:val="0010606B"/>
    <w:rsid w:val="00134D21"/>
    <w:rsid w:val="00134F2B"/>
    <w:rsid w:val="00135EBB"/>
    <w:rsid w:val="001363A5"/>
    <w:rsid w:val="00137B85"/>
    <w:rsid w:val="00140402"/>
    <w:rsid w:val="00141449"/>
    <w:rsid w:val="00146A2A"/>
    <w:rsid w:val="0015074B"/>
    <w:rsid w:val="001510FA"/>
    <w:rsid w:val="00160FEB"/>
    <w:rsid w:val="001623B8"/>
    <w:rsid w:val="00164790"/>
    <w:rsid w:val="0017010B"/>
    <w:rsid w:val="001712FE"/>
    <w:rsid w:val="00171B3E"/>
    <w:rsid w:val="00175680"/>
    <w:rsid w:val="001909FA"/>
    <w:rsid w:val="001A0387"/>
    <w:rsid w:val="001B62DB"/>
    <w:rsid w:val="001B7C4A"/>
    <w:rsid w:val="001D46E2"/>
    <w:rsid w:val="001D52C5"/>
    <w:rsid w:val="001D57D2"/>
    <w:rsid w:val="001D5D36"/>
    <w:rsid w:val="001D719A"/>
    <w:rsid w:val="001E0520"/>
    <w:rsid w:val="001E1B82"/>
    <w:rsid w:val="001E417F"/>
    <w:rsid w:val="001E49EB"/>
    <w:rsid w:val="001E513B"/>
    <w:rsid w:val="001E691A"/>
    <w:rsid w:val="001F18E3"/>
    <w:rsid w:val="001F4767"/>
    <w:rsid w:val="001F493F"/>
    <w:rsid w:val="001F7684"/>
    <w:rsid w:val="002000F6"/>
    <w:rsid w:val="00200551"/>
    <w:rsid w:val="00200665"/>
    <w:rsid w:val="002013B0"/>
    <w:rsid w:val="0020716F"/>
    <w:rsid w:val="00207498"/>
    <w:rsid w:val="00212390"/>
    <w:rsid w:val="00213555"/>
    <w:rsid w:val="00216463"/>
    <w:rsid w:val="00222610"/>
    <w:rsid w:val="002226BC"/>
    <w:rsid w:val="002234D1"/>
    <w:rsid w:val="00231050"/>
    <w:rsid w:val="002363CA"/>
    <w:rsid w:val="00240555"/>
    <w:rsid w:val="0024676C"/>
    <w:rsid w:val="0025518A"/>
    <w:rsid w:val="00260DCA"/>
    <w:rsid w:val="00261A9F"/>
    <w:rsid w:val="00275B42"/>
    <w:rsid w:val="00280346"/>
    <w:rsid w:val="00280D21"/>
    <w:rsid w:val="0028101B"/>
    <w:rsid w:val="002826B4"/>
    <w:rsid w:val="002842DA"/>
    <w:rsid w:val="00293F29"/>
    <w:rsid w:val="00297C33"/>
    <w:rsid w:val="002A1C61"/>
    <w:rsid w:val="002A22A0"/>
    <w:rsid w:val="002B2E74"/>
    <w:rsid w:val="002B5CC4"/>
    <w:rsid w:val="002B774C"/>
    <w:rsid w:val="002C0EAA"/>
    <w:rsid w:val="002C4C20"/>
    <w:rsid w:val="002D11B9"/>
    <w:rsid w:val="002D796B"/>
    <w:rsid w:val="002E2B3B"/>
    <w:rsid w:val="002F57A2"/>
    <w:rsid w:val="002F6860"/>
    <w:rsid w:val="002F7004"/>
    <w:rsid w:val="0030061B"/>
    <w:rsid w:val="003009D7"/>
    <w:rsid w:val="00303A0E"/>
    <w:rsid w:val="00307360"/>
    <w:rsid w:val="0031782D"/>
    <w:rsid w:val="003206E7"/>
    <w:rsid w:val="003208E6"/>
    <w:rsid w:val="0032285E"/>
    <w:rsid w:val="00323B1B"/>
    <w:rsid w:val="00323EF7"/>
    <w:rsid w:val="00327D55"/>
    <w:rsid w:val="003351B8"/>
    <w:rsid w:val="0033710E"/>
    <w:rsid w:val="003444AF"/>
    <w:rsid w:val="003540FA"/>
    <w:rsid w:val="003543CE"/>
    <w:rsid w:val="00356332"/>
    <w:rsid w:val="00363815"/>
    <w:rsid w:val="003654CD"/>
    <w:rsid w:val="00370110"/>
    <w:rsid w:val="00372598"/>
    <w:rsid w:val="003777C2"/>
    <w:rsid w:val="00392F53"/>
    <w:rsid w:val="00393EC0"/>
    <w:rsid w:val="003A2A49"/>
    <w:rsid w:val="003A3966"/>
    <w:rsid w:val="003A3D53"/>
    <w:rsid w:val="003A7E6A"/>
    <w:rsid w:val="003B5274"/>
    <w:rsid w:val="003C027F"/>
    <w:rsid w:val="003C3F6A"/>
    <w:rsid w:val="003C7B1D"/>
    <w:rsid w:val="003D639F"/>
    <w:rsid w:val="003E0572"/>
    <w:rsid w:val="003E3910"/>
    <w:rsid w:val="003E6369"/>
    <w:rsid w:val="003F36C7"/>
    <w:rsid w:val="003F54C8"/>
    <w:rsid w:val="003F69B1"/>
    <w:rsid w:val="004027D2"/>
    <w:rsid w:val="0040303E"/>
    <w:rsid w:val="0040680B"/>
    <w:rsid w:val="00407B47"/>
    <w:rsid w:val="004124AC"/>
    <w:rsid w:val="004136C9"/>
    <w:rsid w:val="00420F82"/>
    <w:rsid w:val="00421717"/>
    <w:rsid w:val="00423B11"/>
    <w:rsid w:val="00423CF2"/>
    <w:rsid w:val="00426C60"/>
    <w:rsid w:val="00427375"/>
    <w:rsid w:val="00430BB6"/>
    <w:rsid w:val="0043243E"/>
    <w:rsid w:val="00433E54"/>
    <w:rsid w:val="00436EC2"/>
    <w:rsid w:val="00450156"/>
    <w:rsid w:val="004533F8"/>
    <w:rsid w:val="00454DC7"/>
    <w:rsid w:val="004573FA"/>
    <w:rsid w:val="004607B2"/>
    <w:rsid w:val="00463047"/>
    <w:rsid w:val="0046727D"/>
    <w:rsid w:val="004723B2"/>
    <w:rsid w:val="0048670C"/>
    <w:rsid w:val="00493ED9"/>
    <w:rsid w:val="0049542A"/>
    <w:rsid w:val="004977D7"/>
    <w:rsid w:val="004A01A7"/>
    <w:rsid w:val="004A09C5"/>
    <w:rsid w:val="004A38DD"/>
    <w:rsid w:val="004A5E29"/>
    <w:rsid w:val="004B4A94"/>
    <w:rsid w:val="004C3A64"/>
    <w:rsid w:val="004C7DCA"/>
    <w:rsid w:val="004E4CBD"/>
    <w:rsid w:val="004E6825"/>
    <w:rsid w:val="004E7E0E"/>
    <w:rsid w:val="004F7490"/>
    <w:rsid w:val="00500A63"/>
    <w:rsid w:val="00521746"/>
    <w:rsid w:val="00534403"/>
    <w:rsid w:val="00535481"/>
    <w:rsid w:val="00542A56"/>
    <w:rsid w:val="00542C22"/>
    <w:rsid w:val="00542CA8"/>
    <w:rsid w:val="00545106"/>
    <w:rsid w:val="00550B36"/>
    <w:rsid w:val="00553ACE"/>
    <w:rsid w:val="005548CD"/>
    <w:rsid w:val="00554FC7"/>
    <w:rsid w:val="0055531A"/>
    <w:rsid w:val="00560EC8"/>
    <w:rsid w:val="00563A5F"/>
    <w:rsid w:val="00563FE8"/>
    <w:rsid w:val="0056491C"/>
    <w:rsid w:val="00564F2B"/>
    <w:rsid w:val="005801BB"/>
    <w:rsid w:val="0058349F"/>
    <w:rsid w:val="005865A4"/>
    <w:rsid w:val="00586756"/>
    <w:rsid w:val="0058729F"/>
    <w:rsid w:val="00591E3A"/>
    <w:rsid w:val="00593FA2"/>
    <w:rsid w:val="005970F5"/>
    <w:rsid w:val="005A012C"/>
    <w:rsid w:val="005A4EC9"/>
    <w:rsid w:val="005A60C3"/>
    <w:rsid w:val="005B0192"/>
    <w:rsid w:val="005C0E9F"/>
    <w:rsid w:val="005C14EB"/>
    <w:rsid w:val="005C29C9"/>
    <w:rsid w:val="005C6F54"/>
    <w:rsid w:val="005C781E"/>
    <w:rsid w:val="005E2C5D"/>
    <w:rsid w:val="005F6014"/>
    <w:rsid w:val="005F7422"/>
    <w:rsid w:val="00601C8A"/>
    <w:rsid w:val="00601DFE"/>
    <w:rsid w:val="006051FE"/>
    <w:rsid w:val="00606CF5"/>
    <w:rsid w:val="00607675"/>
    <w:rsid w:val="006120D2"/>
    <w:rsid w:val="00623843"/>
    <w:rsid w:val="0062485E"/>
    <w:rsid w:val="006254F9"/>
    <w:rsid w:val="00626A46"/>
    <w:rsid w:val="00626A74"/>
    <w:rsid w:val="0062750B"/>
    <w:rsid w:val="00637E8B"/>
    <w:rsid w:val="00640E73"/>
    <w:rsid w:val="0064237D"/>
    <w:rsid w:val="00645DF3"/>
    <w:rsid w:val="006461B4"/>
    <w:rsid w:val="00647757"/>
    <w:rsid w:val="00650D3D"/>
    <w:rsid w:val="00654413"/>
    <w:rsid w:val="0067042F"/>
    <w:rsid w:val="0069208A"/>
    <w:rsid w:val="006950C1"/>
    <w:rsid w:val="0069631F"/>
    <w:rsid w:val="006A4940"/>
    <w:rsid w:val="006A57CC"/>
    <w:rsid w:val="006C0860"/>
    <w:rsid w:val="006C0B80"/>
    <w:rsid w:val="006E19D7"/>
    <w:rsid w:val="006E1DFA"/>
    <w:rsid w:val="006E68F4"/>
    <w:rsid w:val="006E7273"/>
    <w:rsid w:val="006F4755"/>
    <w:rsid w:val="006F51DB"/>
    <w:rsid w:val="00702BED"/>
    <w:rsid w:val="007049E6"/>
    <w:rsid w:val="00712324"/>
    <w:rsid w:val="00713213"/>
    <w:rsid w:val="007141CA"/>
    <w:rsid w:val="0071455E"/>
    <w:rsid w:val="00716F0E"/>
    <w:rsid w:val="00724E67"/>
    <w:rsid w:val="0073040F"/>
    <w:rsid w:val="007334B7"/>
    <w:rsid w:val="00733C92"/>
    <w:rsid w:val="007371E0"/>
    <w:rsid w:val="00740074"/>
    <w:rsid w:val="007539D7"/>
    <w:rsid w:val="00761898"/>
    <w:rsid w:val="00765263"/>
    <w:rsid w:val="0076594F"/>
    <w:rsid w:val="00773B0B"/>
    <w:rsid w:val="00787190"/>
    <w:rsid w:val="007C12A4"/>
    <w:rsid w:val="007C3485"/>
    <w:rsid w:val="007D6A0E"/>
    <w:rsid w:val="007D6F07"/>
    <w:rsid w:val="007E1099"/>
    <w:rsid w:val="007E79AC"/>
    <w:rsid w:val="007F4BC5"/>
    <w:rsid w:val="00801CDD"/>
    <w:rsid w:val="00811964"/>
    <w:rsid w:val="00812107"/>
    <w:rsid w:val="00834A49"/>
    <w:rsid w:val="00837E45"/>
    <w:rsid w:val="0084277E"/>
    <w:rsid w:val="00846E64"/>
    <w:rsid w:val="00851074"/>
    <w:rsid w:val="008541DA"/>
    <w:rsid w:val="00866918"/>
    <w:rsid w:val="00870D3E"/>
    <w:rsid w:val="008736E3"/>
    <w:rsid w:val="00877CF1"/>
    <w:rsid w:val="00884306"/>
    <w:rsid w:val="008A4895"/>
    <w:rsid w:val="008B07A2"/>
    <w:rsid w:val="008B0E87"/>
    <w:rsid w:val="008C05D0"/>
    <w:rsid w:val="008C4A49"/>
    <w:rsid w:val="008D405D"/>
    <w:rsid w:val="008D5575"/>
    <w:rsid w:val="008F125B"/>
    <w:rsid w:val="008F533C"/>
    <w:rsid w:val="008F7706"/>
    <w:rsid w:val="009149E6"/>
    <w:rsid w:val="00916E60"/>
    <w:rsid w:val="009177B1"/>
    <w:rsid w:val="00917C90"/>
    <w:rsid w:val="00935A81"/>
    <w:rsid w:val="00935CCD"/>
    <w:rsid w:val="009414F1"/>
    <w:rsid w:val="009453B3"/>
    <w:rsid w:val="00945FB9"/>
    <w:rsid w:val="009475A7"/>
    <w:rsid w:val="00951930"/>
    <w:rsid w:val="0095322F"/>
    <w:rsid w:val="009610E2"/>
    <w:rsid w:val="0096469E"/>
    <w:rsid w:val="00967E56"/>
    <w:rsid w:val="0097303D"/>
    <w:rsid w:val="00974769"/>
    <w:rsid w:val="00983393"/>
    <w:rsid w:val="00984352"/>
    <w:rsid w:val="00985819"/>
    <w:rsid w:val="0098745C"/>
    <w:rsid w:val="00992D53"/>
    <w:rsid w:val="009A389D"/>
    <w:rsid w:val="009B032C"/>
    <w:rsid w:val="009B0804"/>
    <w:rsid w:val="009B2399"/>
    <w:rsid w:val="009C081A"/>
    <w:rsid w:val="009C0BC3"/>
    <w:rsid w:val="009C31A6"/>
    <w:rsid w:val="009D72AA"/>
    <w:rsid w:val="009E4B81"/>
    <w:rsid w:val="009F3E9D"/>
    <w:rsid w:val="00A12704"/>
    <w:rsid w:val="00A15A28"/>
    <w:rsid w:val="00A274A1"/>
    <w:rsid w:val="00A3129F"/>
    <w:rsid w:val="00A3283F"/>
    <w:rsid w:val="00A3441C"/>
    <w:rsid w:val="00A47859"/>
    <w:rsid w:val="00A55A71"/>
    <w:rsid w:val="00A57E08"/>
    <w:rsid w:val="00A7786D"/>
    <w:rsid w:val="00A81AFF"/>
    <w:rsid w:val="00A851CE"/>
    <w:rsid w:val="00A91166"/>
    <w:rsid w:val="00A91452"/>
    <w:rsid w:val="00A91B3D"/>
    <w:rsid w:val="00A92EE5"/>
    <w:rsid w:val="00A95D0B"/>
    <w:rsid w:val="00AA0C58"/>
    <w:rsid w:val="00AA1D72"/>
    <w:rsid w:val="00AA28B3"/>
    <w:rsid w:val="00AB4BE7"/>
    <w:rsid w:val="00AB5479"/>
    <w:rsid w:val="00AB7649"/>
    <w:rsid w:val="00AC0BF4"/>
    <w:rsid w:val="00AC312F"/>
    <w:rsid w:val="00AD40DD"/>
    <w:rsid w:val="00AD7096"/>
    <w:rsid w:val="00AD7D97"/>
    <w:rsid w:val="00AE1317"/>
    <w:rsid w:val="00AE3EA7"/>
    <w:rsid w:val="00AE6440"/>
    <w:rsid w:val="00AF06B0"/>
    <w:rsid w:val="00AF2D75"/>
    <w:rsid w:val="00AF3319"/>
    <w:rsid w:val="00AF39AC"/>
    <w:rsid w:val="00AF6E9E"/>
    <w:rsid w:val="00B0330A"/>
    <w:rsid w:val="00B04806"/>
    <w:rsid w:val="00B07208"/>
    <w:rsid w:val="00B17380"/>
    <w:rsid w:val="00B2195A"/>
    <w:rsid w:val="00B31BB1"/>
    <w:rsid w:val="00B40D87"/>
    <w:rsid w:val="00B422EB"/>
    <w:rsid w:val="00B43D9B"/>
    <w:rsid w:val="00B47092"/>
    <w:rsid w:val="00B51C8F"/>
    <w:rsid w:val="00B602D0"/>
    <w:rsid w:val="00B603B5"/>
    <w:rsid w:val="00B62344"/>
    <w:rsid w:val="00B70022"/>
    <w:rsid w:val="00B7165F"/>
    <w:rsid w:val="00B733E5"/>
    <w:rsid w:val="00B759AD"/>
    <w:rsid w:val="00B82C63"/>
    <w:rsid w:val="00B83BF8"/>
    <w:rsid w:val="00B84E89"/>
    <w:rsid w:val="00B8724F"/>
    <w:rsid w:val="00B90BD8"/>
    <w:rsid w:val="00B90C06"/>
    <w:rsid w:val="00B910FF"/>
    <w:rsid w:val="00B93439"/>
    <w:rsid w:val="00B952AB"/>
    <w:rsid w:val="00B96F18"/>
    <w:rsid w:val="00BA64C3"/>
    <w:rsid w:val="00BA6934"/>
    <w:rsid w:val="00BB2466"/>
    <w:rsid w:val="00BB2B9A"/>
    <w:rsid w:val="00BB6195"/>
    <w:rsid w:val="00BB6635"/>
    <w:rsid w:val="00BB6743"/>
    <w:rsid w:val="00BC23FF"/>
    <w:rsid w:val="00BC345A"/>
    <w:rsid w:val="00BC5C99"/>
    <w:rsid w:val="00BD27B2"/>
    <w:rsid w:val="00BD648B"/>
    <w:rsid w:val="00BD657F"/>
    <w:rsid w:val="00BD68B5"/>
    <w:rsid w:val="00BE2E0B"/>
    <w:rsid w:val="00BE3BE4"/>
    <w:rsid w:val="00BE5550"/>
    <w:rsid w:val="00BF1748"/>
    <w:rsid w:val="00BF58C9"/>
    <w:rsid w:val="00C044C1"/>
    <w:rsid w:val="00C063DD"/>
    <w:rsid w:val="00C12B28"/>
    <w:rsid w:val="00C15C5E"/>
    <w:rsid w:val="00C206E5"/>
    <w:rsid w:val="00C21594"/>
    <w:rsid w:val="00C240F6"/>
    <w:rsid w:val="00C27B17"/>
    <w:rsid w:val="00C311A5"/>
    <w:rsid w:val="00C4391D"/>
    <w:rsid w:val="00C47D31"/>
    <w:rsid w:val="00C5077B"/>
    <w:rsid w:val="00C559EC"/>
    <w:rsid w:val="00C5725B"/>
    <w:rsid w:val="00C572ED"/>
    <w:rsid w:val="00C61C26"/>
    <w:rsid w:val="00C628CA"/>
    <w:rsid w:val="00C678BE"/>
    <w:rsid w:val="00C744B6"/>
    <w:rsid w:val="00C744B7"/>
    <w:rsid w:val="00C74A09"/>
    <w:rsid w:val="00C814FD"/>
    <w:rsid w:val="00CA1B63"/>
    <w:rsid w:val="00CA3ABB"/>
    <w:rsid w:val="00CB1B52"/>
    <w:rsid w:val="00CB1E4F"/>
    <w:rsid w:val="00CB5768"/>
    <w:rsid w:val="00CB64A6"/>
    <w:rsid w:val="00CB6B2A"/>
    <w:rsid w:val="00CC0409"/>
    <w:rsid w:val="00CC109E"/>
    <w:rsid w:val="00CC309B"/>
    <w:rsid w:val="00CC35A2"/>
    <w:rsid w:val="00CC7927"/>
    <w:rsid w:val="00CD0856"/>
    <w:rsid w:val="00CD1158"/>
    <w:rsid w:val="00CD784B"/>
    <w:rsid w:val="00CE0BC6"/>
    <w:rsid w:val="00CF6697"/>
    <w:rsid w:val="00D066AA"/>
    <w:rsid w:val="00D12AC4"/>
    <w:rsid w:val="00D15B3B"/>
    <w:rsid w:val="00D20AC3"/>
    <w:rsid w:val="00D33260"/>
    <w:rsid w:val="00D50FAD"/>
    <w:rsid w:val="00D52AAE"/>
    <w:rsid w:val="00D63056"/>
    <w:rsid w:val="00D70040"/>
    <w:rsid w:val="00D7143F"/>
    <w:rsid w:val="00D71486"/>
    <w:rsid w:val="00D746D4"/>
    <w:rsid w:val="00DA10DB"/>
    <w:rsid w:val="00DA596D"/>
    <w:rsid w:val="00DB0E83"/>
    <w:rsid w:val="00DD047E"/>
    <w:rsid w:val="00DD33A7"/>
    <w:rsid w:val="00DD3D93"/>
    <w:rsid w:val="00DD4E3E"/>
    <w:rsid w:val="00DD6689"/>
    <w:rsid w:val="00DF3F66"/>
    <w:rsid w:val="00DF6351"/>
    <w:rsid w:val="00E042CF"/>
    <w:rsid w:val="00E05EAA"/>
    <w:rsid w:val="00E110F4"/>
    <w:rsid w:val="00E12747"/>
    <w:rsid w:val="00E14659"/>
    <w:rsid w:val="00E24FEA"/>
    <w:rsid w:val="00E3245C"/>
    <w:rsid w:val="00E34849"/>
    <w:rsid w:val="00E414DB"/>
    <w:rsid w:val="00E456D4"/>
    <w:rsid w:val="00E47767"/>
    <w:rsid w:val="00E504A1"/>
    <w:rsid w:val="00E60C3A"/>
    <w:rsid w:val="00E62893"/>
    <w:rsid w:val="00E67257"/>
    <w:rsid w:val="00E704CC"/>
    <w:rsid w:val="00E721D1"/>
    <w:rsid w:val="00E72CDB"/>
    <w:rsid w:val="00E748FE"/>
    <w:rsid w:val="00E82AD0"/>
    <w:rsid w:val="00E8736C"/>
    <w:rsid w:val="00E9571D"/>
    <w:rsid w:val="00E97FB6"/>
    <w:rsid w:val="00EA5CE9"/>
    <w:rsid w:val="00EA621E"/>
    <w:rsid w:val="00EB5DA8"/>
    <w:rsid w:val="00EC2292"/>
    <w:rsid w:val="00EC30D3"/>
    <w:rsid w:val="00ED0AC3"/>
    <w:rsid w:val="00EE0D55"/>
    <w:rsid w:val="00EF1981"/>
    <w:rsid w:val="00EF3CD7"/>
    <w:rsid w:val="00EF4611"/>
    <w:rsid w:val="00F0418D"/>
    <w:rsid w:val="00F049CC"/>
    <w:rsid w:val="00F04EC6"/>
    <w:rsid w:val="00F126E5"/>
    <w:rsid w:val="00F152C4"/>
    <w:rsid w:val="00F20CFC"/>
    <w:rsid w:val="00F21784"/>
    <w:rsid w:val="00F21B6A"/>
    <w:rsid w:val="00F2269B"/>
    <w:rsid w:val="00F26AB3"/>
    <w:rsid w:val="00F30E1E"/>
    <w:rsid w:val="00F34410"/>
    <w:rsid w:val="00F5556D"/>
    <w:rsid w:val="00F562EF"/>
    <w:rsid w:val="00F56BBD"/>
    <w:rsid w:val="00F668A6"/>
    <w:rsid w:val="00F70F49"/>
    <w:rsid w:val="00F75D9C"/>
    <w:rsid w:val="00F837DE"/>
    <w:rsid w:val="00F84D88"/>
    <w:rsid w:val="00FA0FB3"/>
    <w:rsid w:val="00FA634C"/>
    <w:rsid w:val="00FA79CC"/>
    <w:rsid w:val="00FA7B77"/>
    <w:rsid w:val="00FB11FD"/>
    <w:rsid w:val="00FB1F5E"/>
    <w:rsid w:val="00FB45FA"/>
    <w:rsid w:val="00FB4F1B"/>
    <w:rsid w:val="00FB57B9"/>
    <w:rsid w:val="00FC186E"/>
    <w:rsid w:val="00FD5BC4"/>
    <w:rsid w:val="00FD5BEC"/>
    <w:rsid w:val="00FD5E47"/>
    <w:rsid w:val="00FD7332"/>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5D00A"/>
  <w15:chartTrackingRefBased/>
  <w15:docId w15:val="{292E37E3-FA27-405D-B747-87379CDA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paragraph" w:customStyle="1" w:styleId="Poznmky0">
    <w:name w:val="Poznámky_"/>
    <w:next w:val="Normln"/>
    <w:qFormat/>
    <w:rsid w:val="00623843"/>
    <w:pPr>
      <w:pBdr>
        <w:top w:val="single" w:sz="4" w:space="9" w:color="auto"/>
      </w:pBdr>
      <w:spacing w:before="280" w:after="0"/>
    </w:pPr>
    <w:rPr>
      <w:rFonts w:ascii="Arial" w:eastAsia="Calibri" w:hAnsi="Arial" w:cs="ArialMT"/>
      <w:i/>
      <w:kern w:val="0"/>
      <w:sz w:val="18"/>
      <w:szCs w:val="18"/>
      <w:lang w:val="en-GB"/>
      <w14:ligatures w14:val="none"/>
    </w:rPr>
  </w:style>
  <w:style w:type="paragraph" w:styleId="Zkladntext">
    <w:name w:val="Body Text"/>
    <w:basedOn w:val="Normln"/>
    <w:link w:val="ZkladntextChar"/>
    <w:rsid w:val="0033710E"/>
    <w:pPr>
      <w:spacing w:after="0" w:line="240" w:lineRule="auto"/>
    </w:pPr>
    <w:rPr>
      <w:rFonts w:ascii="Times New Roman" w:eastAsia="Times New Roman" w:hAnsi="Times New Roman" w:cs="Times New Roman"/>
      <w:kern w:val="0"/>
      <w:sz w:val="24"/>
      <w:szCs w:val="24"/>
      <w:lang w:val="en-GB"/>
      <w14:ligatures w14:val="none"/>
    </w:rPr>
  </w:style>
  <w:style w:type="character" w:customStyle="1" w:styleId="ZkladntextChar">
    <w:name w:val="Základní text Char"/>
    <w:basedOn w:val="Standardnpsmoodstavce"/>
    <w:link w:val="Zkladntext"/>
    <w:rsid w:val="0033710E"/>
    <w:rPr>
      <w:rFonts w:ascii="Times New Roman" w:eastAsia="Times New Roman" w:hAnsi="Times New Roman" w:cs="Times New Roman"/>
      <w:kern w:val="0"/>
      <w:sz w:val="24"/>
      <w:szCs w:val="24"/>
      <w:lang w:val="en-GB"/>
      <w14:ligatures w14:val="none"/>
    </w:rPr>
  </w:style>
  <w:style w:type="paragraph" w:customStyle="1" w:styleId="TabulkaGraf">
    <w:name w:val="Tabulka/Graf_"/>
    <w:next w:val="Normln"/>
    <w:link w:val="TabulkaGrafChar"/>
    <w:qFormat/>
    <w:rsid w:val="00535481"/>
    <w:pPr>
      <w:spacing w:after="0"/>
      <w:jc w:val="left"/>
    </w:pPr>
    <w:rPr>
      <w:rFonts w:ascii="Arial" w:eastAsia="Times New Roman" w:hAnsi="Arial" w:cs="Times New Roman"/>
      <w:b/>
      <w:bCs/>
      <w:kern w:val="0"/>
      <w:szCs w:val="28"/>
      <w:lang w:val="en-GB"/>
      <w14:ligatures w14:val="none"/>
    </w:rPr>
  </w:style>
  <w:style w:type="character" w:customStyle="1" w:styleId="TabulkaGrafChar">
    <w:name w:val="Tabulka/Graf_ Char"/>
    <w:link w:val="TabulkaGraf"/>
    <w:rsid w:val="00535481"/>
    <w:rPr>
      <w:rFonts w:ascii="Arial" w:eastAsia="Times New Roman" w:hAnsi="Arial" w:cs="Times New Roman"/>
      <w:b/>
      <w:bCs/>
      <w:kern w:val="0"/>
      <w:szCs w:val="28"/>
      <w:lang w:val="en-GB"/>
      <w14:ligatures w14:val="none"/>
    </w:rPr>
  </w:style>
  <w:style w:type="character" w:styleId="Sledovanodkaz">
    <w:name w:val="FollowedHyperlink"/>
    <w:basedOn w:val="Standardnpsmoodstavce"/>
    <w:uiPriority w:val="99"/>
    <w:semiHidden/>
    <w:unhideWhenUsed/>
    <w:rsid w:val="0058349F"/>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su.gov.cz/government-finance-statistic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jaroslav.kahoun@csu.gov.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tr.musil@csu.gov.cz"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zvickova4017\AppData\Local\Temp\82445548-ad11-4fe5-9776-be086840f6a0_OneDrive_2026-06-02.zip.6a0\Form_c466_Rychla%20informace_EN.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BFS3\BARANNU\nu\vl&#225;da\RYCHL&#193;%20INFORMACE%20-%20Q%20deficit%20a%20dluh\DATA\2Q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235038659484416E-2"/>
          <c:y val="4.1085881556253576E-2"/>
          <c:w val="0.90350569010863835"/>
          <c:h val="0.83847678435006567"/>
        </c:manualLayout>
      </c:layout>
      <c:lineChart>
        <c:grouping val="standard"/>
        <c:varyColors val="0"/>
        <c:ser>
          <c:idx val="0"/>
          <c:order val="0"/>
          <c:tx>
            <c:strRef>
              <c:f>'SEZ _EN'!$E$2</c:f>
              <c:strCache>
                <c:ptCount val="1"/>
                <c:pt idx="0">
                  <c:v>% GDP</c:v>
                </c:pt>
              </c:strCache>
            </c:strRef>
          </c:tx>
          <c:spPr>
            <a:ln w="28575" cap="rnd">
              <a:solidFill>
                <a:srgbClr val="D70C0F"/>
              </a:solidFill>
              <a:round/>
            </a:ln>
            <a:effectLst/>
          </c:spPr>
          <c:marker>
            <c:symbol val="circle"/>
            <c:size val="5"/>
            <c:spPr>
              <a:solidFill>
                <a:srgbClr val="D70C0F"/>
              </a:solidFill>
              <a:ln w="9525">
                <a:noFill/>
              </a:ln>
              <a:effectLst/>
            </c:spPr>
          </c:marker>
          <c:dLbls>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Arial" panose="020B0604020202020204" pitchFamily="34" charset="0"/>
                    <a:ea typeface="+mn-ea"/>
                    <a:cs typeface="Arial" panose="020B0604020202020204" pitchFamily="34" charset="0"/>
                  </a:defRPr>
                </a:pPr>
                <a:endParaRPr lang="cs-CZ"/>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'SEZ _EN'!$A$92:$A$100</c:f>
              <c:strCache>
                <c:ptCount val="9"/>
                <c:pt idx="0">
                  <c:v>Q2 2024</c:v>
                </c:pt>
                <c:pt idx="1">
                  <c:v>Q3 2024</c:v>
                </c:pt>
                <c:pt idx="2">
                  <c:v>Q4 2024</c:v>
                </c:pt>
                <c:pt idx="3">
                  <c:v>Q1 2025</c:v>
                </c:pt>
                <c:pt idx="4">
                  <c:v>Q2 2025</c:v>
                </c:pt>
                <c:pt idx="5">
                  <c:v>Q3 2025</c:v>
                </c:pt>
                <c:pt idx="6">
                  <c:v>Q4 2025</c:v>
                </c:pt>
                <c:pt idx="7">
                  <c:v>Q1 2026</c:v>
                </c:pt>
                <c:pt idx="8">
                  <c:v>Q2 2026</c:v>
                </c:pt>
              </c:strCache>
            </c:strRef>
          </c:cat>
          <c:val>
            <c:numRef>
              <c:f>'SEZ _EN'!$E$92:$E$100</c:f>
              <c:numCache>
                <c:formatCode>0.0</c:formatCode>
                <c:ptCount val="9"/>
                <c:pt idx="0">
                  <c:v>-2.1639921463874985</c:v>
                </c:pt>
                <c:pt idx="1">
                  <c:v>-2.3554058276273651</c:v>
                </c:pt>
                <c:pt idx="2">
                  <c:v>-1.6363439215364022</c:v>
                </c:pt>
                <c:pt idx="3">
                  <c:v>-2.1779457066995516</c:v>
                </c:pt>
                <c:pt idx="4">
                  <c:v>-1.8485557996425241</c:v>
                </c:pt>
                <c:pt idx="5">
                  <c:v>-2.1560440344429654</c:v>
                </c:pt>
                <c:pt idx="6">
                  <c:v>-2.4818029344759953</c:v>
                </c:pt>
                <c:pt idx="7">
                  <c:v>-2.5588769765256849</c:v>
                </c:pt>
                <c:pt idx="8">
                  <c:v>-3.2581419827441631</c:v>
                </c:pt>
              </c:numCache>
            </c:numRef>
          </c:val>
          <c:smooth val="0"/>
          <c:extLst>
            <c:ext xmlns:c16="http://schemas.microsoft.com/office/drawing/2014/chart" uri="{C3380CC4-5D6E-409C-BE32-E72D297353CC}">
              <c16:uniqueId val="{00000000-C92A-49CB-80E2-67BE12348C6C}"/>
            </c:ext>
          </c:extLst>
        </c:ser>
        <c:dLbls>
          <c:showLegendKey val="0"/>
          <c:showVal val="0"/>
          <c:showCatName val="0"/>
          <c:showSerName val="0"/>
          <c:showPercent val="0"/>
          <c:showBubbleSize val="0"/>
        </c:dLbls>
        <c:marker val="1"/>
        <c:smooth val="0"/>
        <c:axId val="548997200"/>
        <c:axId val="333288000"/>
      </c:lineChart>
      <c:catAx>
        <c:axId val="54899720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cs-CZ"/>
          </a:p>
        </c:txPr>
        <c:crossAx val="333288000"/>
        <c:crosses val="autoZero"/>
        <c:auto val="1"/>
        <c:lblAlgn val="ctr"/>
        <c:lblOffset val="100"/>
        <c:noMultiLvlLbl val="0"/>
      </c:catAx>
      <c:valAx>
        <c:axId val="333288000"/>
        <c:scaling>
          <c:orientation val="minMax"/>
          <c:max val="3"/>
          <c:min val="-4.5"/>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cs-CZ" i="0"/>
                  <a:t>% of  GDP</a:t>
                </a:r>
              </a:p>
            </c:rich>
          </c:tx>
          <c:layout>
            <c:manualLayout>
              <c:xMode val="edge"/>
              <c:yMode val="edge"/>
              <c:x val="1.844793830738584E-3"/>
              <c:y val="0.3416895769384759"/>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cs-CZ"/>
            </a:p>
          </c:txPr>
        </c:title>
        <c:numFmt formatCode="0.0" sourceLinked="1"/>
        <c:majorTickMark val="out"/>
        <c:minorTickMark val="none"/>
        <c:tickLblPos val="nextTo"/>
        <c:spPr>
          <a:solidFill>
            <a:sysClr val="window" lastClr="FFFFFF"/>
          </a:solid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cs-CZ"/>
          </a:p>
        </c:txPr>
        <c:crossAx val="548997200"/>
        <c:crosses val="autoZero"/>
        <c:crossBetween val="between"/>
        <c:majorUnit val="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i="1">
          <a:solidFill>
            <a:sysClr val="windowText" lastClr="000000"/>
          </a:solidFill>
          <a:latin typeface="Arial" panose="020B0604020202020204" pitchFamily="34" charset="0"/>
          <a:cs typeface="Arial" panose="020B0604020202020204" pitchFamily="34" charset="0"/>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2.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3.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D069AB-B9DA-458A-A7E9-A0173DE8D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a4aca-455c-4012-a902-4d97d6c17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Form_c466_Rychla informace_EN.dotx</Template>
  <TotalTime>122</TotalTime>
  <Pages>3</Pages>
  <Words>771</Words>
  <Characters>4555</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Houžvičková</dc:creator>
  <cp:keywords/>
  <dc:description/>
  <cp:lastModifiedBy>Musil Petr</cp:lastModifiedBy>
  <cp:revision>49</cp:revision>
  <dcterms:created xsi:type="dcterms:W3CDTF">2026-09-29T06:22:00Z</dcterms:created>
  <dcterms:modified xsi:type="dcterms:W3CDTF">2026-09-30T07:08:00Z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