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CF" w:rsidRPr="00DA6A79" w:rsidRDefault="009C74CF" w:rsidP="00B564F9">
      <w:pPr>
        <w:pStyle w:val="Nadpis2"/>
        <w:spacing w:before="0" w:beforeAutospacing="0" w:after="240" w:afterAutospacing="0" w:line="288" w:lineRule="auto"/>
        <w:rPr>
          <w:rFonts w:ascii="Arial" w:hAnsi="Arial" w:cs="Arial"/>
          <w:caps/>
          <w:sz w:val="32"/>
          <w:szCs w:val="32"/>
        </w:rPr>
      </w:pPr>
      <w:r w:rsidRPr="00DA6A79">
        <w:rPr>
          <w:rFonts w:ascii="Arial" w:hAnsi="Arial" w:cs="Arial"/>
          <w:caps/>
          <w:sz w:val="32"/>
          <w:szCs w:val="32"/>
        </w:rPr>
        <w:t>Dříve platné definice demografických událostí</w:t>
      </w:r>
    </w:p>
    <w:p w:rsidR="009C74CF" w:rsidRPr="00DA6A79" w:rsidRDefault="009C74CF" w:rsidP="00B24A1C">
      <w:pPr>
        <w:spacing w:after="160" w:line="288" w:lineRule="auto"/>
        <w:rPr>
          <w:rFonts w:ascii="Arial" w:hAnsi="Arial" w:cs="Arial"/>
          <w:b/>
        </w:rPr>
      </w:pPr>
      <w:r w:rsidRPr="00DA6A79">
        <w:rPr>
          <w:rFonts w:ascii="Arial" w:hAnsi="Arial" w:cs="Arial"/>
          <w:b/>
        </w:rPr>
        <w:t>Definice obyvatel zahrnovaných do statistiky</w:t>
      </w:r>
    </w:p>
    <w:p w:rsidR="009C74CF"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Do roku 1950 vycház</w:t>
      </w:r>
      <w:r>
        <w:rPr>
          <w:rFonts w:ascii="Arial" w:hAnsi="Arial" w:cs="Arial"/>
          <w:sz w:val="20"/>
          <w:szCs w:val="20"/>
        </w:rPr>
        <w:t>ela</w:t>
      </w:r>
      <w:r w:rsidRPr="00761D8D">
        <w:rPr>
          <w:rFonts w:ascii="Arial" w:hAnsi="Arial" w:cs="Arial"/>
          <w:sz w:val="20"/>
          <w:szCs w:val="20"/>
        </w:rPr>
        <w:t xml:space="preserve"> statistika obyvatelstva z koncepce přítomného obyvatelstva, od roku 1950 pak z koncepce bydlícího obyvatelstva založené na místě hlášeného pobytu obyvatel.</w:t>
      </w:r>
    </w:p>
    <w:p w:rsidR="009C74CF" w:rsidRDefault="009C74CF" w:rsidP="00B564F9">
      <w:pPr>
        <w:pStyle w:val="Normlnweb"/>
        <w:spacing w:before="0" w:beforeAutospacing="0" w:after="240" w:afterAutospacing="0" w:line="288" w:lineRule="auto"/>
        <w:rPr>
          <w:rFonts w:ascii="Arial" w:hAnsi="Arial" w:cs="Arial"/>
          <w:sz w:val="20"/>
          <w:szCs w:val="20"/>
        </w:rPr>
      </w:pPr>
      <w:r w:rsidRPr="00761D8D">
        <w:rPr>
          <w:rFonts w:ascii="Arial" w:hAnsi="Arial" w:cs="Arial"/>
          <w:sz w:val="20"/>
          <w:szCs w:val="20"/>
        </w:rPr>
        <w:t xml:space="preserve">V praxi české (československé) demografické statistiky od roku 1950 jsou za obyvatele považováni nejen státní občané České republiky (resp. bývalého Československa), ale všechny osoby, které k danému datu byly přihlášeny v daném území k trvalému pobytu, tedy i </w:t>
      </w:r>
      <w:r>
        <w:rPr>
          <w:rFonts w:ascii="Arial" w:hAnsi="Arial" w:cs="Arial"/>
          <w:sz w:val="20"/>
          <w:szCs w:val="20"/>
        </w:rPr>
        <w:t xml:space="preserve">státní občané jiného státu než ČR. </w:t>
      </w:r>
      <w:r w:rsidRPr="00761D8D">
        <w:rPr>
          <w:rFonts w:ascii="Arial" w:hAnsi="Arial" w:cs="Arial"/>
          <w:sz w:val="20"/>
          <w:szCs w:val="20"/>
        </w:rPr>
        <w:t xml:space="preserve">Do roku 2000 se statistika </w:t>
      </w:r>
      <w:r>
        <w:rPr>
          <w:rFonts w:ascii="Arial" w:hAnsi="Arial" w:cs="Arial"/>
          <w:sz w:val="20"/>
          <w:szCs w:val="20"/>
        </w:rPr>
        <w:t>vztahovala</w:t>
      </w:r>
      <w:r w:rsidRPr="00761D8D">
        <w:rPr>
          <w:rFonts w:ascii="Arial" w:hAnsi="Arial" w:cs="Arial"/>
          <w:sz w:val="20"/>
          <w:szCs w:val="20"/>
        </w:rPr>
        <w:t xml:space="preserve"> pouze </w:t>
      </w:r>
      <w:r>
        <w:rPr>
          <w:rFonts w:ascii="Arial" w:hAnsi="Arial" w:cs="Arial"/>
          <w:sz w:val="20"/>
          <w:szCs w:val="20"/>
        </w:rPr>
        <w:t xml:space="preserve">na </w:t>
      </w:r>
      <w:r w:rsidRPr="00761D8D">
        <w:rPr>
          <w:rFonts w:ascii="Arial" w:hAnsi="Arial" w:cs="Arial"/>
          <w:sz w:val="20"/>
          <w:szCs w:val="20"/>
        </w:rPr>
        <w:t>obyvatel</w:t>
      </w:r>
      <w:r>
        <w:rPr>
          <w:rFonts w:ascii="Arial" w:hAnsi="Arial" w:cs="Arial"/>
          <w:sz w:val="20"/>
          <w:szCs w:val="20"/>
        </w:rPr>
        <w:t>e</w:t>
      </w:r>
      <w:r w:rsidRPr="00761D8D">
        <w:rPr>
          <w:rFonts w:ascii="Arial" w:hAnsi="Arial" w:cs="Arial"/>
          <w:sz w:val="20"/>
          <w:szCs w:val="20"/>
        </w:rPr>
        <w:t xml:space="preserve"> s trvalým bydlištěm v České republice (bez ohledu na jejich státní občanství), od roku 2001 </w:t>
      </w:r>
      <w:r>
        <w:rPr>
          <w:rFonts w:ascii="Arial" w:hAnsi="Arial" w:cs="Arial"/>
          <w:sz w:val="20"/>
          <w:szCs w:val="20"/>
        </w:rPr>
        <w:t xml:space="preserve">do 1. 5. 2004 </w:t>
      </w:r>
      <w:r w:rsidRPr="00761D8D">
        <w:rPr>
          <w:rFonts w:ascii="Arial" w:hAnsi="Arial" w:cs="Arial"/>
          <w:sz w:val="20"/>
          <w:szCs w:val="20"/>
        </w:rPr>
        <w:t>v návaznosti na Sčítání lidu, domů a bytů 2001 nově i cizinců s</w:t>
      </w:r>
      <w:r>
        <w:rPr>
          <w:rFonts w:ascii="Arial" w:hAnsi="Arial" w:cs="Arial"/>
          <w:sz w:val="20"/>
          <w:szCs w:val="20"/>
        </w:rPr>
        <w:t xml:space="preserve"> přechodným pobytem na vízum </w:t>
      </w:r>
      <w:r w:rsidRPr="00761D8D">
        <w:rPr>
          <w:rFonts w:ascii="Arial" w:hAnsi="Arial" w:cs="Arial"/>
          <w:sz w:val="20"/>
          <w:szCs w:val="20"/>
        </w:rPr>
        <w:t>nad 90 dnů a cizinců s</w:t>
      </w:r>
      <w:r>
        <w:rPr>
          <w:rFonts w:ascii="Arial" w:hAnsi="Arial" w:cs="Arial"/>
          <w:sz w:val="20"/>
          <w:szCs w:val="20"/>
        </w:rPr>
        <w:t> </w:t>
      </w:r>
      <w:r w:rsidRPr="00761D8D">
        <w:rPr>
          <w:rFonts w:ascii="Arial" w:hAnsi="Arial" w:cs="Arial"/>
          <w:sz w:val="20"/>
          <w:szCs w:val="20"/>
        </w:rPr>
        <w:t>azylem</w:t>
      </w:r>
      <w:r>
        <w:rPr>
          <w:rFonts w:ascii="Arial" w:hAnsi="Arial" w:cs="Arial"/>
          <w:sz w:val="20"/>
          <w:szCs w:val="20"/>
        </w:rPr>
        <w:t xml:space="preserve"> v ČR</w:t>
      </w:r>
      <w:r w:rsidRPr="00761D8D">
        <w:rPr>
          <w:rFonts w:ascii="Arial" w:hAnsi="Arial" w:cs="Arial"/>
          <w:sz w:val="20"/>
          <w:szCs w:val="20"/>
        </w:rPr>
        <w:t>.</w:t>
      </w:r>
    </w:p>
    <w:p w:rsidR="009C74CF" w:rsidRPr="00DA6A79" w:rsidRDefault="009C74CF" w:rsidP="00B564F9">
      <w:pPr>
        <w:spacing w:after="120" w:line="288" w:lineRule="auto"/>
        <w:rPr>
          <w:rFonts w:ascii="Arial" w:hAnsi="Arial" w:cs="Arial"/>
          <w:b/>
        </w:rPr>
      </w:pPr>
      <w:r w:rsidRPr="00DA6A79">
        <w:rPr>
          <w:rFonts w:ascii="Arial" w:hAnsi="Arial" w:cs="Arial"/>
          <w:b/>
        </w:rPr>
        <w:t>Definice rozvodů</w:t>
      </w:r>
    </w:p>
    <w:p w:rsidR="009C74CF" w:rsidRDefault="009C74CF" w:rsidP="00B24A1C">
      <w:pPr>
        <w:pStyle w:val="Normlnweb"/>
        <w:spacing w:before="0" w:beforeAutospacing="0" w:after="160" w:afterAutospacing="0" w:line="288" w:lineRule="auto"/>
        <w:rPr>
          <w:rFonts w:ascii="Arial" w:hAnsi="Arial" w:cs="Arial"/>
          <w:sz w:val="20"/>
          <w:szCs w:val="20"/>
        </w:rPr>
      </w:pPr>
      <w:r>
        <w:rPr>
          <w:rFonts w:ascii="Arial" w:hAnsi="Arial" w:cs="Arial"/>
          <w:sz w:val="20"/>
          <w:szCs w:val="20"/>
        </w:rPr>
        <w:t>Pro</w:t>
      </w:r>
      <w:r w:rsidRPr="00761D8D">
        <w:rPr>
          <w:rFonts w:ascii="Arial" w:hAnsi="Arial" w:cs="Arial"/>
          <w:sz w:val="20"/>
          <w:szCs w:val="20"/>
        </w:rPr>
        <w:t xml:space="preserve"> období 1919–1949 </w:t>
      </w:r>
      <w:r>
        <w:rPr>
          <w:rFonts w:ascii="Arial" w:hAnsi="Arial" w:cs="Arial"/>
          <w:sz w:val="20"/>
          <w:szCs w:val="20"/>
        </w:rPr>
        <w:t xml:space="preserve">jsou </w:t>
      </w:r>
      <w:r w:rsidRPr="00761D8D">
        <w:rPr>
          <w:rFonts w:ascii="Arial" w:hAnsi="Arial" w:cs="Arial"/>
          <w:sz w:val="20"/>
          <w:szCs w:val="20"/>
        </w:rPr>
        <w:t>do statistiky zahrnuty pouze rozluky manželství, které podle tehdy existující právní normy odpovídaly rozvodům v dnešním slova smyslu. Od roku 1950 je možná jediná forma právníh</w:t>
      </w:r>
      <w:r>
        <w:rPr>
          <w:rFonts w:ascii="Arial" w:hAnsi="Arial" w:cs="Arial"/>
          <w:sz w:val="20"/>
          <w:szCs w:val="20"/>
        </w:rPr>
        <w:t>o ukončení manželství – rozvod.</w:t>
      </w:r>
    </w:p>
    <w:p w:rsidR="009C74CF" w:rsidRDefault="009C74CF" w:rsidP="00B24A1C">
      <w:pPr>
        <w:pStyle w:val="Normlnweb"/>
        <w:spacing w:before="0" w:beforeAutospacing="0" w:after="160" w:afterAutospacing="0" w:line="288" w:lineRule="auto"/>
        <w:rPr>
          <w:rFonts w:ascii="Arial" w:hAnsi="Arial" w:cs="Arial"/>
          <w:sz w:val="20"/>
          <w:szCs w:val="20"/>
        </w:rPr>
      </w:pPr>
      <w:r>
        <w:rPr>
          <w:rFonts w:ascii="Arial" w:hAnsi="Arial" w:cs="Arial"/>
          <w:sz w:val="20"/>
          <w:szCs w:val="20"/>
        </w:rPr>
        <w:t>Podmínky rozvodu jsou dané zákonem. V období 1. 1. 1950 až 31. 3. 1964 se řídily zákonem o právu rodinném, od 1. 4 1964 do 31. 12. 2013 zákonem o rodině (n</w:t>
      </w:r>
      <w:r w:rsidRPr="00761D8D">
        <w:rPr>
          <w:rFonts w:ascii="Arial" w:hAnsi="Arial" w:cs="Arial"/>
          <w:sz w:val="20"/>
          <w:szCs w:val="20"/>
        </w:rPr>
        <w:t>a počtu a struktuře rozvodů</w:t>
      </w:r>
      <w:r>
        <w:rPr>
          <w:rFonts w:ascii="Arial" w:hAnsi="Arial" w:cs="Arial"/>
          <w:sz w:val="20"/>
          <w:szCs w:val="20"/>
        </w:rPr>
        <w:t xml:space="preserve"> se výrazně podepsala jeho</w:t>
      </w:r>
      <w:r w:rsidRPr="00761D8D">
        <w:rPr>
          <w:rFonts w:ascii="Arial" w:hAnsi="Arial" w:cs="Arial"/>
          <w:sz w:val="20"/>
          <w:szCs w:val="20"/>
        </w:rPr>
        <w:t xml:space="preserve"> novelizace zákonem č. 91/1998 Sb. s platností od 1. 8. 1998</w:t>
      </w:r>
      <w:r>
        <w:rPr>
          <w:rFonts w:ascii="Arial" w:hAnsi="Arial" w:cs="Arial"/>
          <w:sz w:val="20"/>
          <w:szCs w:val="20"/>
        </w:rPr>
        <w:t>), od 1. 1. 2014 je definuje zákon č. 89/2012 Sb., občanský zákoník („nový občanský zákoník“)</w:t>
      </w:r>
      <w:r w:rsidRPr="00761D8D">
        <w:rPr>
          <w:rFonts w:ascii="Arial" w:hAnsi="Arial" w:cs="Arial"/>
          <w:sz w:val="20"/>
          <w:szCs w:val="20"/>
        </w:rPr>
        <w:t>.</w:t>
      </w:r>
    </w:p>
    <w:p w:rsidR="009C74CF" w:rsidRDefault="009C74CF" w:rsidP="00B564F9">
      <w:pPr>
        <w:pStyle w:val="Normlnweb"/>
        <w:spacing w:before="0" w:beforeAutospacing="0" w:after="240" w:afterAutospacing="0" w:line="288" w:lineRule="auto"/>
        <w:rPr>
          <w:rFonts w:ascii="Arial" w:hAnsi="Arial" w:cs="Arial"/>
          <w:sz w:val="20"/>
          <w:szCs w:val="20"/>
        </w:rPr>
      </w:pPr>
      <w:r w:rsidRPr="00761D8D">
        <w:rPr>
          <w:rFonts w:ascii="Arial" w:hAnsi="Arial" w:cs="Arial"/>
          <w:sz w:val="20"/>
          <w:szCs w:val="20"/>
        </w:rPr>
        <w:t>Počínaje rokem 2007 přebírá ČSÚ elektronickou formou z datového skladu Ministerstva spravedlnosti ČR údaje pouze o kladně vyřízených žádostech o rozvod, před tímto rokem měl k dispozici údaje o</w:t>
      </w:r>
      <w:r>
        <w:rPr>
          <w:rFonts w:ascii="Arial" w:hAnsi="Arial" w:cs="Arial"/>
          <w:sz w:val="20"/>
          <w:szCs w:val="20"/>
        </w:rPr>
        <w:t> všech podaných žádostech.</w:t>
      </w:r>
    </w:p>
    <w:p w:rsidR="009C74CF" w:rsidRPr="00DA6A79" w:rsidRDefault="009C74CF" w:rsidP="00B564F9">
      <w:pPr>
        <w:pStyle w:val="Normlnweb"/>
        <w:spacing w:before="0" w:beforeAutospacing="0" w:after="120" w:afterAutospacing="0" w:line="288" w:lineRule="auto"/>
        <w:rPr>
          <w:rFonts w:ascii="Arial" w:hAnsi="Arial" w:cs="Arial"/>
          <w:b/>
        </w:rPr>
      </w:pPr>
      <w:r w:rsidRPr="00DA6A79">
        <w:rPr>
          <w:rFonts w:ascii="Arial" w:hAnsi="Arial" w:cs="Arial"/>
          <w:b/>
        </w:rPr>
        <w:t>Definice živě/mrtvě narozeného dítěte</w:t>
      </w:r>
    </w:p>
    <w:p w:rsidR="009C74CF"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Až do roku 1948 platila v České republice</w:t>
      </w:r>
      <w:r>
        <w:rPr>
          <w:rFonts w:ascii="Arial" w:hAnsi="Arial" w:cs="Arial"/>
          <w:sz w:val="20"/>
          <w:szCs w:val="20"/>
        </w:rPr>
        <w:t xml:space="preserve"> (resp. Československu)</w:t>
      </w:r>
      <w:r w:rsidRPr="00761D8D">
        <w:rPr>
          <w:rFonts w:ascii="Arial" w:hAnsi="Arial" w:cs="Arial"/>
          <w:sz w:val="20"/>
          <w:szCs w:val="20"/>
        </w:rPr>
        <w:t xml:space="preserve"> mezinárodní </w:t>
      </w:r>
      <w:r w:rsidRPr="00F26E0A">
        <w:rPr>
          <w:rFonts w:ascii="Arial" w:hAnsi="Arial" w:cs="Arial"/>
          <w:sz w:val="20"/>
          <w:szCs w:val="20"/>
        </w:rPr>
        <w:t>definice živě narozeného dítěte, za které byl považován plod, u kterého byly zjištěny známky dechu či srdečního pulzu (bez ohledu na délku trvání těhotenství), a definice mrtvě narozeného dítěte, za které byl považován mrtvě narozený plod nar</w:t>
      </w:r>
      <w:r>
        <w:rPr>
          <w:rFonts w:ascii="Arial" w:hAnsi="Arial" w:cs="Arial"/>
          <w:sz w:val="20"/>
          <w:szCs w:val="20"/>
        </w:rPr>
        <w:t>ozený po 28. týdnu těhotenství.</w:t>
      </w:r>
    </w:p>
    <w:p w:rsidR="009C74CF"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V letech 1949–1952 musel plod, aby byl dle národní definice považován za dítě, vážit alespoň 400 g. Jeho vitalita (živě či mrtvě narozené) byla určena podle toho, zda plod projevoval při narození známky života či nikoliv.</w:t>
      </w:r>
    </w:p>
    <w:p w:rsidR="009C74CF" w:rsidRPr="0053078B" w:rsidRDefault="009C74CF" w:rsidP="00B24A1C">
      <w:pPr>
        <w:autoSpaceDE w:val="0"/>
        <w:autoSpaceDN w:val="0"/>
        <w:adjustRightInd w:val="0"/>
        <w:spacing w:after="160" w:line="288" w:lineRule="auto"/>
        <w:rPr>
          <w:rFonts w:ascii="Arial" w:hAnsi="Arial" w:cs="Arial"/>
          <w:sz w:val="20"/>
          <w:szCs w:val="20"/>
        </w:rPr>
      </w:pPr>
      <w:r w:rsidRPr="0053078B">
        <w:rPr>
          <w:rFonts w:ascii="Arial" w:hAnsi="Arial" w:cs="Arial"/>
          <w:sz w:val="20"/>
          <w:szCs w:val="20"/>
        </w:rPr>
        <w:t>V období 1953–1964 byl za dítě pokládán plod měřící alespoň 35 cm a vážící alespoň 1 000 g, který byl výsledkem těhotenství trvajícího alespoň 28 týdnů (musel</w:t>
      </w:r>
      <w:r w:rsidR="00390B65" w:rsidRPr="0053078B">
        <w:rPr>
          <w:rFonts w:ascii="Arial" w:hAnsi="Arial" w:cs="Arial"/>
          <w:sz w:val="20"/>
          <w:szCs w:val="20"/>
        </w:rPr>
        <w:t>a</w:t>
      </w:r>
      <w:r w:rsidRPr="0053078B">
        <w:rPr>
          <w:rFonts w:ascii="Arial" w:hAnsi="Arial" w:cs="Arial"/>
          <w:sz w:val="20"/>
          <w:szCs w:val="20"/>
        </w:rPr>
        <w:t xml:space="preserve"> být splněn</w:t>
      </w:r>
      <w:r w:rsidR="00390B65" w:rsidRPr="0053078B">
        <w:rPr>
          <w:rFonts w:ascii="Arial" w:hAnsi="Arial" w:cs="Arial"/>
          <w:sz w:val="20"/>
          <w:szCs w:val="20"/>
        </w:rPr>
        <w:t>a</w:t>
      </w:r>
      <w:r w:rsidRPr="0053078B">
        <w:rPr>
          <w:rFonts w:ascii="Arial" w:hAnsi="Arial" w:cs="Arial"/>
          <w:sz w:val="20"/>
          <w:szCs w:val="20"/>
        </w:rPr>
        <w:t xml:space="preserve"> všechn</w:t>
      </w:r>
      <w:r w:rsidR="00390B65" w:rsidRPr="0053078B">
        <w:rPr>
          <w:rFonts w:ascii="Arial" w:hAnsi="Arial" w:cs="Arial"/>
          <w:sz w:val="20"/>
          <w:szCs w:val="20"/>
        </w:rPr>
        <w:t>a</w:t>
      </w:r>
      <w:r w:rsidRPr="0053078B">
        <w:rPr>
          <w:rFonts w:ascii="Arial" w:hAnsi="Arial" w:cs="Arial"/>
          <w:sz w:val="20"/>
          <w:szCs w:val="20"/>
        </w:rPr>
        <w:t xml:space="preserve"> tři kritéria). </w:t>
      </w:r>
      <w:r w:rsidR="0053078B" w:rsidRPr="0053078B">
        <w:rPr>
          <w:rFonts w:ascii="Arial" w:hAnsi="Arial" w:cs="Arial"/>
          <w:sz w:val="20"/>
          <w:szCs w:val="20"/>
        </w:rPr>
        <w:t>Z</w:t>
      </w:r>
      <w:r w:rsidR="0053078B" w:rsidRPr="0053078B">
        <w:rPr>
          <w:rFonts w:ascii="Arial" w:eastAsiaTheme="minorHAnsi" w:hAnsi="Arial" w:cs="Arial"/>
          <w:color w:val="000000" w:themeColor="text1"/>
          <w:sz w:val="20"/>
          <w:szCs w:val="20"/>
          <w:lang w:eastAsia="en-US"/>
        </w:rPr>
        <w:t>a</w:t>
      </w:r>
      <w:r w:rsidR="00D77BF6">
        <w:rPr>
          <w:rFonts w:ascii="Arial" w:eastAsiaTheme="minorHAnsi" w:hAnsi="Arial" w:cs="Arial"/>
          <w:color w:val="000000" w:themeColor="text1"/>
          <w:sz w:val="20"/>
          <w:szCs w:val="20"/>
          <w:lang w:eastAsia="en-US"/>
        </w:rPr>
        <w:t xml:space="preserve"> </w:t>
      </w:r>
      <w:r w:rsidR="0053078B" w:rsidRPr="0053078B">
        <w:rPr>
          <w:rFonts w:ascii="Arial" w:eastAsia="HiddenHorzOCR" w:hAnsi="Arial" w:cs="Arial"/>
          <w:color w:val="000000" w:themeColor="text1"/>
          <w:sz w:val="20"/>
          <w:szCs w:val="20"/>
          <w:lang w:eastAsia="en-US"/>
        </w:rPr>
        <w:t xml:space="preserve">živě </w:t>
      </w:r>
      <w:r w:rsidR="0053078B" w:rsidRPr="0053078B">
        <w:rPr>
          <w:rFonts w:ascii="Arial" w:eastAsiaTheme="minorHAnsi" w:hAnsi="Arial" w:cs="Arial"/>
          <w:color w:val="000000" w:themeColor="text1"/>
          <w:sz w:val="20"/>
          <w:szCs w:val="20"/>
          <w:lang w:eastAsia="en-US"/>
        </w:rPr>
        <w:t xml:space="preserve">narozené </w:t>
      </w:r>
      <w:r w:rsidR="0053078B" w:rsidRPr="0053078B">
        <w:rPr>
          <w:rFonts w:ascii="Arial" w:eastAsia="HiddenHorzOCR" w:hAnsi="Arial" w:cs="Arial"/>
          <w:color w:val="000000" w:themeColor="text1"/>
          <w:sz w:val="20"/>
          <w:szCs w:val="20"/>
          <w:lang w:eastAsia="en-US"/>
        </w:rPr>
        <w:t xml:space="preserve">dítě se </w:t>
      </w:r>
      <w:r w:rsidR="0053078B" w:rsidRPr="0053078B">
        <w:rPr>
          <w:rFonts w:ascii="Arial" w:eastAsiaTheme="minorHAnsi" w:hAnsi="Arial" w:cs="Arial"/>
          <w:color w:val="000000" w:themeColor="text1"/>
          <w:sz w:val="20"/>
          <w:szCs w:val="20"/>
          <w:lang w:eastAsia="en-US"/>
        </w:rPr>
        <w:t xml:space="preserve">považovalo takové, které po porodu </w:t>
      </w:r>
      <w:r w:rsidR="0053078B" w:rsidRPr="0053078B">
        <w:rPr>
          <w:rFonts w:ascii="Arial" w:eastAsia="HiddenHorzOCR" w:hAnsi="Arial" w:cs="Arial"/>
          <w:color w:val="000000" w:themeColor="text1"/>
          <w:sz w:val="20"/>
          <w:szCs w:val="20"/>
          <w:lang w:eastAsia="en-US"/>
        </w:rPr>
        <w:t xml:space="preserve">samovolně </w:t>
      </w:r>
      <w:r w:rsidR="0053078B" w:rsidRPr="0053078B">
        <w:rPr>
          <w:rFonts w:ascii="Arial" w:eastAsiaTheme="minorHAnsi" w:hAnsi="Arial" w:cs="Arial"/>
          <w:color w:val="000000" w:themeColor="text1"/>
          <w:sz w:val="20"/>
          <w:szCs w:val="20"/>
          <w:lang w:eastAsia="en-US"/>
        </w:rPr>
        <w:t xml:space="preserve">nebo po </w:t>
      </w:r>
      <w:r w:rsidR="0053078B" w:rsidRPr="0053078B">
        <w:rPr>
          <w:rFonts w:ascii="Arial" w:eastAsia="HiddenHorzOCR" w:hAnsi="Arial" w:cs="Arial"/>
          <w:color w:val="000000" w:themeColor="text1"/>
          <w:sz w:val="20"/>
          <w:szCs w:val="20"/>
          <w:lang w:eastAsia="en-US"/>
        </w:rPr>
        <w:t xml:space="preserve">křísení alespoň </w:t>
      </w:r>
      <w:r w:rsidR="0053078B" w:rsidRPr="0053078B">
        <w:rPr>
          <w:rFonts w:ascii="Arial" w:eastAsiaTheme="minorHAnsi" w:hAnsi="Arial" w:cs="Arial"/>
          <w:color w:val="000000" w:themeColor="text1"/>
          <w:sz w:val="20"/>
          <w:szCs w:val="20"/>
          <w:lang w:eastAsia="en-US"/>
        </w:rPr>
        <w:t>jednou vdechlo.</w:t>
      </w:r>
      <w:r w:rsidR="0053078B" w:rsidRPr="0053078B">
        <w:rPr>
          <w:rFonts w:ascii="Arial" w:eastAsiaTheme="minorHAnsi" w:hAnsi="Arial" w:cs="Arial"/>
          <w:color w:val="282828"/>
          <w:sz w:val="20"/>
          <w:szCs w:val="20"/>
          <w:lang w:eastAsia="en-US"/>
        </w:rPr>
        <w:t xml:space="preserve"> </w:t>
      </w:r>
      <w:r w:rsidRPr="0053078B">
        <w:rPr>
          <w:rFonts w:ascii="Arial" w:hAnsi="Arial" w:cs="Arial"/>
          <w:sz w:val="20"/>
          <w:szCs w:val="20"/>
        </w:rPr>
        <w:t xml:space="preserve">Za (živě narozené) dítě se považoval i plod, který se narodil živě a nesplňoval uvedená kritéria, ale přežil 24 hodin. V případě vícečetných porodů stačilo, aby všechny znaky dítěte měl alespoň jeden plod a za děti byly považovány všechny plody z tohoto těhotenství. </w:t>
      </w:r>
    </w:p>
    <w:p w:rsidR="009C74CF"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V období od 1. 1. 1965 do 29. 2. 1988 platily v Č</w:t>
      </w:r>
      <w:r>
        <w:rPr>
          <w:rFonts w:ascii="Arial" w:hAnsi="Arial" w:cs="Arial"/>
          <w:sz w:val="20"/>
          <w:szCs w:val="20"/>
        </w:rPr>
        <w:t>esku</w:t>
      </w:r>
      <w:r w:rsidRPr="00761D8D">
        <w:rPr>
          <w:rFonts w:ascii="Arial" w:hAnsi="Arial" w:cs="Arial"/>
          <w:sz w:val="20"/>
          <w:szCs w:val="20"/>
        </w:rPr>
        <w:t xml:space="preserve"> opět 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w:t>
      </w:r>
      <w:r w:rsidRPr="00761D8D">
        <w:rPr>
          <w:rFonts w:ascii="Arial" w:hAnsi="Arial" w:cs="Arial"/>
          <w:sz w:val="20"/>
          <w:szCs w:val="20"/>
        </w:rPr>
        <w:lastRenderedPageBreak/>
        <w:t>zdravotnictví 194/1964 Sb.). Za mrtvě narozené dítě je považován plod narozený po 28. týdnu těhotenství nebo, nelze-li délk</w:t>
      </w:r>
      <w:r>
        <w:rPr>
          <w:rFonts w:ascii="Arial" w:hAnsi="Arial" w:cs="Arial"/>
          <w:sz w:val="20"/>
          <w:szCs w:val="20"/>
        </w:rPr>
        <w:t>u určit, vážící alespoň 1</w:t>
      </w:r>
      <w:r w:rsidR="0053078B">
        <w:rPr>
          <w:rFonts w:ascii="Arial" w:hAnsi="Arial" w:cs="Arial"/>
          <w:sz w:val="20"/>
          <w:szCs w:val="20"/>
        </w:rPr>
        <w:t> </w:t>
      </w:r>
      <w:r>
        <w:rPr>
          <w:rFonts w:ascii="Arial" w:hAnsi="Arial" w:cs="Arial"/>
          <w:sz w:val="20"/>
          <w:szCs w:val="20"/>
        </w:rPr>
        <w:t>000 g.</w:t>
      </w:r>
    </w:p>
    <w:p w:rsidR="009C74CF" w:rsidRDefault="009C74CF" w:rsidP="0053078B">
      <w:pPr>
        <w:pStyle w:val="Normlnweb"/>
        <w:spacing w:before="0" w:beforeAutospacing="0" w:after="240" w:afterAutospacing="0" w:line="288" w:lineRule="auto"/>
        <w:rPr>
          <w:rFonts w:ascii="Arial" w:hAnsi="Arial" w:cs="Arial"/>
          <w:sz w:val="20"/>
          <w:szCs w:val="20"/>
        </w:rPr>
      </w:pPr>
      <w:r w:rsidRPr="00761D8D">
        <w:rPr>
          <w:rFonts w:ascii="Arial" w:hAnsi="Arial" w:cs="Arial"/>
          <w:sz w:val="20"/>
          <w:szCs w:val="20"/>
        </w:rPr>
        <w:t xml:space="preserve">Od 1. 3. 1988 do 31. 3. 2012 platila vyhláška Ministerstva zdravotnictví ČSR č. 11/1988 Sb., o povinném hlášení ukončení těhotenství, úmrtí dítěte a úmrtí matky, podle které byl za </w:t>
      </w:r>
      <w:r w:rsidRPr="00761D8D">
        <w:rPr>
          <w:rFonts w:ascii="Arial" w:hAnsi="Arial" w:cs="Arial"/>
          <w:bCs/>
          <w:sz w:val="20"/>
          <w:szCs w:val="20"/>
        </w:rPr>
        <w:t>živě narozené dítě</w:t>
      </w:r>
      <w:r w:rsidRPr="00761D8D">
        <w:rPr>
          <w:rFonts w:ascii="Arial" w:hAnsi="Arial" w:cs="Arial"/>
          <w:sz w:val="20"/>
          <w:szCs w:val="20"/>
        </w:rPr>
        <w:t xml:space="preserve"> považován plod, který projevil po narození aspoň jednu známku života a měl porodní hmotnost 500 g a vyšší, případně nižší než 500 g, přežije-li 24 hodin po porodu. Známkami života se rozuměl dech, srdeční akce, pulsace pupečníku nebo aktivní pohyb svalstva. Za </w:t>
      </w:r>
      <w:r w:rsidRPr="00761D8D">
        <w:rPr>
          <w:rFonts w:ascii="Arial" w:hAnsi="Arial" w:cs="Arial"/>
          <w:bCs/>
          <w:sz w:val="20"/>
          <w:szCs w:val="20"/>
        </w:rPr>
        <w:t>mrtvě narozené dítě</w:t>
      </w:r>
      <w:r w:rsidRPr="00761D8D">
        <w:rPr>
          <w:rFonts w:ascii="Arial" w:hAnsi="Arial" w:cs="Arial"/>
          <w:sz w:val="20"/>
          <w:szCs w:val="20"/>
        </w:rPr>
        <w:t xml:space="preserve"> se považoval plod, který neprojevil ani jednu ze známek života a měl porodní hmotnost 1 000 g a vyšší.</w:t>
      </w:r>
      <w:r>
        <w:rPr>
          <w:rFonts w:ascii="Arial" w:hAnsi="Arial" w:cs="Arial"/>
          <w:sz w:val="20"/>
          <w:szCs w:val="20"/>
        </w:rPr>
        <w:t xml:space="preserve"> </w:t>
      </w:r>
      <w:r w:rsidRPr="00761D8D">
        <w:rPr>
          <w:rFonts w:ascii="Arial" w:hAnsi="Arial" w:cs="Arial"/>
          <w:sz w:val="20"/>
          <w:szCs w:val="20"/>
        </w:rPr>
        <w:t>Vyhláška č. 1</w:t>
      </w:r>
      <w:r w:rsidR="005F4155">
        <w:rPr>
          <w:rFonts w:ascii="Arial" w:hAnsi="Arial" w:cs="Arial"/>
          <w:sz w:val="20"/>
          <w:szCs w:val="20"/>
        </w:rPr>
        <w:t>1/1988 Sb. byla zrušena k 1. 4. </w:t>
      </w:r>
      <w:r w:rsidRPr="00761D8D">
        <w:rPr>
          <w:rFonts w:ascii="Arial" w:hAnsi="Arial" w:cs="Arial"/>
          <w:sz w:val="20"/>
          <w:szCs w:val="20"/>
        </w:rPr>
        <w:t xml:space="preserve">2012 </w:t>
      </w:r>
      <w:r w:rsidRPr="005F4155">
        <w:rPr>
          <w:rFonts w:ascii="Arial" w:hAnsi="Arial" w:cs="Arial"/>
          <w:sz w:val="20"/>
          <w:szCs w:val="20"/>
        </w:rPr>
        <w:t>zákonem č. </w:t>
      </w:r>
      <w:r w:rsidRPr="005F4155">
        <w:rPr>
          <w:rStyle w:val="Siln"/>
          <w:rFonts w:ascii="Arial" w:hAnsi="Arial" w:cs="Arial"/>
          <w:b w:val="0"/>
          <w:sz w:val="20"/>
          <w:szCs w:val="20"/>
        </w:rPr>
        <w:t>372/2011</w:t>
      </w:r>
      <w:r w:rsidRPr="005F4155">
        <w:rPr>
          <w:rFonts w:ascii="Arial" w:hAnsi="Arial" w:cs="Arial"/>
          <w:b/>
          <w:sz w:val="20"/>
          <w:szCs w:val="20"/>
        </w:rPr>
        <w:t xml:space="preserve"> </w:t>
      </w:r>
      <w:r w:rsidRPr="005F4155">
        <w:rPr>
          <w:rFonts w:ascii="Arial" w:hAnsi="Arial" w:cs="Arial"/>
          <w:sz w:val="20"/>
          <w:szCs w:val="20"/>
        </w:rPr>
        <w:t>Sb., o zdravotních</w:t>
      </w:r>
      <w:r w:rsidRPr="00761D8D">
        <w:rPr>
          <w:rFonts w:ascii="Arial" w:hAnsi="Arial" w:cs="Arial"/>
          <w:sz w:val="20"/>
          <w:szCs w:val="20"/>
        </w:rPr>
        <w:t xml:space="preserve"> službách</w:t>
      </w:r>
      <w:r>
        <w:rPr>
          <w:rFonts w:ascii="Arial" w:hAnsi="Arial" w:cs="Arial"/>
          <w:sz w:val="20"/>
          <w:szCs w:val="20"/>
        </w:rPr>
        <w:t>.</w:t>
      </w:r>
    </w:p>
    <w:p w:rsidR="009C74CF" w:rsidRPr="00DA6A79" w:rsidRDefault="009C74CF" w:rsidP="00B564F9">
      <w:pPr>
        <w:pStyle w:val="Normlnweb"/>
        <w:spacing w:before="0" w:beforeAutospacing="0" w:after="120" w:afterAutospacing="0" w:line="288" w:lineRule="auto"/>
        <w:rPr>
          <w:rFonts w:ascii="Arial" w:hAnsi="Arial" w:cs="Arial"/>
          <w:b/>
        </w:rPr>
      </w:pPr>
      <w:r w:rsidRPr="00DA6A79">
        <w:rPr>
          <w:rFonts w:ascii="Arial" w:hAnsi="Arial" w:cs="Arial"/>
          <w:b/>
        </w:rPr>
        <w:t>Definice potratu</w:t>
      </w:r>
    </w:p>
    <w:p w:rsidR="009C74CF" w:rsidRDefault="009C74CF" w:rsidP="00B24A1C">
      <w:pPr>
        <w:spacing w:after="160" w:line="288" w:lineRule="auto"/>
        <w:rPr>
          <w:rFonts w:ascii="Arial" w:hAnsi="Arial" w:cs="Arial"/>
          <w:sz w:val="20"/>
          <w:szCs w:val="20"/>
        </w:rPr>
      </w:pPr>
      <w:r w:rsidRPr="00761D8D">
        <w:rPr>
          <w:rFonts w:ascii="Arial" w:hAnsi="Arial" w:cs="Arial"/>
          <w:sz w:val="20"/>
          <w:szCs w:val="20"/>
        </w:rPr>
        <w:t>Statistika potratů byla v Československu vedena od roku 1953, v letech 1953–1957 však zachycovala pouze potraty provedené ve smyslu trestního zákona č. 86/1950 Sb. (§</w:t>
      </w:r>
      <w:r w:rsidR="005F4155">
        <w:rPr>
          <w:rFonts w:ascii="Arial" w:hAnsi="Arial" w:cs="Arial"/>
          <w:sz w:val="20"/>
          <w:szCs w:val="20"/>
        </w:rPr>
        <w:t xml:space="preserve"> </w:t>
      </w:r>
      <w:r w:rsidRPr="00761D8D">
        <w:rPr>
          <w:rFonts w:ascii="Arial" w:hAnsi="Arial" w:cs="Arial"/>
          <w:sz w:val="20"/>
          <w:szCs w:val="20"/>
        </w:rPr>
        <w:t>218, odst. 4), který umožňoval provést „usmrcení lidského plodu lékařem ve zdravotním ústavu se souhlasem těhotné ženy“ za určitých předpokladů (ohrožení zdravotního stavu t</w:t>
      </w:r>
      <w:r>
        <w:rPr>
          <w:rFonts w:ascii="Arial" w:hAnsi="Arial" w:cs="Arial"/>
          <w:sz w:val="20"/>
          <w:szCs w:val="20"/>
        </w:rPr>
        <w:t>ěhotné ženy nebo jejího plodu).</w:t>
      </w:r>
    </w:p>
    <w:p w:rsidR="009C74CF" w:rsidRDefault="009C74CF" w:rsidP="00B24A1C">
      <w:pPr>
        <w:spacing w:after="160" w:line="288" w:lineRule="auto"/>
        <w:rPr>
          <w:rFonts w:ascii="Arial" w:hAnsi="Arial" w:cs="Arial"/>
          <w:sz w:val="20"/>
          <w:szCs w:val="20"/>
        </w:rPr>
      </w:pPr>
      <w:r w:rsidRPr="00761D8D">
        <w:rPr>
          <w:rFonts w:ascii="Arial" w:hAnsi="Arial" w:cs="Arial"/>
          <w:sz w:val="20"/>
          <w:szCs w:val="20"/>
        </w:rPr>
        <w:t xml:space="preserve">Podrobná statistika v členění podle všech druhů potratů (umělé, samovolné a ostatní potraty) je vedena od roku 1958 v souvislosti s účinností zákona č. 68/1957 Sb., </w:t>
      </w:r>
      <w:r>
        <w:rPr>
          <w:rFonts w:ascii="Arial" w:hAnsi="Arial" w:cs="Arial"/>
          <w:sz w:val="20"/>
          <w:szCs w:val="20"/>
        </w:rPr>
        <w:t>o umělém přerušení těhotenství.</w:t>
      </w:r>
    </w:p>
    <w:p w:rsidR="009C74CF" w:rsidRDefault="009C74CF" w:rsidP="00B24A1C">
      <w:pPr>
        <w:spacing w:after="160" w:line="288" w:lineRule="auto"/>
        <w:rPr>
          <w:rFonts w:ascii="Arial" w:hAnsi="Arial" w:cs="Arial"/>
          <w:sz w:val="20"/>
          <w:szCs w:val="20"/>
        </w:rPr>
      </w:pPr>
      <w:r w:rsidRPr="00761D8D">
        <w:rPr>
          <w:rFonts w:ascii="Arial" w:hAnsi="Arial" w:cs="Arial"/>
          <w:sz w:val="20"/>
          <w:szCs w:val="20"/>
        </w:rPr>
        <w:t xml:space="preserve">Do roku 1964 byly za potraty považovány všechny plody, které nemohly být považovány za děti podle tehdy platné čs. definice. </w:t>
      </w:r>
    </w:p>
    <w:p w:rsidR="009C74CF" w:rsidRDefault="009C74CF" w:rsidP="00B24A1C">
      <w:pPr>
        <w:spacing w:after="160" w:line="288" w:lineRule="auto"/>
        <w:rPr>
          <w:rFonts w:ascii="Arial" w:hAnsi="Arial" w:cs="Arial"/>
          <w:sz w:val="20"/>
          <w:szCs w:val="20"/>
        </w:rPr>
      </w:pPr>
      <w:r w:rsidRPr="00761D8D">
        <w:rPr>
          <w:rFonts w:ascii="Arial" w:hAnsi="Arial" w:cs="Arial"/>
          <w:sz w:val="20"/>
          <w:szCs w:val="20"/>
        </w:rPr>
        <w:t>V období od 1. 1. 1965 do 29. 2. 1988 se dle mezinárodně doporučené definice dítěte za potrat považoval každý mrtvě narozený plod narozený do 28. týdne těhotenství nebo (nelze-li délku těhotenství určit) který vážil méně než 1 000 g.</w:t>
      </w:r>
    </w:p>
    <w:p w:rsidR="009C74CF" w:rsidRPr="00761D8D"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Od 1. 3. 1988 byly definice potratů dány vyhláškou Ministerstva zdravotnictví ČSR č. 11/1988 Sb., o povinném hlášení ukončení těhotenství, úmrtí dítěte a úmrtí matky. Potratem se rozumělo ukončení těhotenství ženy, při němž</w:t>
      </w:r>
      <w:r>
        <w:rPr>
          <w:rFonts w:ascii="Arial" w:hAnsi="Arial" w:cs="Arial"/>
          <w:sz w:val="20"/>
          <w:szCs w:val="20"/>
        </w:rPr>
        <w:t>:</w:t>
      </w:r>
      <w:r w:rsidRPr="00761D8D">
        <w:rPr>
          <w:rFonts w:ascii="Arial" w:hAnsi="Arial" w:cs="Arial"/>
          <w:sz w:val="20"/>
          <w:szCs w:val="20"/>
        </w:rPr>
        <w:t xml:space="preserve"> </w:t>
      </w:r>
    </w:p>
    <w:p w:rsidR="009C74CF" w:rsidRPr="00761D8D" w:rsidRDefault="009C74CF" w:rsidP="00B24A1C">
      <w:pPr>
        <w:numPr>
          <w:ilvl w:val="0"/>
          <w:numId w:val="2"/>
        </w:numPr>
        <w:spacing w:after="160" w:line="288" w:lineRule="auto"/>
        <w:ind w:left="714" w:hanging="357"/>
        <w:rPr>
          <w:rFonts w:ascii="Arial" w:hAnsi="Arial" w:cs="Arial"/>
          <w:sz w:val="20"/>
          <w:szCs w:val="20"/>
        </w:rPr>
      </w:pPr>
      <w:r w:rsidRPr="00761D8D">
        <w:rPr>
          <w:rFonts w:ascii="Arial" w:hAnsi="Arial" w:cs="Arial"/>
          <w:sz w:val="20"/>
          <w:szCs w:val="20"/>
        </w:rPr>
        <w:t>plod neprojevuje ani jednu ze známek života a jeho porodní hmotnost je nižší než 1</w:t>
      </w:r>
      <w:r w:rsidR="00185FE7">
        <w:rPr>
          <w:rFonts w:ascii="Arial" w:hAnsi="Arial" w:cs="Arial"/>
          <w:sz w:val="20"/>
          <w:szCs w:val="20"/>
        </w:rPr>
        <w:t> </w:t>
      </w:r>
      <w:r w:rsidRPr="00761D8D">
        <w:rPr>
          <w:rFonts w:ascii="Arial" w:hAnsi="Arial" w:cs="Arial"/>
          <w:sz w:val="20"/>
          <w:szCs w:val="20"/>
        </w:rPr>
        <w:t>000 g a pokud ji nelze zjistit, jestliže je těhotenství kratší 28 týdnů,</w:t>
      </w:r>
    </w:p>
    <w:p w:rsidR="009C74CF" w:rsidRPr="00761D8D" w:rsidRDefault="009C74CF" w:rsidP="00B24A1C">
      <w:pPr>
        <w:pStyle w:val="normalnsodrkami"/>
        <w:numPr>
          <w:ilvl w:val="0"/>
          <w:numId w:val="2"/>
        </w:numPr>
        <w:spacing w:after="160" w:line="288" w:lineRule="auto"/>
        <w:ind w:left="714" w:hanging="357"/>
        <w:jc w:val="left"/>
        <w:rPr>
          <w:rFonts w:cs="Arial"/>
          <w:szCs w:val="20"/>
        </w:rPr>
      </w:pPr>
      <w:r w:rsidRPr="00761D8D">
        <w:rPr>
          <w:rFonts w:cs="Arial"/>
          <w:szCs w:val="20"/>
        </w:rPr>
        <w:t xml:space="preserve">plod projevuje aspoň jednu ze známek života a má porodní hmotnost nižší než 500 g, ale nepřežije 24 hodin po porodu, </w:t>
      </w:r>
    </w:p>
    <w:p w:rsidR="009C74CF" w:rsidRDefault="009C74CF" w:rsidP="00B24A1C">
      <w:pPr>
        <w:numPr>
          <w:ilvl w:val="0"/>
          <w:numId w:val="2"/>
        </w:numPr>
        <w:spacing w:after="160" w:line="288" w:lineRule="auto"/>
        <w:rPr>
          <w:rFonts w:ascii="Arial" w:hAnsi="Arial" w:cs="Arial"/>
          <w:sz w:val="20"/>
          <w:szCs w:val="20"/>
        </w:rPr>
      </w:pPr>
      <w:r w:rsidRPr="00761D8D">
        <w:rPr>
          <w:rFonts w:ascii="Arial" w:hAnsi="Arial" w:cs="Arial"/>
          <w:sz w:val="20"/>
          <w:szCs w:val="20"/>
        </w:rPr>
        <w:t>z dělohy ženy bylo vyňato plodové vejce bez plodu nebo těhotenská sliznice.</w:t>
      </w:r>
    </w:p>
    <w:p w:rsidR="009C74CF" w:rsidRDefault="009C74CF" w:rsidP="00B24A1C">
      <w:pPr>
        <w:pStyle w:val="Normlnweb"/>
        <w:spacing w:before="0" w:beforeAutospacing="0" w:after="160" w:afterAutospacing="0" w:line="288" w:lineRule="auto"/>
        <w:rPr>
          <w:rFonts w:ascii="Arial" w:hAnsi="Arial" w:cs="Arial"/>
          <w:sz w:val="20"/>
          <w:szCs w:val="20"/>
        </w:rPr>
      </w:pPr>
      <w:r>
        <w:rPr>
          <w:rFonts w:ascii="Arial" w:hAnsi="Arial" w:cs="Arial"/>
          <w:sz w:val="20"/>
          <w:szCs w:val="20"/>
        </w:rPr>
        <w:t>U</w:t>
      </w:r>
      <w:r w:rsidRPr="00FB11D9">
        <w:rPr>
          <w:rFonts w:ascii="Arial" w:hAnsi="Arial" w:cs="Arial"/>
          <w:sz w:val="20"/>
          <w:szCs w:val="20"/>
        </w:rPr>
        <w:t xml:space="preserve">končení mimoděložního těhotenství </w:t>
      </w:r>
      <w:r>
        <w:rPr>
          <w:rFonts w:ascii="Arial" w:hAnsi="Arial" w:cs="Arial"/>
          <w:sz w:val="20"/>
          <w:szCs w:val="20"/>
        </w:rPr>
        <w:t xml:space="preserve">nebyla </w:t>
      </w:r>
      <w:r w:rsidRPr="00FB11D9">
        <w:rPr>
          <w:rFonts w:ascii="Arial" w:hAnsi="Arial" w:cs="Arial"/>
          <w:sz w:val="20"/>
          <w:szCs w:val="20"/>
        </w:rPr>
        <w:t>v</w:t>
      </w:r>
      <w:r>
        <w:rPr>
          <w:rFonts w:ascii="Arial" w:hAnsi="Arial" w:cs="Arial"/>
          <w:sz w:val="20"/>
          <w:szCs w:val="20"/>
        </w:rPr>
        <w:t>e statistice</w:t>
      </w:r>
      <w:r w:rsidRPr="00FB11D9">
        <w:rPr>
          <w:rFonts w:ascii="Arial" w:hAnsi="Arial" w:cs="Arial"/>
          <w:sz w:val="20"/>
          <w:szCs w:val="20"/>
        </w:rPr>
        <w:t> potrat</w:t>
      </w:r>
      <w:r>
        <w:rPr>
          <w:rFonts w:ascii="Arial" w:hAnsi="Arial" w:cs="Arial"/>
          <w:sz w:val="20"/>
          <w:szCs w:val="20"/>
        </w:rPr>
        <w:t>ů</w:t>
      </w:r>
      <w:r w:rsidRPr="00FB11D9">
        <w:rPr>
          <w:rFonts w:ascii="Arial" w:hAnsi="Arial" w:cs="Arial"/>
          <w:sz w:val="20"/>
          <w:szCs w:val="20"/>
        </w:rPr>
        <w:t xml:space="preserve"> </w:t>
      </w:r>
      <w:r>
        <w:rPr>
          <w:rFonts w:ascii="Arial" w:hAnsi="Arial" w:cs="Arial"/>
          <w:sz w:val="20"/>
          <w:szCs w:val="20"/>
        </w:rPr>
        <w:t>v</w:t>
      </w:r>
      <w:r w:rsidRPr="00FB11D9">
        <w:rPr>
          <w:rFonts w:ascii="Arial" w:hAnsi="Arial" w:cs="Arial"/>
          <w:sz w:val="20"/>
          <w:szCs w:val="20"/>
        </w:rPr>
        <w:t> období 1958–1986 evidována</w:t>
      </w:r>
      <w:r>
        <w:rPr>
          <w:rFonts w:ascii="Arial" w:hAnsi="Arial" w:cs="Arial"/>
          <w:sz w:val="20"/>
          <w:szCs w:val="20"/>
        </w:rPr>
        <w:t>, v roce 1987 byla ve výstupech ČSÚ zahrnuta do kategorie „ostatní“, v</w:t>
      </w:r>
      <w:r w:rsidRPr="00FB11D9">
        <w:rPr>
          <w:rFonts w:ascii="Arial" w:hAnsi="Arial" w:cs="Arial"/>
          <w:sz w:val="20"/>
          <w:szCs w:val="20"/>
        </w:rPr>
        <w:t xml:space="preserve"> letech 1988–1991 </w:t>
      </w:r>
      <w:r>
        <w:rPr>
          <w:rFonts w:ascii="Arial" w:hAnsi="Arial" w:cs="Arial"/>
          <w:sz w:val="20"/>
          <w:szCs w:val="20"/>
        </w:rPr>
        <w:t>mezi</w:t>
      </w:r>
      <w:r w:rsidRPr="00FB11D9">
        <w:rPr>
          <w:rFonts w:ascii="Arial" w:hAnsi="Arial" w:cs="Arial"/>
          <w:sz w:val="20"/>
          <w:szCs w:val="20"/>
        </w:rPr>
        <w:t xml:space="preserve"> </w:t>
      </w:r>
      <w:r>
        <w:rPr>
          <w:rFonts w:ascii="Arial" w:hAnsi="Arial" w:cs="Arial"/>
          <w:sz w:val="20"/>
          <w:szCs w:val="20"/>
        </w:rPr>
        <w:t>umělá přerušení těhotenství (UPT). Od roku 1992 tvoří ukončení mimoděložního těhotenství samostatnou kategorii potratů.</w:t>
      </w:r>
    </w:p>
    <w:p w:rsidR="009C74CF" w:rsidRDefault="009C74CF" w:rsidP="00B24A1C">
      <w:pPr>
        <w:spacing w:after="240" w:line="288" w:lineRule="auto"/>
        <w:rPr>
          <w:rFonts w:ascii="Arial" w:hAnsi="Arial" w:cs="Arial"/>
          <w:sz w:val="20"/>
          <w:szCs w:val="20"/>
        </w:rPr>
      </w:pPr>
      <w:r w:rsidRPr="00761D8D">
        <w:rPr>
          <w:rFonts w:ascii="Arial" w:hAnsi="Arial" w:cs="Arial"/>
          <w:sz w:val="20"/>
          <w:szCs w:val="20"/>
        </w:rPr>
        <w:t xml:space="preserve">Vyhláška MZ ČSR č. 11/1988 Sb. byla k 1. 4. 2012 zrušena zákonem </w:t>
      </w:r>
      <w:r w:rsidRPr="00185FE7">
        <w:rPr>
          <w:rFonts w:ascii="Arial" w:hAnsi="Arial" w:cs="Arial"/>
          <w:sz w:val="20"/>
          <w:szCs w:val="20"/>
        </w:rPr>
        <w:t>č.</w:t>
      </w:r>
      <w:r w:rsidRPr="00185FE7">
        <w:rPr>
          <w:rFonts w:ascii="Arial" w:hAnsi="Arial" w:cs="Arial"/>
          <w:b/>
          <w:sz w:val="20"/>
          <w:szCs w:val="20"/>
        </w:rPr>
        <w:t> </w:t>
      </w:r>
      <w:r w:rsidRPr="00185FE7">
        <w:rPr>
          <w:rStyle w:val="Siln"/>
          <w:rFonts w:ascii="Arial" w:hAnsi="Arial" w:cs="Arial"/>
          <w:b w:val="0"/>
          <w:sz w:val="20"/>
          <w:szCs w:val="20"/>
        </w:rPr>
        <w:t>372/2011</w:t>
      </w:r>
      <w:r w:rsidRPr="00761D8D">
        <w:rPr>
          <w:rFonts w:ascii="Arial" w:hAnsi="Arial" w:cs="Arial"/>
          <w:sz w:val="20"/>
          <w:szCs w:val="20"/>
        </w:rPr>
        <w:t xml:space="preserve"> Sb., o zdravotních službách</w:t>
      </w:r>
      <w:r>
        <w:rPr>
          <w:rFonts w:ascii="Arial" w:hAnsi="Arial" w:cs="Arial"/>
          <w:sz w:val="20"/>
          <w:szCs w:val="20"/>
        </w:rPr>
        <w:t xml:space="preserve">, který zavedl novou, aktuálně platnou, definici </w:t>
      </w:r>
      <w:r w:rsidRPr="001B09B2">
        <w:rPr>
          <w:rFonts w:ascii="Arial" w:hAnsi="Arial" w:cs="Arial"/>
          <w:sz w:val="20"/>
          <w:szCs w:val="20"/>
        </w:rPr>
        <w:t>plodu po potratu.</w:t>
      </w:r>
    </w:p>
    <w:p w:rsidR="009C74CF" w:rsidRPr="00DA6A79" w:rsidRDefault="009C74CF" w:rsidP="00B24A1C">
      <w:pPr>
        <w:pStyle w:val="Normlnweb"/>
        <w:spacing w:before="0" w:beforeAutospacing="0" w:after="160" w:afterAutospacing="0" w:line="288" w:lineRule="auto"/>
        <w:rPr>
          <w:rFonts w:ascii="Arial" w:hAnsi="Arial" w:cs="Arial"/>
          <w:b/>
        </w:rPr>
      </w:pPr>
      <w:r w:rsidRPr="00DA6A79">
        <w:rPr>
          <w:rFonts w:ascii="Arial" w:hAnsi="Arial" w:cs="Arial"/>
          <w:b/>
        </w:rPr>
        <w:t>Stati</w:t>
      </w:r>
      <w:bookmarkStart w:id="0" w:name="_GoBack"/>
      <w:bookmarkEnd w:id="0"/>
      <w:r w:rsidRPr="00DA6A79">
        <w:rPr>
          <w:rFonts w:ascii="Arial" w:hAnsi="Arial" w:cs="Arial"/>
          <w:b/>
        </w:rPr>
        <w:t>stika příčin smrti</w:t>
      </w:r>
    </w:p>
    <w:p w:rsidR="009C74CF" w:rsidRDefault="009C74CF" w:rsidP="00B24A1C">
      <w:pPr>
        <w:pStyle w:val="Normlnweb"/>
        <w:spacing w:before="0" w:beforeAutospacing="0" w:after="160" w:afterAutospacing="0" w:line="288" w:lineRule="auto"/>
        <w:rPr>
          <w:rFonts w:ascii="Arial" w:hAnsi="Arial" w:cs="Arial"/>
          <w:sz w:val="20"/>
          <w:szCs w:val="20"/>
        </w:rPr>
      </w:pPr>
      <w:r w:rsidRPr="00761D8D">
        <w:rPr>
          <w:rFonts w:ascii="Arial" w:hAnsi="Arial" w:cs="Arial"/>
          <w:sz w:val="20"/>
          <w:szCs w:val="20"/>
        </w:rPr>
        <w:t xml:space="preserve">Mezinárodní </w:t>
      </w:r>
      <w:r>
        <w:rPr>
          <w:rFonts w:ascii="Arial" w:hAnsi="Arial" w:cs="Arial"/>
          <w:sz w:val="20"/>
          <w:szCs w:val="20"/>
        </w:rPr>
        <w:t xml:space="preserve">statistická </w:t>
      </w:r>
      <w:r w:rsidRPr="00761D8D">
        <w:rPr>
          <w:rFonts w:ascii="Arial" w:hAnsi="Arial" w:cs="Arial"/>
          <w:sz w:val="20"/>
          <w:szCs w:val="20"/>
        </w:rPr>
        <w:t xml:space="preserve">klasifikace </w:t>
      </w:r>
      <w:r>
        <w:rPr>
          <w:rFonts w:ascii="Arial" w:hAnsi="Arial" w:cs="Arial"/>
          <w:sz w:val="20"/>
          <w:szCs w:val="20"/>
        </w:rPr>
        <w:t xml:space="preserve">nemocí </w:t>
      </w:r>
      <w:r w:rsidRPr="00761D8D">
        <w:rPr>
          <w:rFonts w:ascii="Arial" w:hAnsi="Arial" w:cs="Arial"/>
          <w:sz w:val="20"/>
          <w:szCs w:val="20"/>
        </w:rPr>
        <w:t>a přidružených zdravotních problémů (MKN), mezinárodně doporučená systematika pro kódování příčin smrti vydávaná Světovou zdravotnickou organizací (WHO), je v České re</w:t>
      </w:r>
      <w:r>
        <w:rPr>
          <w:rFonts w:ascii="Arial" w:hAnsi="Arial" w:cs="Arial"/>
          <w:sz w:val="20"/>
          <w:szCs w:val="20"/>
        </w:rPr>
        <w:t>publice používána od roku 1919.</w:t>
      </w:r>
      <w:r w:rsidRPr="00D03490">
        <w:rPr>
          <w:rFonts w:ascii="Arial" w:hAnsi="Arial" w:cs="Arial"/>
          <w:sz w:val="20"/>
          <w:szCs w:val="20"/>
        </w:rPr>
        <w:t xml:space="preserve"> </w:t>
      </w:r>
      <w:r w:rsidRPr="00761D8D">
        <w:rPr>
          <w:rFonts w:ascii="Arial" w:hAnsi="Arial" w:cs="Arial"/>
          <w:sz w:val="20"/>
          <w:szCs w:val="20"/>
        </w:rPr>
        <w:t xml:space="preserve">Srovnatelnost </w:t>
      </w:r>
      <w:r>
        <w:rPr>
          <w:rFonts w:ascii="Arial" w:hAnsi="Arial" w:cs="Arial"/>
          <w:sz w:val="20"/>
          <w:szCs w:val="20"/>
        </w:rPr>
        <w:t xml:space="preserve">jednotlivých </w:t>
      </w:r>
      <w:r w:rsidRPr="00761D8D">
        <w:rPr>
          <w:rFonts w:ascii="Arial" w:hAnsi="Arial" w:cs="Arial"/>
          <w:sz w:val="20"/>
          <w:szCs w:val="20"/>
        </w:rPr>
        <w:t>revizí je omezena. Aktuálně</w:t>
      </w:r>
      <w:r>
        <w:rPr>
          <w:rFonts w:ascii="Arial" w:hAnsi="Arial" w:cs="Arial"/>
          <w:sz w:val="20"/>
          <w:szCs w:val="20"/>
        </w:rPr>
        <w:t xml:space="preserve"> (od roku 1994)</w:t>
      </w:r>
      <w:r w:rsidRPr="00761D8D">
        <w:rPr>
          <w:rFonts w:ascii="Arial" w:hAnsi="Arial" w:cs="Arial"/>
          <w:sz w:val="20"/>
          <w:szCs w:val="20"/>
        </w:rPr>
        <w:t xml:space="preserve"> jsou v ČR příčiny smrti tříděny podle 10. revize (MKN-10) a jejích aktualizací.</w:t>
      </w:r>
    </w:p>
    <w:p w:rsidR="00B24A1C" w:rsidRDefault="00B24A1C">
      <w:pPr>
        <w:spacing w:after="160" w:line="259" w:lineRule="auto"/>
        <w:rPr>
          <w:rFonts w:ascii="Arial" w:eastAsia="Arial Unicode MS" w:hAnsi="Arial" w:cs="Arial"/>
          <w:sz w:val="20"/>
          <w:szCs w:val="20"/>
        </w:rPr>
      </w:pPr>
      <w:r>
        <w:rPr>
          <w:rFonts w:ascii="Arial" w:hAnsi="Arial" w:cs="Arial"/>
          <w:sz w:val="20"/>
          <w:szCs w:val="20"/>
        </w:rPr>
        <w:br w:type="page"/>
      </w:r>
    </w:p>
    <w:p w:rsidR="009C74CF" w:rsidRPr="00761D8D" w:rsidRDefault="009C74CF" w:rsidP="00B564F9">
      <w:pPr>
        <w:pStyle w:val="Normlnweb"/>
        <w:spacing w:before="0" w:beforeAutospacing="0" w:after="120" w:afterAutospacing="0" w:line="288" w:lineRule="auto"/>
        <w:rPr>
          <w:rFonts w:ascii="Arial" w:hAnsi="Arial" w:cs="Arial"/>
          <w:sz w:val="20"/>
          <w:szCs w:val="20"/>
        </w:rPr>
      </w:pPr>
      <w:r w:rsidRPr="00761D8D">
        <w:rPr>
          <w:rFonts w:ascii="Arial" w:hAnsi="Arial" w:cs="Arial"/>
          <w:sz w:val="20"/>
          <w:szCs w:val="20"/>
        </w:rPr>
        <w:lastRenderedPageBreak/>
        <w:t xml:space="preserve">Období platnosti jednotlivých revizí Mezinárodní </w:t>
      </w:r>
      <w:r>
        <w:rPr>
          <w:rFonts w:ascii="Arial" w:hAnsi="Arial" w:cs="Arial"/>
          <w:sz w:val="20"/>
          <w:szCs w:val="20"/>
        </w:rPr>
        <w:t xml:space="preserve">statistické </w:t>
      </w:r>
      <w:r w:rsidRPr="00761D8D">
        <w:rPr>
          <w:rFonts w:ascii="Arial" w:hAnsi="Arial" w:cs="Arial"/>
          <w:sz w:val="20"/>
          <w:szCs w:val="20"/>
        </w:rPr>
        <w:t>klasifikace nemocí v ČR: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6"/>
        <w:gridCol w:w="2126"/>
      </w:tblGrid>
      <w:tr w:rsidR="009C74CF" w:rsidRPr="00761D8D" w:rsidTr="0056796E">
        <w:trPr>
          <w:trHeight w:hRule="exact" w:val="604"/>
        </w:trPr>
        <w:tc>
          <w:tcPr>
            <w:tcW w:w="2263" w:type="dxa"/>
            <w:vAlign w:val="center"/>
          </w:tcPr>
          <w:p w:rsidR="009C74CF" w:rsidRPr="00761D8D" w:rsidRDefault="009C74CF" w:rsidP="00B564F9">
            <w:pPr>
              <w:pStyle w:val="Normlnweb"/>
              <w:spacing w:before="0" w:beforeAutospacing="0" w:after="120" w:afterAutospacing="0" w:line="288" w:lineRule="auto"/>
              <w:rPr>
                <w:rFonts w:ascii="Arial" w:hAnsi="Arial" w:cs="Arial"/>
                <w:b/>
                <w:sz w:val="16"/>
                <w:szCs w:val="16"/>
              </w:rPr>
            </w:pPr>
            <w:r w:rsidRPr="00761D8D">
              <w:rPr>
                <w:rFonts w:ascii="Arial" w:hAnsi="Arial" w:cs="Arial"/>
                <w:b/>
                <w:sz w:val="16"/>
                <w:szCs w:val="16"/>
              </w:rPr>
              <w:t>Označení revize</w:t>
            </w:r>
          </w:p>
        </w:tc>
        <w:tc>
          <w:tcPr>
            <w:tcW w:w="2126" w:type="dxa"/>
            <w:vAlign w:val="center"/>
          </w:tcPr>
          <w:p w:rsidR="009C74CF" w:rsidRDefault="009C74CF" w:rsidP="00B564F9">
            <w:pPr>
              <w:pStyle w:val="Normlnweb"/>
              <w:spacing w:before="0" w:beforeAutospacing="0" w:after="120" w:afterAutospacing="0" w:line="288" w:lineRule="auto"/>
              <w:rPr>
                <w:rFonts w:ascii="Arial" w:hAnsi="Arial" w:cs="Arial"/>
                <w:b/>
                <w:sz w:val="16"/>
                <w:szCs w:val="16"/>
              </w:rPr>
            </w:pPr>
            <w:r w:rsidRPr="00761D8D">
              <w:rPr>
                <w:rFonts w:ascii="Arial" w:hAnsi="Arial" w:cs="Arial"/>
                <w:b/>
                <w:sz w:val="16"/>
                <w:szCs w:val="16"/>
              </w:rPr>
              <w:t>Rok přijetí</w:t>
            </w:r>
            <w:r>
              <w:rPr>
                <w:rFonts w:ascii="Arial" w:hAnsi="Arial" w:cs="Arial"/>
                <w:b/>
                <w:sz w:val="16"/>
                <w:szCs w:val="16"/>
              </w:rPr>
              <w:t xml:space="preserve"> revize/ účinnosti aktualizace</w:t>
            </w:r>
          </w:p>
          <w:p w:rsidR="009C74CF" w:rsidRPr="00761D8D" w:rsidRDefault="009C74CF" w:rsidP="00B564F9">
            <w:pPr>
              <w:pStyle w:val="Normlnweb"/>
              <w:spacing w:before="0" w:beforeAutospacing="0" w:after="120" w:afterAutospacing="0" w:line="288" w:lineRule="auto"/>
              <w:rPr>
                <w:rFonts w:ascii="Arial" w:hAnsi="Arial" w:cs="Arial"/>
                <w:b/>
                <w:sz w:val="16"/>
                <w:szCs w:val="16"/>
              </w:rPr>
            </w:pPr>
            <w:r>
              <w:rPr>
                <w:rFonts w:ascii="Arial" w:hAnsi="Arial" w:cs="Arial"/>
                <w:b/>
                <w:sz w:val="16"/>
                <w:szCs w:val="16"/>
              </w:rPr>
              <w:t>dle</w:t>
            </w:r>
            <w:r w:rsidRPr="00761D8D">
              <w:rPr>
                <w:rFonts w:ascii="Arial" w:hAnsi="Arial" w:cs="Arial"/>
                <w:b/>
                <w:sz w:val="16"/>
                <w:szCs w:val="16"/>
              </w:rPr>
              <w:t xml:space="preserve"> WHO</w:t>
            </w:r>
            <w:r>
              <w:rPr>
                <w:rFonts w:ascii="Arial" w:hAnsi="Arial" w:cs="Arial"/>
                <w:b/>
                <w:sz w:val="16"/>
                <w:szCs w:val="16"/>
              </w:rPr>
              <w:t xml:space="preserve"> </w:t>
            </w:r>
          </w:p>
        </w:tc>
        <w:tc>
          <w:tcPr>
            <w:tcW w:w="2126" w:type="dxa"/>
            <w:vAlign w:val="center"/>
          </w:tcPr>
          <w:p w:rsidR="009C74CF" w:rsidRPr="00761D8D" w:rsidRDefault="009C74CF" w:rsidP="00B564F9">
            <w:pPr>
              <w:pStyle w:val="Normlnweb"/>
              <w:spacing w:before="0" w:beforeAutospacing="0" w:after="120" w:afterAutospacing="0" w:line="288" w:lineRule="auto"/>
              <w:rPr>
                <w:rFonts w:ascii="Arial" w:hAnsi="Arial" w:cs="Arial"/>
                <w:b/>
                <w:sz w:val="16"/>
                <w:szCs w:val="16"/>
              </w:rPr>
            </w:pPr>
            <w:r w:rsidRPr="00761D8D">
              <w:rPr>
                <w:rFonts w:ascii="Arial" w:hAnsi="Arial" w:cs="Arial"/>
                <w:b/>
                <w:sz w:val="16"/>
                <w:szCs w:val="16"/>
              </w:rPr>
              <w:t>Období platnosti v ČR</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MKN-3*</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1920**</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1919–1930</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MKN-4</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1929**</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1931–1940</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MKN-5</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1938**</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1941–1948</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MKN-6</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1948</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1949–1957</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MKN-7</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1955</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1958–1967</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MKN-8</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1965</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1968–1978</w:t>
            </w:r>
          </w:p>
        </w:tc>
      </w:tr>
      <w:tr w:rsidR="009C74CF" w:rsidRPr="00761D8D" w:rsidTr="0056796E">
        <w:trPr>
          <w:trHeight w:hRule="exact" w:val="340"/>
        </w:trPr>
        <w:tc>
          <w:tcPr>
            <w:tcW w:w="2263"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MKN-9</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1975</w:t>
            </w:r>
          </w:p>
        </w:tc>
        <w:tc>
          <w:tcPr>
            <w:tcW w:w="2126" w:type="dxa"/>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1979–1993</w:t>
            </w:r>
          </w:p>
        </w:tc>
      </w:tr>
      <w:tr w:rsidR="009C74CF" w:rsidRPr="00761D8D" w:rsidTr="0056796E">
        <w:trPr>
          <w:trHeight w:hRule="exact" w:val="340"/>
        </w:trPr>
        <w:tc>
          <w:tcPr>
            <w:tcW w:w="2263" w:type="dxa"/>
            <w:tcBorders>
              <w:bottom w:val="single" w:sz="4" w:space="0" w:color="auto"/>
            </w:tcBorders>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MKN-10</w:t>
            </w:r>
          </w:p>
        </w:tc>
        <w:tc>
          <w:tcPr>
            <w:tcW w:w="2126" w:type="dxa"/>
            <w:tcBorders>
              <w:bottom w:val="single" w:sz="4" w:space="0" w:color="auto"/>
            </w:tcBorders>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1990</w:t>
            </w:r>
          </w:p>
        </w:tc>
        <w:tc>
          <w:tcPr>
            <w:tcW w:w="2126" w:type="dxa"/>
            <w:tcBorders>
              <w:bottom w:val="single" w:sz="4" w:space="0" w:color="auto"/>
            </w:tcBorders>
            <w:vAlign w:val="center"/>
          </w:tcPr>
          <w:p w:rsidR="009C74CF" w:rsidRPr="00761D8D" w:rsidRDefault="009C74CF" w:rsidP="00B24A1C">
            <w:pPr>
              <w:pStyle w:val="Normlnweb"/>
              <w:spacing w:before="0" w:beforeAutospacing="0" w:after="0" w:afterAutospacing="0" w:line="288" w:lineRule="auto"/>
              <w:rPr>
                <w:rFonts w:ascii="Arial" w:hAnsi="Arial" w:cs="Arial"/>
                <w:sz w:val="16"/>
                <w:szCs w:val="16"/>
              </w:rPr>
            </w:pPr>
            <w:r w:rsidRPr="00761D8D">
              <w:rPr>
                <w:rFonts w:ascii="Arial" w:hAnsi="Arial" w:cs="Arial"/>
                <w:sz w:val="16"/>
                <w:szCs w:val="16"/>
              </w:rPr>
              <w:t>1994–</w:t>
            </w:r>
          </w:p>
        </w:tc>
      </w:tr>
      <w:tr w:rsidR="009C74CF" w:rsidRPr="00BF6052" w:rsidTr="00253A35">
        <w:trPr>
          <w:trHeight w:hRule="exact" w:val="283"/>
        </w:trPr>
        <w:tc>
          <w:tcPr>
            <w:tcW w:w="2263" w:type="dxa"/>
            <w:tcBorders>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Pr>
                <w:rFonts w:ascii="Arial" w:hAnsi="Arial" w:cs="Arial"/>
                <w:sz w:val="16"/>
                <w:szCs w:val="16"/>
              </w:rPr>
              <w:t xml:space="preserve"> </w:t>
            </w:r>
            <w:r w:rsidRPr="00BF6052">
              <w:rPr>
                <w:rFonts w:ascii="Arial" w:hAnsi="Arial" w:cs="Arial"/>
                <w:sz w:val="16"/>
                <w:szCs w:val="16"/>
              </w:rPr>
              <w:t>aktualizace MKN-10:</w:t>
            </w:r>
          </w:p>
        </w:tc>
        <w:tc>
          <w:tcPr>
            <w:tcW w:w="2126" w:type="dxa"/>
            <w:tcBorders>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2004–200</w:t>
            </w:r>
            <w:r>
              <w:rPr>
                <w:rFonts w:ascii="Arial" w:hAnsi="Arial" w:cs="Arial"/>
                <w:sz w:val="16"/>
                <w:szCs w:val="16"/>
              </w:rPr>
              <w:t>9</w:t>
            </w:r>
          </w:p>
        </w:tc>
        <w:tc>
          <w:tcPr>
            <w:tcW w:w="2126" w:type="dxa"/>
            <w:tcBorders>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2009–</w:t>
            </w:r>
          </w:p>
        </w:tc>
      </w:tr>
      <w:tr w:rsidR="009C74CF" w:rsidRPr="00BF6052" w:rsidTr="00253A35">
        <w:trPr>
          <w:trHeight w:hRule="exact" w:val="283"/>
        </w:trPr>
        <w:tc>
          <w:tcPr>
            <w:tcW w:w="2263"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 xml:space="preserve">  </w:t>
            </w: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2010</w:t>
            </w: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2011–</w:t>
            </w:r>
          </w:p>
        </w:tc>
      </w:tr>
      <w:tr w:rsidR="009C74CF" w:rsidRPr="00BF6052" w:rsidTr="00253A35">
        <w:trPr>
          <w:trHeight w:hRule="exact" w:val="283"/>
        </w:trPr>
        <w:tc>
          <w:tcPr>
            <w:tcW w:w="2263"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2012</w:t>
            </w: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2012–</w:t>
            </w:r>
          </w:p>
        </w:tc>
      </w:tr>
      <w:tr w:rsidR="009C74CF" w:rsidRPr="00BF6052" w:rsidTr="00253A35">
        <w:trPr>
          <w:trHeight w:hRule="exact" w:val="283"/>
        </w:trPr>
        <w:tc>
          <w:tcPr>
            <w:tcW w:w="2263"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2013</w:t>
            </w: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2013–</w:t>
            </w:r>
          </w:p>
        </w:tc>
      </w:tr>
      <w:tr w:rsidR="009C74CF" w:rsidRPr="00BF6052" w:rsidTr="00253A35">
        <w:trPr>
          <w:trHeight w:hRule="exact" w:val="283"/>
        </w:trPr>
        <w:tc>
          <w:tcPr>
            <w:tcW w:w="2263"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Pr>
                <w:rFonts w:ascii="Arial" w:hAnsi="Arial" w:cs="Arial"/>
                <w:sz w:val="16"/>
                <w:szCs w:val="16"/>
              </w:rPr>
              <w:t>2014</w:t>
            </w:r>
            <w:r w:rsidRPr="00BF6052">
              <w:rPr>
                <w:rFonts w:ascii="Arial" w:hAnsi="Arial" w:cs="Arial"/>
                <w:sz w:val="16"/>
                <w:szCs w:val="16"/>
              </w:rPr>
              <w:t>–2016</w:t>
            </w:r>
          </w:p>
        </w:tc>
        <w:tc>
          <w:tcPr>
            <w:tcW w:w="2126" w:type="dxa"/>
            <w:tcBorders>
              <w:top w:val="nil"/>
              <w:bottom w:val="nil"/>
            </w:tcBorders>
            <w:vAlign w:val="center"/>
          </w:tcPr>
          <w:p w:rsidR="009C74CF" w:rsidRPr="00BF6052" w:rsidRDefault="009C74CF" w:rsidP="00B24A1C">
            <w:pPr>
              <w:pStyle w:val="Normlnweb"/>
              <w:spacing w:before="0" w:beforeAutospacing="0" w:after="0" w:afterAutospacing="0" w:line="288" w:lineRule="auto"/>
              <w:rPr>
                <w:rFonts w:ascii="Arial" w:hAnsi="Arial" w:cs="Arial"/>
                <w:sz w:val="16"/>
                <w:szCs w:val="16"/>
              </w:rPr>
            </w:pPr>
            <w:r w:rsidRPr="00BF6052">
              <w:rPr>
                <w:rFonts w:ascii="Arial" w:hAnsi="Arial" w:cs="Arial"/>
                <w:sz w:val="16"/>
                <w:szCs w:val="16"/>
              </w:rPr>
              <w:t>2018–</w:t>
            </w:r>
          </w:p>
        </w:tc>
      </w:tr>
      <w:tr w:rsidR="00253A35" w:rsidRPr="00BF6052" w:rsidTr="00253A35">
        <w:trPr>
          <w:trHeight w:hRule="exact" w:val="283"/>
        </w:trPr>
        <w:tc>
          <w:tcPr>
            <w:tcW w:w="2263" w:type="dxa"/>
            <w:tcBorders>
              <w:top w:val="nil"/>
            </w:tcBorders>
            <w:vAlign w:val="center"/>
          </w:tcPr>
          <w:p w:rsidR="00253A35" w:rsidRPr="00BF6052" w:rsidRDefault="00253A35" w:rsidP="00B24A1C">
            <w:pPr>
              <w:pStyle w:val="Normlnweb"/>
              <w:spacing w:before="0" w:beforeAutospacing="0" w:after="0" w:afterAutospacing="0" w:line="288" w:lineRule="auto"/>
              <w:rPr>
                <w:rFonts w:ascii="Arial" w:hAnsi="Arial" w:cs="Arial"/>
                <w:sz w:val="16"/>
                <w:szCs w:val="16"/>
              </w:rPr>
            </w:pPr>
          </w:p>
        </w:tc>
        <w:tc>
          <w:tcPr>
            <w:tcW w:w="2126" w:type="dxa"/>
            <w:tcBorders>
              <w:top w:val="nil"/>
            </w:tcBorders>
            <w:vAlign w:val="center"/>
          </w:tcPr>
          <w:p w:rsidR="00253A35" w:rsidRDefault="00253A35" w:rsidP="00B24A1C">
            <w:pPr>
              <w:pStyle w:val="Normlnweb"/>
              <w:spacing w:before="0" w:beforeAutospacing="0" w:after="0" w:afterAutospacing="0" w:line="288" w:lineRule="auto"/>
              <w:rPr>
                <w:rFonts w:ascii="Arial" w:hAnsi="Arial" w:cs="Arial"/>
                <w:sz w:val="16"/>
                <w:szCs w:val="16"/>
              </w:rPr>
            </w:pPr>
            <w:r>
              <w:rPr>
                <w:rFonts w:ascii="Arial" w:hAnsi="Arial" w:cs="Arial"/>
                <w:sz w:val="16"/>
                <w:szCs w:val="16"/>
              </w:rPr>
              <w:t>2019</w:t>
            </w:r>
          </w:p>
        </w:tc>
        <w:tc>
          <w:tcPr>
            <w:tcW w:w="2126" w:type="dxa"/>
            <w:tcBorders>
              <w:top w:val="nil"/>
            </w:tcBorders>
            <w:vAlign w:val="center"/>
          </w:tcPr>
          <w:p w:rsidR="00253A35" w:rsidRPr="00BF6052" w:rsidRDefault="00253A35" w:rsidP="00B24A1C">
            <w:pPr>
              <w:pStyle w:val="Normlnweb"/>
              <w:spacing w:before="0" w:beforeAutospacing="0" w:after="0" w:afterAutospacing="0" w:line="288" w:lineRule="auto"/>
              <w:rPr>
                <w:rFonts w:ascii="Arial" w:hAnsi="Arial" w:cs="Arial"/>
                <w:sz w:val="16"/>
                <w:szCs w:val="16"/>
              </w:rPr>
            </w:pPr>
            <w:r>
              <w:rPr>
                <w:rFonts w:ascii="Arial" w:hAnsi="Arial" w:cs="Arial"/>
                <w:sz w:val="16"/>
                <w:szCs w:val="16"/>
              </w:rPr>
              <w:t>2021–</w:t>
            </w:r>
          </w:p>
        </w:tc>
      </w:tr>
    </w:tbl>
    <w:p w:rsidR="009C74CF" w:rsidRPr="00761D8D" w:rsidRDefault="009C74CF" w:rsidP="00B24A1C">
      <w:pPr>
        <w:spacing w:line="288" w:lineRule="auto"/>
        <w:ind w:firstLine="227"/>
        <w:rPr>
          <w:rFonts w:ascii="Arial" w:hAnsi="Arial" w:cs="Arial"/>
          <w:i/>
          <w:sz w:val="18"/>
          <w:szCs w:val="18"/>
        </w:rPr>
      </w:pPr>
      <w:r w:rsidRPr="00BF6052">
        <w:rPr>
          <w:rFonts w:ascii="Arial" w:hAnsi="Arial" w:cs="Arial"/>
          <w:i/>
          <w:sz w:val="18"/>
          <w:szCs w:val="18"/>
        </w:rPr>
        <w:t>*) Vydaná pod názvem Mezinárodní klasifikace pří</w:t>
      </w:r>
      <w:r w:rsidRPr="00761D8D">
        <w:rPr>
          <w:rFonts w:ascii="Arial" w:hAnsi="Arial" w:cs="Arial"/>
          <w:i/>
          <w:sz w:val="18"/>
          <w:szCs w:val="18"/>
        </w:rPr>
        <w:t>čin smrti</w:t>
      </w:r>
      <w:r>
        <w:rPr>
          <w:rFonts w:ascii="Arial" w:hAnsi="Arial" w:cs="Arial"/>
          <w:i/>
          <w:sz w:val="18"/>
          <w:szCs w:val="18"/>
        </w:rPr>
        <w:t>.</w:t>
      </w:r>
    </w:p>
    <w:p w:rsidR="009C74CF" w:rsidRPr="00920230" w:rsidRDefault="009C74CF" w:rsidP="00B24A1C">
      <w:pPr>
        <w:spacing w:line="288" w:lineRule="auto"/>
        <w:ind w:firstLine="227"/>
        <w:rPr>
          <w:rFonts w:ascii="Arial" w:hAnsi="Arial" w:cs="Arial"/>
          <w:i/>
          <w:sz w:val="18"/>
          <w:szCs w:val="18"/>
        </w:rPr>
      </w:pPr>
      <w:r w:rsidRPr="00761D8D">
        <w:rPr>
          <w:rFonts w:ascii="Arial" w:hAnsi="Arial" w:cs="Arial"/>
          <w:i/>
          <w:sz w:val="18"/>
          <w:szCs w:val="18"/>
        </w:rPr>
        <w:t>**) Přijato Mezinárodním statistickým institutem, resp. Zdravotnickou organizací Společnosti národů.</w:t>
      </w:r>
    </w:p>
    <w:p w:rsidR="009C74CF" w:rsidRPr="00380FAF" w:rsidRDefault="009C74CF" w:rsidP="00B24A1C">
      <w:pPr>
        <w:pStyle w:val="Normlnweb"/>
        <w:spacing w:before="0" w:beforeAutospacing="0" w:after="0" w:afterAutospacing="0" w:line="288" w:lineRule="auto"/>
        <w:rPr>
          <w:rFonts w:ascii="Arial" w:hAnsi="Arial" w:cs="Arial"/>
          <w:sz w:val="20"/>
          <w:szCs w:val="20"/>
        </w:rPr>
      </w:pPr>
    </w:p>
    <w:p w:rsidR="00CC08DE" w:rsidRDefault="001B1882" w:rsidP="00B24A1C">
      <w:pPr>
        <w:spacing w:line="288" w:lineRule="auto"/>
      </w:pPr>
    </w:p>
    <w:sectPr w:rsidR="00CC08DE" w:rsidSect="00EE4D4B">
      <w:footerReference w:type="even"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82" w:rsidRDefault="001B1882" w:rsidP="00EE4D4B">
      <w:r>
        <w:separator/>
      </w:r>
    </w:p>
  </w:endnote>
  <w:endnote w:type="continuationSeparator" w:id="0">
    <w:p w:rsidR="001B1882" w:rsidRDefault="001B1882" w:rsidP="00EE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4B" w:rsidRDefault="00EE4D4B">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82" w:rsidRDefault="001B1882" w:rsidP="00EE4D4B">
      <w:r>
        <w:separator/>
      </w:r>
    </w:p>
  </w:footnote>
  <w:footnote w:type="continuationSeparator" w:id="0">
    <w:p w:rsidR="001B1882" w:rsidRDefault="001B1882" w:rsidP="00EE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F"/>
    <w:rsid w:val="00185FE7"/>
    <w:rsid w:val="001B1882"/>
    <w:rsid w:val="00253A35"/>
    <w:rsid w:val="00256138"/>
    <w:rsid w:val="002728D9"/>
    <w:rsid w:val="00384F30"/>
    <w:rsid w:val="00390B65"/>
    <w:rsid w:val="0053078B"/>
    <w:rsid w:val="005C6C5F"/>
    <w:rsid w:val="005F3A68"/>
    <w:rsid w:val="005F4155"/>
    <w:rsid w:val="00671722"/>
    <w:rsid w:val="006C54E7"/>
    <w:rsid w:val="0078686C"/>
    <w:rsid w:val="00841629"/>
    <w:rsid w:val="009C74CF"/>
    <w:rsid w:val="009F0098"/>
    <w:rsid w:val="00A201B5"/>
    <w:rsid w:val="00A207EB"/>
    <w:rsid w:val="00A76461"/>
    <w:rsid w:val="00B24A1C"/>
    <w:rsid w:val="00B564F9"/>
    <w:rsid w:val="00D77BF6"/>
    <w:rsid w:val="00D934EA"/>
    <w:rsid w:val="00DA6A79"/>
    <w:rsid w:val="00E20101"/>
    <w:rsid w:val="00EE4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FCE0"/>
  <w15:chartTrackingRefBased/>
  <w15:docId w15:val="{007EDA0C-6A15-4133-ADDF-9012970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74C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9C74CF"/>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74CF"/>
    <w:rPr>
      <w:rFonts w:ascii="Arial Unicode MS" w:eastAsia="Arial Unicode MS" w:hAnsi="Arial Unicode MS" w:cs="Arial Unicode MS"/>
      <w:b/>
      <w:bCs/>
      <w:sz w:val="36"/>
      <w:szCs w:val="36"/>
      <w:lang w:eastAsia="cs-CZ"/>
    </w:rPr>
  </w:style>
  <w:style w:type="paragraph" w:styleId="Normlnweb">
    <w:name w:val="Normal (Web)"/>
    <w:basedOn w:val="Normln"/>
    <w:semiHidden/>
    <w:rsid w:val="009C74CF"/>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9C74CF"/>
    <w:rPr>
      <w:b/>
      <w:bCs/>
    </w:rPr>
  </w:style>
  <w:style w:type="paragraph" w:customStyle="1" w:styleId="normalnsodrkami">
    <w:name w:val="normalní s odrážkami"/>
    <w:basedOn w:val="Normln"/>
    <w:rsid w:val="009C74CF"/>
    <w:pPr>
      <w:numPr>
        <w:numId w:val="1"/>
      </w:numPr>
      <w:jc w:val="both"/>
    </w:pPr>
    <w:rPr>
      <w:rFonts w:ascii="Arial" w:hAnsi="Arial"/>
      <w:sz w:val="20"/>
    </w:rPr>
  </w:style>
  <w:style w:type="paragraph" w:styleId="Zhlav">
    <w:name w:val="header"/>
    <w:basedOn w:val="Normln"/>
    <w:link w:val="ZhlavChar"/>
    <w:uiPriority w:val="99"/>
    <w:unhideWhenUsed/>
    <w:rsid w:val="00EE4D4B"/>
    <w:pPr>
      <w:tabs>
        <w:tab w:val="center" w:pos="4536"/>
        <w:tab w:val="right" w:pos="9072"/>
      </w:tabs>
    </w:pPr>
  </w:style>
  <w:style w:type="character" w:customStyle="1" w:styleId="ZhlavChar">
    <w:name w:val="Záhlaví Char"/>
    <w:basedOn w:val="Standardnpsmoodstavce"/>
    <w:link w:val="Zhlav"/>
    <w:uiPriority w:val="99"/>
    <w:rsid w:val="00EE4D4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4D4B"/>
    <w:pPr>
      <w:tabs>
        <w:tab w:val="center" w:pos="4536"/>
        <w:tab w:val="right" w:pos="9072"/>
      </w:tabs>
    </w:pPr>
  </w:style>
  <w:style w:type="character" w:customStyle="1" w:styleId="ZpatChar">
    <w:name w:val="Zápatí Char"/>
    <w:basedOn w:val="Standardnpsmoodstavce"/>
    <w:link w:val="Zpat"/>
    <w:uiPriority w:val="99"/>
    <w:rsid w:val="00EE4D4B"/>
    <w:rPr>
      <w:rFonts w:ascii="Times New Roman" w:eastAsia="Times New Roman" w:hAnsi="Times New Roman" w:cs="Times New Roman"/>
      <w:sz w:val="24"/>
      <w:szCs w:val="24"/>
      <w:lang w:eastAsia="cs-CZ"/>
    </w:rPr>
  </w:style>
  <w:style w:type="paragraph" w:styleId="Revize">
    <w:name w:val="Revision"/>
    <w:hidden/>
    <w:uiPriority w:val="99"/>
    <w:semiHidden/>
    <w:rsid w:val="00390B6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564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4F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A799-87B6-4062-AF4F-753D1377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Michaela</dc:creator>
  <cp:keywords/>
  <dc:description/>
  <cp:lastModifiedBy>Štyglerová Terezie</cp:lastModifiedBy>
  <cp:revision>11</cp:revision>
  <dcterms:created xsi:type="dcterms:W3CDTF">2023-02-20T08:48:00Z</dcterms:created>
  <dcterms:modified xsi:type="dcterms:W3CDTF">2023-02-21T10:34:00Z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116a53e0f84b2d15a1176196bb8b58d5c0922ec8ff2e9bbb692307739ef83a8e</vt:lpwstr>
  </property>
</Properties>
</file>