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5E" w:rsidRPr="00D97A5E" w:rsidRDefault="00DD3B84" w:rsidP="00D97A5E">
      <w:pPr>
        <w:jc w:val="center"/>
        <w:rPr>
          <w:rFonts w:cstheme="minorHAnsi"/>
          <w:b/>
          <w:sz w:val="28"/>
          <w:szCs w:val="28"/>
        </w:rPr>
      </w:pPr>
      <w:proofErr w:type="spellStart"/>
      <w:r>
        <w:rPr>
          <w:rFonts w:cstheme="minorHAnsi"/>
          <w:b/>
          <w:sz w:val="28"/>
          <w:szCs w:val="28"/>
        </w:rPr>
        <w:t>F</w:t>
      </w:r>
      <w:r w:rsidRPr="00DD3B84">
        <w:rPr>
          <w:rFonts w:cstheme="minorHAnsi"/>
          <w:b/>
          <w:sz w:val="28"/>
          <w:szCs w:val="28"/>
        </w:rPr>
        <w:t>ertiliser</w:t>
      </w:r>
      <w:proofErr w:type="spellEnd"/>
      <w:r w:rsidRPr="00DD3B84">
        <w:rPr>
          <w:rFonts w:cstheme="minorHAnsi"/>
          <w:b/>
          <w:sz w:val="28"/>
          <w:szCs w:val="28"/>
        </w:rPr>
        <w:t xml:space="preserve"> </w:t>
      </w:r>
      <w:bookmarkStart w:id="0" w:name="_GoBack"/>
      <w:bookmarkEnd w:id="0"/>
      <w:proofErr w:type="spellStart"/>
      <w:r>
        <w:rPr>
          <w:rFonts w:cstheme="minorHAnsi"/>
          <w:b/>
          <w:sz w:val="28"/>
          <w:szCs w:val="28"/>
        </w:rPr>
        <w:t>consumtion</w:t>
      </w:r>
      <w:proofErr w:type="spellEnd"/>
      <w:r>
        <w:rPr>
          <w:rFonts w:cstheme="minorHAnsi"/>
          <w:b/>
          <w:sz w:val="28"/>
          <w:szCs w:val="28"/>
        </w:rPr>
        <w:t xml:space="preserve"> </w:t>
      </w:r>
      <w:proofErr w:type="spellStart"/>
      <w:r w:rsidRPr="00DD3B84">
        <w:rPr>
          <w:rFonts w:cstheme="minorHAnsi"/>
          <w:b/>
          <w:sz w:val="28"/>
          <w:szCs w:val="28"/>
        </w:rPr>
        <w:t>statistics</w:t>
      </w:r>
      <w:proofErr w:type="spellEnd"/>
      <w:r w:rsidR="00D97A5E" w:rsidRPr="00D97A5E">
        <w:rPr>
          <w:rFonts w:cstheme="minorHAnsi"/>
          <w:b/>
          <w:sz w:val="28"/>
          <w:szCs w:val="28"/>
        </w:rPr>
        <w:t xml:space="preserve"> – </w:t>
      </w:r>
      <w:proofErr w:type="spellStart"/>
      <w:r w:rsidR="00D97A5E" w:rsidRPr="00D97A5E">
        <w:rPr>
          <w:rFonts w:cstheme="minorHAnsi"/>
          <w:b/>
          <w:sz w:val="28"/>
          <w:szCs w:val="28"/>
        </w:rPr>
        <w:t>Methodology</w:t>
      </w:r>
      <w:proofErr w:type="spellEnd"/>
      <w:r w:rsidR="00EF4A61">
        <w:rPr>
          <w:rFonts w:cstheme="minorHAnsi"/>
          <w:b/>
          <w:sz w:val="28"/>
          <w:szCs w:val="28"/>
        </w:rPr>
        <w:t xml:space="preserve"> - </w:t>
      </w:r>
      <w:proofErr w:type="spellStart"/>
      <w:r w:rsidR="00EF4A61">
        <w:rPr>
          <w:rFonts w:cstheme="minorHAnsi"/>
          <w:b/>
          <w:sz w:val="28"/>
          <w:szCs w:val="28"/>
        </w:rPr>
        <w:t>Annex</w:t>
      </w:r>
      <w:proofErr w:type="spellEnd"/>
    </w:p>
    <w:p w:rsidR="00D97A5E" w:rsidRPr="00D97A5E" w:rsidRDefault="00D97A5E" w:rsidP="00D97A5E">
      <w:pPr>
        <w:pStyle w:val="Bezmezer"/>
        <w:rPr>
          <w:rFonts w:cstheme="minorHAnsi"/>
          <w:lang w:val="en-GB"/>
        </w:rPr>
      </w:pPr>
      <w:r w:rsidRPr="00D97A5E">
        <w:rPr>
          <w:rFonts w:cstheme="minorHAnsi"/>
          <w:lang w:val="en-GB"/>
        </w:rPr>
        <w:t xml:space="preserve">Nomenclatures: </w:t>
      </w:r>
    </w:p>
    <w:p w:rsidR="00D97A5E" w:rsidRPr="00D97A5E" w:rsidRDefault="00D97A5E" w:rsidP="00D97A5E">
      <w:pPr>
        <w:pStyle w:val="Bezmezer"/>
        <w:rPr>
          <w:rFonts w:cstheme="minorHAnsi"/>
          <w:lang w:val="en-GB"/>
        </w:rPr>
      </w:pPr>
      <w:r w:rsidRPr="00D97A5E">
        <w:rPr>
          <w:rFonts w:cstheme="minorHAnsi"/>
          <w:lang w:val="en-GB"/>
        </w:rPr>
        <w:t>-</w:t>
      </w:r>
      <w:r w:rsidRPr="00D97A5E">
        <w:rPr>
          <w:rFonts w:cstheme="minorHAnsi"/>
          <w:lang w:val="en-GB"/>
        </w:rPr>
        <w:tab/>
        <w:t>Type of fertiliser (nomenclature code: 237)</w:t>
      </w:r>
    </w:p>
    <w:p w:rsidR="00D97A5E" w:rsidRPr="00D97A5E" w:rsidRDefault="00D97A5E" w:rsidP="00D97A5E">
      <w:pPr>
        <w:pStyle w:val="Bezmezer"/>
        <w:rPr>
          <w:rFonts w:cstheme="minorHAnsi"/>
          <w:lang w:val="en-GB"/>
        </w:rPr>
      </w:pPr>
      <w:r w:rsidRPr="00D97A5E">
        <w:rPr>
          <w:rFonts w:cstheme="minorHAnsi"/>
          <w:lang w:val="en-GB"/>
        </w:rPr>
        <w:t>-</w:t>
      </w:r>
      <w:r w:rsidRPr="00D97A5E">
        <w:rPr>
          <w:rFonts w:cstheme="minorHAnsi"/>
          <w:lang w:val="en-GB"/>
        </w:rPr>
        <w:tab/>
        <w:t>Type of fertiliser – aggregation (nomenclature code: 240)</w:t>
      </w:r>
    </w:p>
    <w:p w:rsidR="00D97A5E" w:rsidRDefault="00D97A5E" w:rsidP="00D97A5E">
      <w:pPr>
        <w:pStyle w:val="Bezmezer"/>
        <w:rPr>
          <w:rFonts w:ascii="Arial" w:hAnsi="Arial" w:cs="Arial"/>
          <w:sz w:val="16"/>
          <w:szCs w:val="16"/>
          <w:lang w:val="en-GB"/>
        </w:rPr>
      </w:pPr>
      <w:r w:rsidRPr="00D97A5E">
        <w:rPr>
          <w:rFonts w:cstheme="minorHAnsi"/>
          <w:lang w:val="en-GB"/>
        </w:rPr>
        <w:t>-</w:t>
      </w:r>
      <w:r w:rsidRPr="00D97A5E">
        <w:rPr>
          <w:rFonts w:cstheme="minorHAnsi"/>
          <w:lang w:val="en-GB"/>
        </w:rPr>
        <w:tab/>
        <w:t>Type of nutrients (nomenclature code: 241)</w:t>
      </w:r>
    </w:p>
    <w:p w:rsidR="00D97A5E" w:rsidRPr="00F2653A" w:rsidRDefault="00D97A5E" w:rsidP="00D97A5E">
      <w:pPr>
        <w:pStyle w:val="Bezmezer"/>
        <w:rPr>
          <w:rFonts w:ascii="Arial" w:hAnsi="Arial" w:cs="Arial"/>
          <w:sz w:val="16"/>
          <w:szCs w:val="16"/>
          <w:lang w:val="en-GB"/>
        </w:rPr>
      </w:pPr>
    </w:p>
    <w:tbl>
      <w:tblPr>
        <w:tblStyle w:val="Svtlmkatabulky"/>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77"/>
        <w:gridCol w:w="2269"/>
        <w:gridCol w:w="5670"/>
      </w:tblGrid>
      <w:tr w:rsidR="00D97A5E" w:rsidRPr="00F2653A" w:rsidTr="00590DA0">
        <w:tc>
          <w:tcPr>
            <w:tcW w:w="918" w:type="dxa"/>
            <w:noWrap/>
          </w:tcPr>
          <w:p w:rsidR="00D97A5E" w:rsidRPr="00D97A5E" w:rsidRDefault="00D97A5E" w:rsidP="00D97A5E">
            <w:pPr>
              <w:rPr>
                <w:rFonts w:eastAsia="Times New Roman" w:cstheme="minorHAnsi"/>
                <w:color w:val="000000"/>
                <w:sz w:val="18"/>
                <w:szCs w:val="18"/>
                <w:lang w:val="en-GB" w:eastAsia="cs-CZ"/>
              </w:rPr>
            </w:pPr>
            <w:proofErr w:type="spellStart"/>
            <w:r w:rsidRPr="00D97A5E">
              <w:rPr>
                <w:rFonts w:eastAsia="Times New Roman" w:cstheme="minorHAnsi"/>
                <w:color w:val="000000"/>
                <w:sz w:val="18"/>
                <w:szCs w:val="18"/>
                <w:lang w:val="en-GB" w:eastAsia="cs-CZ"/>
              </w:rPr>
              <w:t>Nomencl</w:t>
            </w:r>
            <w:proofErr w:type="spellEnd"/>
            <w:r w:rsidRPr="00D97A5E">
              <w:rPr>
                <w:rFonts w:eastAsia="Times New Roman" w:cstheme="minorHAnsi"/>
                <w:color w:val="000000"/>
                <w:sz w:val="18"/>
                <w:szCs w:val="18"/>
                <w:lang w:val="en-GB" w:eastAsia="cs-CZ"/>
              </w:rPr>
              <w:t>. code</w:t>
            </w:r>
          </w:p>
        </w:tc>
        <w:tc>
          <w:tcPr>
            <w:tcW w:w="777" w:type="dxa"/>
            <w:noWrap/>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Item code</w:t>
            </w:r>
          </w:p>
        </w:tc>
        <w:tc>
          <w:tcPr>
            <w:tcW w:w="2269" w:type="dxa"/>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Name</w:t>
            </w:r>
          </w:p>
        </w:tc>
        <w:tc>
          <w:tcPr>
            <w:tcW w:w="5670" w:type="dxa"/>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Definition</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Mineral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Fertiliser containing the declared nutrients in the form of minerals obtained by extraction or manufactured by an industrial physical or chemical process.</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1</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Nitrogen (N)</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nitrogen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elemental form (N).</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Phosphate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phosphorus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form of oxide as phosphorous pentoxide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Recalculation to the elemental form: phosphorus (P) = phosphorous pentoxide (P</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r w:rsidRPr="00D97A5E">
              <w:rPr>
                <w:rFonts w:eastAsia="Times New Roman" w:cstheme="minorHAnsi"/>
                <w:color w:val="000000"/>
                <w:sz w:val="18"/>
                <w:szCs w:val="18"/>
                <w:vertAlign w:val="subscript"/>
                <w:lang w:val="en-GB" w:eastAsia="cs-CZ"/>
              </w:rPr>
              <w:t>5</w:t>
            </w:r>
            <w:r w:rsidRPr="00D97A5E">
              <w:rPr>
                <w:rFonts w:eastAsia="Times New Roman" w:cstheme="minorHAnsi"/>
                <w:color w:val="000000"/>
                <w:sz w:val="18"/>
                <w:szCs w:val="18"/>
                <w:lang w:val="en-GB" w:eastAsia="cs-CZ"/>
              </w:rPr>
              <w:t>) x 0.436.</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241</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Potash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Basic nutrient contained in mineral fertilisers. </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The amount of potassium </w:t>
            </w:r>
            <w:proofErr w:type="gramStart"/>
            <w:r w:rsidRPr="00D97A5E">
              <w:rPr>
                <w:rFonts w:eastAsia="Times New Roman" w:cstheme="minorHAnsi"/>
                <w:color w:val="000000"/>
                <w:sz w:val="18"/>
                <w:szCs w:val="18"/>
                <w:lang w:val="en-GB" w:eastAsia="cs-CZ"/>
              </w:rPr>
              <w:t>is expressed</w:t>
            </w:r>
            <w:proofErr w:type="gramEnd"/>
            <w:r w:rsidRPr="00D97A5E">
              <w:rPr>
                <w:rFonts w:eastAsia="Times New Roman" w:cstheme="minorHAnsi"/>
                <w:color w:val="000000"/>
                <w:sz w:val="18"/>
                <w:szCs w:val="18"/>
                <w:lang w:val="en-GB" w:eastAsia="cs-CZ"/>
              </w:rPr>
              <w:t xml:space="preserve"> in the form of oxide as potassium oxide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Recalculation to the elemental form: potassium (K) = potassium oxide (K</w:t>
            </w:r>
            <w:r w:rsidRPr="00D97A5E">
              <w:rPr>
                <w:rFonts w:eastAsia="Times New Roman" w:cstheme="minorHAnsi"/>
                <w:color w:val="000000"/>
                <w:sz w:val="18"/>
                <w:szCs w:val="18"/>
                <w:vertAlign w:val="subscript"/>
                <w:lang w:val="en-GB" w:eastAsia="cs-CZ"/>
              </w:rPr>
              <w:t>2</w:t>
            </w:r>
            <w:r w:rsidRPr="00D97A5E">
              <w:rPr>
                <w:rFonts w:eastAsia="Times New Roman" w:cstheme="minorHAnsi"/>
                <w:color w:val="000000"/>
                <w:sz w:val="18"/>
                <w:szCs w:val="18"/>
                <w:lang w:val="en-GB" w:eastAsia="cs-CZ"/>
              </w:rPr>
              <w:t>O) x 0.830.</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100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Calcareous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Mineral fertiliser containing calcium made from natural </w:t>
            </w:r>
            <w:proofErr w:type="spellStart"/>
            <w:r w:rsidRPr="00D97A5E">
              <w:rPr>
                <w:rFonts w:eastAsia="Times New Roman" w:cstheme="minorHAnsi"/>
                <w:color w:val="000000"/>
                <w:sz w:val="18"/>
                <w:szCs w:val="18"/>
                <w:lang w:val="en-GB" w:eastAsia="cs-CZ"/>
              </w:rPr>
              <w:t>limestones</w:t>
            </w:r>
            <w:proofErr w:type="spellEnd"/>
            <w:r w:rsidRPr="00D97A5E">
              <w:rPr>
                <w:rFonts w:eastAsia="Times New Roman" w:cstheme="minorHAnsi"/>
                <w:color w:val="000000"/>
                <w:sz w:val="18"/>
                <w:szCs w:val="18"/>
                <w:lang w:val="en-GB" w:eastAsia="cs-CZ"/>
              </w:rPr>
              <w:t xml:space="preserve"> or dolomites, intended primarily for the treatment of soil acidity.</w:t>
            </w:r>
            <w:r w:rsidRPr="00D97A5E">
              <w:rPr>
                <w:rFonts w:eastAsia="Times New Roman" w:cstheme="minorHAnsi"/>
                <w:color w:val="000000"/>
                <w:sz w:val="18"/>
                <w:szCs w:val="18"/>
                <w:lang w:val="en-GB" w:eastAsia="cs-CZ"/>
              </w:rPr>
              <w:br/>
              <w:t xml:space="preserve">Includes </w:t>
            </w:r>
            <w:proofErr w:type="spellStart"/>
            <w:r w:rsidRPr="00D97A5E">
              <w:rPr>
                <w:rFonts w:eastAsia="Times New Roman" w:cstheme="minorHAnsi"/>
                <w:color w:val="000000"/>
                <w:sz w:val="18"/>
                <w:szCs w:val="18"/>
                <w:lang w:val="en-GB" w:eastAsia="cs-CZ"/>
              </w:rPr>
              <w:t>limestones</w:t>
            </w:r>
            <w:proofErr w:type="spellEnd"/>
            <w:r w:rsidRPr="00D97A5E">
              <w:rPr>
                <w:rFonts w:eastAsia="Times New Roman" w:cstheme="minorHAnsi"/>
                <w:color w:val="000000"/>
                <w:sz w:val="18"/>
                <w:szCs w:val="18"/>
                <w:lang w:val="en-GB" w:eastAsia="cs-CZ"/>
              </w:rPr>
              <w:t>, dolomites and aerial limes.</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240</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Fertilisers originating as by-products of livestock farming, with no further treatment. Natural processes as modification during the storage, mechanical separation of slurry, addition of loss reducing substances or improving nutrient efficiency </w:t>
            </w:r>
            <w:proofErr w:type="gramStart"/>
            <w:r w:rsidRPr="00D97A5E">
              <w:rPr>
                <w:rFonts w:eastAsia="Times New Roman" w:cstheme="minorHAnsi"/>
                <w:color w:val="000000"/>
                <w:sz w:val="18"/>
                <w:szCs w:val="18"/>
                <w:lang w:val="en-GB" w:eastAsia="cs-CZ"/>
              </w:rPr>
              <w:t>are not considered</w:t>
            </w:r>
            <w:proofErr w:type="gramEnd"/>
            <w:r w:rsidRPr="00D97A5E">
              <w:rPr>
                <w:rFonts w:eastAsia="Times New Roman" w:cstheme="minorHAnsi"/>
                <w:color w:val="000000"/>
                <w:sz w:val="18"/>
                <w:szCs w:val="18"/>
                <w:lang w:val="en-GB" w:eastAsia="cs-CZ"/>
              </w:rPr>
              <w:t xml:space="preserve"> as treatment. They include manure, slurry, liquid manure and other livestock manure. By-products or main products from cultivation of crops, as collectable after-harvest remnants of plants, straw, beet greens, or crops for green manure are not included..</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301</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Farmyard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Livestock manure originating as a by-product of livestock farming with bedding. Farmyard manure is a mixture of a bedding material with livestock faeces and urine. It </w:t>
            </w:r>
            <w:proofErr w:type="gramStart"/>
            <w:r w:rsidRPr="00D97A5E">
              <w:rPr>
                <w:rFonts w:eastAsia="Times New Roman" w:cstheme="minorHAnsi"/>
                <w:color w:val="000000"/>
                <w:sz w:val="18"/>
                <w:szCs w:val="18"/>
                <w:lang w:val="en-GB" w:eastAsia="cs-CZ"/>
              </w:rPr>
              <w:t>is formed</w:t>
            </w:r>
            <w:proofErr w:type="gramEnd"/>
            <w:r w:rsidRPr="00D97A5E">
              <w:rPr>
                <w:rFonts w:eastAsia="Times New Roman" w:cstheme="minorHAnsi"/>
                <w:color w:val="000000"/>
                <w:sz w:val="18"/>
                <w:szCs w:val="18"/>
                <w:lang w:val="en-GB" w:eastAsia="cs-CZ"/>
              </w:rPr>
              <w:t xml:space="preserve"> by fermentation of solid dung. </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302</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Slurry</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originating as a by-product of livestock farming without bedding. Slurry is a mixture livestock faeces and urine, watered down or not.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303</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Liquid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originating as a by-product of livestock farming in stables. Slurry is a livestock urine, watered down or not.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304</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other than farmyard manure, slurry, or liquid manure</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Livestock manure other than farmyard manure, slurry, or liquid manure. Includes by-products of livestock farming, e.g. dry poultry droppings from non-litter housing, dung water (liquid that flows out of farmyard manure during its fermentation in the dunghill), faeces and urine of farm animals during their grazing or stay on agricultural land).</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By-products or main products from cultivation of crops, as collectable after-harvest remnants of plants, straw, beet greens, or crops for green manure are not included.</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400</w:t>
            </w:r>
          </w:p>
        </w:tc>
        <w:tc>
          <w:tcPr>
            <w:tcW w:w="2269"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Organic fertiliser</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Fertiliser containing the declared nutrients in the organic form. Includes e.g. industrial composts, </w:t>
            </w:r>
            <w:proofErr w:type="spellStart"/>
            <w:r w:rsidRPr="00D97A5E">
              <w:rPr>
                <w:rFonts w:eastAsia="Times New Roman" w:cstheme="minorHAnsi"/>
                <w:color w:val="000000"/>
                <w:sz w:val="18"/>
                <w:szCs w:val="18"/>
                <w:lang w:val="en-GB" w:eastAsia="cs-CZ"/>
              </w:rPr>
              <w:t>digestate</w:t>
            </w:r>
            <w:proofErr w:type="spellEnd"/>
            <w:r w:rsidRPr="00D97A5E">
              <w:rPr>
                <w:rFonts w:eastAsia="Times New Roman" w:cstheme="minorHAnsi"/>
                <w:color w:val="000000"/>
                <w:sz w:val="18"/>
                <w:szCs w:val="18"/>
                <w:lang w:val="en-GB" w:eastAsia="cs-CZ"/>
              </w:rPr>
              <w:t xml:space="preserve"> from biogas power plants, etc.</w:t>
            </w:r>
          </w:p>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 xml:space="preserve">Livestock manure </w:t>
            </w:r>
            <w:proofErr w:type="gramStart"/>
            <w:r w:rsidRPr="00D97A5E">
              <w:rPr>
                <w:rFonts w:eastAsia="Times New Roman" w:cstheme="minorHAnsi"/>
                <w:color w:val="000000"/>
                <w:sz w:val="18"/>
                <w:szCs w:val="18"/>
                <w:lang w:val="en-GB" w:eastAsia="cs-CZ"/>
              </w:rPr>
              <w:t>is excluded</w:t>
            </w:r>
            <w:proofErr w:type="gramEnd"/>
            <w:r w:rsidRPr="00D97A5E">
              <w:rPr>
                <w:rFonts w:eastAsia="Times New Roman" w:cstheme="minorHAnsi"/>
                <w:color w:val="000000"/>
                <w:sz w:val="18"/>
                <w:szCs w:val="18"/>
                <w:lang w:val="en-GB" w:eastAsia="cs-CZ"/>
              </w:rPr>
              <w:t>.</w:t>
            </w:r>
          </w:p>
        </w:tc>
      </w:tr>
      <w:tr w:rsidR="00D97A5E" w:rsidRPr="00F2653A" w:rsidTr="00590DA0">
        <w:trPr>
          <w:trHeight w:val="20"/>
        </w:trPr>
        <w:tc>
          <w:tcPr>
            <w:tcW w:w="918"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237</w:t>
            </w:r>
          </w:p>
        </w:tc>
        <w:tc>
          <w:tcPr>
            <w:tcW w:w="777" w:type="dxa"/>
            <w:noWrap/>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500</w:t>
            </w:r>
          </w:p>
        </w:tc>
        <w:tc>
          <w:tcPr>
            <w:tcW w:w="2269" w:type="dxa"/>
            <w:hideMark/>
          </w:tcPr>
          <w:p w:rsidR="00D97A5E" w:rsidRPr="00D97A5E" w:rsidRDefault="00D97A5E" w:rsidP="000C7185">
            <w:pPr>
              <w:rPr>
                <w:rFonts w:eastAsia="Times New Roman" w:cstheme="minorHAnsi"/>
                <w:color w:val="000000"/>
                <w:sz w:val="18"/>
                <w:szCs w:val="18"/>
                <w:lang w:val="en-GB" w:eastAsia="cs-CZ"/>
              </w:rPr>
            </w:pPr>
            <w:proofErr w:type="spellStart"/>
            <w:r w:rsidRPr="00D97A5E">
              <w:rPr>
                <w:rFonts w:eastAsia="Times New Roman" w:cstheme="minorHAnsi"/>
                <w:color w:val="000000"/>
                <w:sz w:val="18"/>
                <w:szCs w:val="18"/>
                <w:lang w:val="en-GB" w:eastAsia="cs-CZ"/>
              </w:rPr>
              <w:t>Organo</w:t>
            </w:r>
            <w:proofErr w:type="spellEnd"/>
            <w:r w:rsidRPr="00D97A5E">
              <w:rPr>
                <w:rFonts w:eastAsia="Times New Roman" w:cstheme="minorHAnsi"/>
                <w:color w:val="000000"/>
                <w:sz w:val="18"/>
                <w:szCs w:val="18"/>
                <w:lang w:val="en-GB" w:eastAsia="cs-CZ"/>
              </w:rPr>
              <w:t>-mineral fertilisers</w:t>
            </w:r>
          </w:p>
        </w:tc>
        <w:tc>
          <w:tcPr>
            <w:tcW w:w="5670" w:type="dxa"/>
            <w:hideMark/>
          </w:tcPr>
          <w:p w:rsidR="00D97A5E" w:rsidRPr="00D97A5E" w:rsidRDefault="00D97A5E" w:rsidP="000C7185">
            <w:pPr>
              <w:rPr>
                <w:rFonts w:eastAsia="Times New Roman" w:cstheme="minorHAnsi"/>
                <w:color w:val="000000"/>
                <w:sz w:val="18"/>
                <w:szCs w:val="18"/>
                <w:lang w:val="en-GB" w:eastAsia="cs-CZ"/>
              </w:rPr>
            </w:pPr>
            <w:r w:rsidRPr="00D97A5E">
              <w:rPr>
                <w:rFonts w:eastAsia="Times New Roman" w:cstheme="minorHAnsi"/>
                <w:color w:val="000000"/>
                <w:sz w:val="18"/>
                <w:szCs w:val="18"/>
                <w:lang w:val="en-GB" w:eastAsia="cs-CZ"/>
              </w:rPr>
              <w:t>Fertiliser containing the declared nutrients in the mineral and organic form. Includes e.g. enriched molasses stillage.</w:t>
            </w:r>
          </w:p>
        </w:tc>
      </w:tr>
    </w:tbl>
    <w:p w:rsidR="00D97A5E" w:rsidRPr="00986072" w:rsidRDefault="00D97A5E" w:rsidP="00D97A5E">
      <w:pPr>
        <w:rPr>
          <w:sz w:val="18"/>
          <w:szCs w:val="18"/>
        </w:rPr>
      </w:pPr>
    </w:p>
    <w:sectPr w:rsidR="00D97A5E" w:rsidRPr="00986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2AEB"/>
    <w:multiLevelType w:val="hybridMultilevel"/>
    <w:tmpl w:val="29B20660"/>
    <w:lvl w:ilvl="0" w:tplc="7A429DA4">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72"/>
    <w:rsid w:val="000C7185"/>
    <w:rsid w:val="000F2047"/>
    <w:rsid w:val="00110BD2"/>
    <w:rsid w:val="002C2B71"/>
    <w:rsid w:val="003F0738"/>
    <w:rsid w:val="004124C2"/>
    <w:rsid w:val="00484ECF"/>
    <w:rsid w:val="00590DA0"/>
    <w:rsid w:val="006F0242"/>
    <w:rsid w:val="00986072"/>
    <w:rsid w:val="00CB5007"/>
    <w:rsid w:val="00D117D7"/>
    <w:rsid w:val="00D33D9C"/>
    <w:rsid w:val="00D97A5E"/>
    <w:rsid w:val="00DD3B84"/>
    <w:rsid w:val="00E82EB0"/>
    <w:rsid w:val="00EF16C8"/>
    <w:rsid w:val="00EF4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8ED5"/>
  <w15:chartTrackingRefBased/>
  <w15:docId w15:val="{8A835A62-A10D-4CC8-BB76-D2FCE85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97A5E"/>
    <w:pPr>
      <w:spacing w:after="0" w:line="240" w:lineRule="auto"/>
    </w:pPr>
  </w:style>
  <w:style w:type="character" w:styleId="Hypertextovodkaz">
    <w:name w:val="Hyperlink"/>
    <w:basedOn w:val="Standardnpsmoodstavce"/>
    <w:uiPriority w:val="99"/>
    <w:unhideWhenUsed/>
    <w:rsid w:val="00D97A5E"/>
    <w:rPr>
      <w:color w:val="0000FF"/>
      <w:u w:val="single"/>
    </w:rPr>
  </w:style>
  <w:style w:type="table" w:styleId="Svtlmkatabulky">
    <w:name w:val="Grid Table Light"/>
    <w:basedOn w:val="Normlntabulka"/>
    <w:uiPriority w:val="40"/>
    <w:rsid w:val="00D97A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Lhotská Dagmar</dc:creator>
  <cp:keywords/>
  <dc:description/>
  <cp:lastModifiedBy>Pospíšilová Dagmar</cp:lastModifiedBy>
  <cp:revision>4</cp:revision>
  <dcterms:created xsi:type="dcterms:W3CDTF">2025-01-24T13:19:00Z</dcterms:created>
  <dcterms:modified xsi:type="dcterms:W3CDTF">2025-01-24T13:32:00Z</dcterms:modified>
</cp:coreProperties>
</file>