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2DC" w:rsidRPr="009B312E" w:rsidRDefault="00B252DC" w:rsidP="00B252DC">
      <w:pPr>
        <w:pStyle w:val="Default"/>
        <w:spacing w:before="360" w:after="160" w:line="288" w:lineRule="auto"/>
        <w:rPr>
          <w:rFonts w:ascii="Arial" w:hAnsi="Arial" w:cs="Arial"/>
          <w:b/>
          <w:color w:val="009BB4"/>
          <w:sz w:val="32"/>
          <w:szCs w:val="32"/>
        </w:rPr>
      </w:pPr>
      <w:bookmarkStart w:id="0" w:name="_Toc444112494"/>
      <w:r w:rsidRPr="009B312E">
        <w:rPr>
          <w:rFonts w:ascii="Arial" w:hAnsi="Arial" w:cs="Arial"/>
          <w:b/>
          <w:color w:val="009BB4"/>
          <w:sz w:val="32"/>
          <w:szCs w:val="32"/>
        </w:rPr>
        <w:t>SLEDOVANÉ UKAZATELE</w:t>
      </w:r>
    </w:p>
    <w:p w:rsidR="00B252DC" w:rsidRPr="001D37CD" w:rsidRDefault="00B252DC" w:rsidP="00B252DC">
      <w:pPr>
        <w:pStyle w:val="Default"/>
        <w:spacing w:after="120" w:line="288" w:lineRule="auto"/>
        <w:jc w:val="both"/>
        <w:rPr>
          <w:rFonts w:ascii="Arial" w:hAnsi="Arial" w:cs="Arial"/>
          <w:b/>
          <w:i/>
          <w:color w:val="31849B"/>
          <w:sz w:val="22"/>
          <w:szCs w:val="22"/>
        </w:rPr>
      </w:pPr>
      <w:r w:rsidRPr="001D37CD">
        <w:rPr>
          <w:rFonts w:ascii="Arial" w:hAnsi="Arial" w:cs="Arial"/>
          <w:b/>
          <w:i/>
          <w:color w:val="31849B"/>
          <w:sz w:val="22"/>
          <w:szCs w:val="22"/>
        </w:rPr>
        <w:t>Počty subjektů</w:t>
      </w:r>
    </w:p>
    <w:p w:rsidR="00FA4E8A" w:rsidRPr="00982AA4" w:rsidRDefault="00B252DC" w:rsidP="00E010B3">
      <w:pPr>
        <w:pStyle w:val="Default"/>
        <w:numPr>
          <w:ilvl w:val="0"/>
          <w:numId w:val="14"/>
        </w:numPr>
        <w:spacing w:after="60" w:line="288" w:lineRule="auto"/>
        <w:ind w:left="357" w:hanging="357"/>
        <w:jc w:val="both"/>
        <w:rPr>
          <w:rFonts w:ascii="Arial" w:hAnsi="Arial" w:cs="Arial"/>
          <w:i/>
          <w:sz w:val="20"/>
          <w:szCs w:val="20"/>
        </w:rPr>
      </w:pPr>
      <w:r w:rsidRPr="00FA4E8A">
        <w:rPr>
          <w:rFonts w:ascii="Arial" w:hAnsi="Arial" w:cs="Arial"/>
          <w:b/>
          <w:bCs/>
          <w:sz w:val="20"/>
          <w:szCs w:val="20"/>
        </w:rPr>
        <w:t xml:space="preserve">Počet aktivních subjektů </w:t>
      </w:r>
      <w:r w:rsidRPr="00FA4E8A">
        <w:rPr>
          <w:rFonts w:ascii="Arial" w:hAnsi="Arial" w:cs="Arial"/>
          <w:sz w:val="20"/>
          <w:szCs w:val="20"/>
        </w:rPr>
        <w:t xml:space="preserve">je počet podnikatelských subjektů, které byly aktivní alespoň </w:t>
      </w:r>
      <w:r w:rsidR="003366CE" w:rsidRPr="00FA4E8A">
        <w:rPr>
          <w:rFonts w:ascii="Arial" w:hAnsi="Arial" w:cs="Arial"/>
          <w:sz w:val="20"/>
          <w:szCs w:val="20"/>
        </w:rPr>
        <w:t>v</w:t>
      </w:r>
      <w:r w:rsidRPr="00FA4E8A">
        <w:rPr>
          <w:rFonts w:ascii="Arial" w:hAnsi="Arial" w:cs="Arial"/>
          <w:sz w:val="20"/>
          <w:szCs w:val="20"/>
        </w:rPr>
        <w:t xml:space="preserve"> část</w:t>
      </w:r>
      <w:r w:rsidR="003366CE" w:rsidRPr="00FA4E8A">
        <w:rPr>
          <w:rFonts w:ascii="Arial" w:hAnsi="Arial" w:cs="Arial"/>
          <w:sz w:val="20"/>
          <w:szCs w:val="20"/>
        </w:rPr>
        <w:t>i referenčního</w:t>
      </w:r>
      <w:r w:rsidRPr="00FA4E8A">
        <w:rPr>
          <w:rFonts w:ascii="Arial" w:hAnsi="Arial" w:cs="Arial"/>
          <w:sz w:val="20"/>
          <w:szCs w:val="20"/>
        </w:rPr>
        <w:t xml:space="preserve"> roku. Uváděné počty subjektů jsou počty ze zjišťování</w:t>
      </w:r>
      <w:r w:rsidR="00FC7C63" w:rsidRPr="00FA4E8A">
        <w:rPr>
          <w:rFonts w:ascii="Arial" w:hAnsi="Arial" w:cs="Arial"/>
          <w:sz w:val="20"/>
          <w:szCs w:val="20"/>
        </w:rPr>
        <w:t xml:space="preserve"> dopočtené </w:t>
      </w:r>
      <w:r w:rsidRPr="00FA4E8A">
        <w:rPr>
          <w:rFonts w:ascii="Arial" w:hAnsi="Arial" w:cs="Arial"/>
          <w:sz w:val="20"/>
          <w:szCs w:val="20"/>
        </w:rPr>
        <w:t>na základní soubor. Základní soubor je generován z Registru ekonomických subjektů.</w:t>
      </w:r>
    </w:p>
    <w:p w:rsidR="00B252DC" w:rsidRPr="00FA4E8A" w:rsidRDefault="00B252DC" w:rsidP="00E010B3">
      <w:pPr>
        <w:pStyle w:val="Default"/>
        <w:numPr>
          <w:ilvl w:val="0"/>
          <w:numId w:val="14"/>
        </w:numPr>
        <w:spacing w:after="60" w:line="288" w:lineRule="auto"/>
        <w:ind w:left="357" w:hanging="357"/>
        <w:jc w:val="both"/>
        <w:rPr>
          <w:rFonts w:ascii="Arial" w:hAnsi="Arial" w:cs="Arial"/>
          <w:i/>
          <w:sz w:val="20"/>
          <w:szCs w:val="20"/>
        </w:rPr>
      </w:pPr>
      <w:r w:rsidRPr="00FA4E8A">
        <w:rPr>
          <w:rFonts w:ascii="Arial" w:hAnsi="Arial" w:cs="Arial"/>
          <w:i/>
          <w:sz w:val="20"/>
          <w:szCs w:val="20"/>
          <w:u w:val="single"/>
        </w:rPr>
        <w:t>Poznámka:</w:t>
      </w:r>
      <w:r w:rsidRPr="00FA4E8A">
        <w:rPr>
          <w:rFonts w:ascii="Arial" w:hAnsi="Arial" w:cs="Arial"/>
          <w:i/>
          <w:sz w:val="20"/>
          <w:szCs w:val="20"/>
        </w:rPr>
        <w:t xml:space="preserve"> </w:t>
      </w:r>
      <w:r w:rsidRPr="00FA4E8A">
        <w:rPr>
          <w:rFonts w:ascii="Arial" w:hAnsi="Arial" w:cs="Arial"/>
          <w:b/>
          <w:bCs/>
          <w:i/>
          <w:sz w:val="20"/>
          <w:szCs w:val="20"/>
        </w:rPr>
        <w:t xml:space="preserve">Podnikatelský subjekt </w:t>
      </w:r>
      <w:r w:rsidRPr="00FA4E8A">
        <w:rPr>
          <w:rFonts w:ascii="Arial" w:hAnsi="Arial" w:cs="Arial"/>
          <w:i/>
          <w:sz w:val="20"/>
          <w:szCs w:val="20"/>
        </w:rPr>
        <w:t xml:space="preserve">je právnická nebo fyzická osoba, jež má postavení podnikatele. Subjekty jsou rozděleny, bez ohledu na povahu jejich hlavní činnosti, do dvou skupin: </w:t>
      </w:r>
    </w:p>
    <w:p w:rsidR="00B252DC" w:rsidRPr="0085545F" w:rsidRDefault="00B252DC" w:rsidP="00B252DC">
      <w:pPr>
        <w:pStyle w:val="Default"/>
        <w:numPr>
          <w:ilvl w:val="0"/>
          <w:numId w:val="15"/>
        </w:numPr>
        <w:spacing w:after="120" w:line="288" w:lineRule="auto"/>
        <w:ind w:left="709" w:hanging="352"/>
        <w:jc w:val="both"/>
        <w:rPr>
          <w:rFonts w:ascii="Arial" w:hAnsi="Arial" w:cs="Arial"/>
          <w:i/>
          <w:sz w:val="20"/>
          <w:szCs w:val="20"/>
        </w:rPr>
      </w:pPr>
      <w:r w:rsidRPr="0085545F">
        <w:rPr>
          <w:rFonts w:ascii="Arial" w:hAnsi="Arial" w:cs="Arial"/>
          <w:b/>
          <w:bCs/>
          <w:i/>
          <w:sz w:val="20"/>
          <w:szCs w:val="20"/>
        </w:rPr>
        <w:t xml:space="preserve">fyzické osoby </w:t>
      </w:r>
      <w:r w:rsidRPr="0085545F">
        <w:rPr>
          <w:rFonts w:ascii="Arial" w:hAnsi="Arial" w:cs="Arial"/>
          <w:i/>
          <w:sz w:val="20"/>
          <w:szCs w:val="20"/>
        </w:rPr>
        <w:t xml:space="preserve">podnikající na základě Živnostenského zákona (a obdobných předpisů), tj. osoby samostatně výdělečně činné (OSVČ) a </w:t>
      </w:r>
      <w:r>
        <w:rPr>
          <w:rFonts w:ascii="Arial" w:hAnsi="Arial" w:cs="Arial"/>
          <w:i/>
          <w:sz w:val="20"/>
          <w:szCs w:val="20"/>
        </w:rPr>
        <w:t>zaměstnavatelé.</w:t>
      </w:r>
    </w:p>
    <w:p w:rsidR="00B252DC" w:rsidRDefault="00B252DC" w:rsidP="00B252DC">
      <w:pPr>
        <w:pStyle w:val="Default"/>
        <w:numPr>
          <w:ilvl w:val="0"/>
          <w:numId w:val="15"/>
        </w:numPr>
        <w:spacing w:after="120" w:line="288" w:lineRule="auto"/>
        <w:ind w:left="709" w:hanging="349"/>
        <w:jc w:val="both"/>
        <w:rPr>
          <w:rFonts w:ascii="Arial" w:hAnsi="Arial" w:cs="Arial"/>
          <w:i/>
          <w:sz w:val="20"/>
          <w:szCs w:val="20"/>
        </w:rPr>
      </w:pPr>
      <w:r w:rsidRPr="009B312E">
        <w:rPr>
          <w:rFonts w:ascii="Arial" w:hAnsi="Arial" w:cs="Arial"/>
          <w:b/>
          <w:bCs/>
          <w:i/>
          <w:sz w:val="20"/>
          <w:szCs w:val="20"/>
        </w:rPr>
        <w:t xml:space="preserve">soukromé právnické osoby </w:t>
      </w:r>
      <w:r w:rsidRPr="009B312E">
        <w:rPr>
          <w:rFonts w:ascii="Arial" w:hAnsi="Arial" w:cs="Arial"/>
          <w:bCs/>
          <w:i/>
          <w:sz w:val="20"/>
          <w:szCs w:val="20"/>
        </w:rPr>
        <w:t>(dále jen podniky)</w:t>
      </w:r>
      <w:r w:rsidRPr="009B312E">
        <w:rPr>
          <w:rFonts w:ascii="Arial" w:hAnsi="Arial" w:cs="Arial"/>
          <w:b/>
          <w:bCs/>
          <w:i/>
          <w:sz w:val="20"/>
          <w:szCs w:val="20"/>
        </w:rPr>
        <w:t xml:space="preserve"> </w:t>
      </w:r>
      <w:r w:rsidRPr="009B312E">
        <w:rPr>
          <w:rFonts w:ascii="Arial" w:hAnsi="Arial" w:cs="Arial"/>
          <w:i/>
          <w:sz w:val="20"/>
          <w:szCs w:val="20"/>
        </w:rPr>
        <w:t>podnikající na základě Obchodního zákona. Jde o</w:t>
      </w:r>
      <w:r w:rsidRPr="00AE0A4B">
        <w:rPr>
          <w:rFonts w:ascii="Arial" w:hAnsi="Arial" w:cs="Arial"/>
          <w:i/>
          <w:sz w:val="20"/>
          <w:szCs w:val="20"/>
        </w:rPr>
        <w:t xml:space="preserve"> obchodní společnosti (např. akciov</w:t>
      </w:r>
      <w:r>
        <w:rPr>
          <w:rFonts w:ascii="Arial" w:hAnsi="Arial" w:cs="Arial"/>
          <w:i/>
          <w:sz w:val="20"/>
          <w:szCs w:val="20"/>
        </w:rPr>
        <w:t>á</w:t>
      </w:r>
      <w:r w:rsidRPr="00AE0A4B">
        <w:rPr>
          <w:rFonts w:ascii="Arial" w:hAnsi="Arial" w:cs="Arial"/>
          <w:i/>
          <w:sz w:val="20"/>
          <w:szCs w:val="20"/>
        </w:rPr>
        <w:t xml:space="preserve"> společnost</w:t>
      </w:r>
      <w:r>
        <w:rPr>
          <w:rFonts w:ascii="Arial" w:hAnsi="Arial" w:cs="Arial"/>
          <w:i/>
          <w:sz w:val="20"/>
          <w:szCs w:val="20"/>
        </w:rPr>
        <w:t>, s</w:t>
      </w:r>
      <w:r w:rsidRPr="00AE0A4B">
        <w:rPr>
          <w:rFonts w:ascii="Arial" w:hAnsi="Arial" w:cs="Arial"/>
          <w:i/>
          <w:sz w:val="20"/>
          <w:szCs w:val="20"/>
        </w:rPr>
        <w:t>polečnost s ručením omezeným</w:t>
      </w:r>
      <w:r>
        <w:rPr>
          <w:rFonts w:ascii="Arial" w:hAnsi="Arial" w:cs="Arial"/>
          <w:i/>
          <w:sz w:val="20"/>
          <w:szCs w:val="20"/>
        </w:rPr>
        <w:t xml:space="preserve">, komanditní společnost </w:t>
      </w:r>
      <w:r w:rsidRPr="00AE0A4B">
        <w:rPr>
          <w:rFonts w:ascii="Arial" w:hAnsi="Arial" w:cs="Arial"/>
          <w:i/>
          <w:sz w:val="20"/>
          <w:szCs w:val="20"/>
        </w:rPr>
        <w:t>atd.) do</w:t>
      </w:r>
      <w:r w:rsidRPr="0085545F">
        <w:rPr>
          <w:rFonts w:ascii="Arial" w:hAnsi="Arial" w:cs="Arial"/>
          <w:i/>
          <w:sz w:val="20"/>
          <w:szCs w:val="20"/>
        </w:rPr>
        <w:t xml:space="preserve"> nichž patří i fyzické osoby zapsané v Obchodním rejstříku. </w:t>
      </w:r>
    </w:p>
    <w:p w:rsidR="00B252DC" w:rsidRPr="00EF7028" w:rsidRDefault="00B252DC" w:rsidP="00B252DC">
      <w:pPr>
        <w:pStyle w:val="Default"/>
        <w:spacing w:before="240" w:after="120" w:line="288" w:lineRule="auto"/>
        <w:jc w:val="both"/>
        <w:rPr>
          <w:rFonts w:ascii="Arial" w:hAnsi="Arial" w:cs="Arial"/>
          <w:b/>
          <w:i/>
          <w:color w:val="31849B"/>
          <w:sz w:val="22"/>
          <w:szCs w:val="20"/>
        </w:rPr>
      </w:pPr>
      <w:r w:rsidRPr="00EF7028">
        <w:rPr>
          <w:rFonts w:ascii="Arial" w:hAnsi="Arial" w:cs="Arial"/>
          <w:b/>
          <w:i/>
          <w:color w:val="31849B"/>
          <w:sz w:val="22"/>
          <w:szCs w:val="20"/>
        </w:rPr>
        <w:t>I. Zaměstnanost</w:t>
      </w:r>
    </w:p>
    <w:p w:rsidR="00B252DC" w:rsidRDefault="00E02EF7" w:rsidP="00B252DC">
      <w:pPr>
        <w:pStyle w:val="Default"/>
        <w:numPr>
          <w:ilvl w:val="0"/>
          <w:numId w:val="14"/>
        </w:numPr>
        <w:spacing w:after="120" w:line="288" w:lineRule="auto"/>
        <w:jc w:val="both"/>
        <w:rPr>
          <w:rFonts w:ascii="Arial" w:hAnsi="Arial" w:cs="Arial"/>
          <w:i/>
          <w:sz w:val="20"/>
          <w:szCs w:val="20"/>
        </w:rPr>
      </w:pPr>
      <w:r>
        <w:rPr>
          <w:rFonts w:ascii="Arial" w:hAnsi="Arial" w:cs="Arial"/>
          <w:b/>
          <w:bCs/>
          <w:sz w:val="20"/>
          <w:szCs w:val="20"/>
        </w:rPr>
        <w:t>Zaměstnané osoby ve fyzických osobách</w:t>
      </w:r>
      <w:r w:rsidR="00B252DC">
        <w:rPr>
          <w:rFonts w:ascii="Arial" w:hAnsi="Arial" w:cs="Arial"/>
          <w:b/>
          <w:bCs/>
          <w:sz w:val="20"/>
          <w:szCs w:val="20"/>
        </w:rPr>
        <w:t xml:space="preserve"> - </w:t>
      </w:r>
      <w:r w:rsidR="00B252DC" w:rsidRPr="0036482F">
        <w:rPr>
          <w:rFonts w:ascii="Arial" w:hAnsi="Arial" w:cs="Arial"/>
          <w:b/>
          <w:bCs/>
          <w:i/>
          <w:sz w:val="20"/>
          <w:szCs w:val="20"/>
        </w:rPr>
        <w:t>Number of persons employed</w:t>
      </w:r>
      <w:r w:rsidR="00B252DC" w:rsidRPr="0036482F">
        <w:rPr>
          <w:rFonts w:ascii="Arial" w:hAnsi="Arial" w:cs="Arial"/>
          <w:b/>
          <w:bCs/>
          <w:sz w:val="20"/>
          <w:szCs w:val="20"/>
        </w:rPr>
        <w:t xml:space="preserve"> </w:t>
      </w:r>
      <w:r w:rsidR="00B252DC">
        <w:rPr>
          <w:rFonts w:ascii="Arial" w:hAnsi="Arial" w:cs="Arial"/>
          <w:b/>
          <w:bCs/>
          <w:sz w:val="20"/>
          <w:szCs w:val="20"/>
        </w:rPr>
        <w:t xml:space="preserve">- </w:t>
      </w:r>
      <w:r w:rsidR="00B252DC" w:rsidRPr="0036482F">
        <w:rPr>
          <w:rFonts w:ascii="Arial" w:hAnsi="Arial" w:cs="Arial"/>
          <w:bCs/>
          <w:sz w:val="20"/>
          <w:szCs w:val="20"/>
        </w:rPr>
        <w:t>je</w:t>
      </w:r>
      <w:r w:rsidR="00B252DC" w:rsidRPr="0036482F">
        <w:rPr>
          <w:rFonts w:ascii="Arial" w:hAnsi="Arial" w:cs="Arial"/>
          <w:b/>
          <w:bCs/>
          <w:sz w:val="20"/>
          <w:szCs w:val="20"/>
        </w:rPr>
        <w:t xml:space="preserve"> </w:t>
      </w:r>
      <w:r w:rsidR="00B252DC" w:rsidRPr="00551C14">
        <w:rPr>
          <w:rFonts w:ascii="Arial" w:hAnsi="Arial" w:cs="Arial"/>
          <w:bCs/>
          <w:sz w:val="20"/>
          <w:szCs w:val="20"/>
        </w:rPr>
        <w:t xml:space="preserve">součet evidenčního počtu </w:t>
      </w:r>
      <w:r w:rsidR="00B252DC" w:rsidRPr="00551C14">
        <w:rPr>
          <w:rFonts w:ascii="Arial" w:hAnsi="Arial" w:cs="Arial"/>
          <w:b/>
          <w:bCs/>
          <w:sz w:val="20"/>
          <w:szCs w:val="20"/>
        </w:rPr>
        <w:t>zaměstnanců</w:t>
      </w:r>
      <w:r w:rsidR="00B252DC" w:rsidRPr="00551C14">
        <w:rPr>
          <w:rFonts w:ascii="Arial" w:hAnsi="Arial" w:cs="Arial"/>
          <w:bCs/>
          <w:sz w:val="20"/>
          <w:szCs w:val="20"/>
        </w:rPr>
        <w:t xml:space="preserve"> ve fyzických osobách a počtu pracujících majitelů firmy a spolupracujících členů domácnosti, pro </w:t>
      </w:r>
      <w:r w:rsidR="0067248D">
        <w:rPr>
          <w:rFonts w:ascii="Arial" w:hAnsi="Arial" w:cs="Arial"/>
          <w:bCs/>
          <w:sz w:val="20"/>
          <w:szCs w:val="20"/>
        </w:rPr>
        <w:t xml:space="preserve">něž </w:t>
      </w:r>
      <w:r w:rsidR="00B252DC" w:rsidRPr="00551C14">
        <w:rPr>
          <w:rFonts w:ascii="Arial" w:hAnsi="Arial" w:cs="Arial"/>
          <w:bCs/>
          <w:sz w:val="20"/>
          <w:szCs w:val="20"/>
        </w:rPr>
        <w:t xml:space="preserve">je práce ve firmě </w:t>
      </w:r>
      <w:r w:rsidR="00951005">
        <w:rPr>
          <w:rFonts w:ascii="Arial" w:hAnsi="Arial" w:cs="Arial"/>
          <w:bCs/>
          <w:sz w:val="20"/>
          <w:szCs w:val="20"/>
        </w:rPr>
        <w:t xml:space="preserve">jejich </w:t>
      </w:r>
      <w:r w:rsidR="00B252DC" w:rsidRPr="00551C14">
        <w:rPr>
          <w:rFonts w:ascii="Arial" w:hAnsi="Arial" w:cs="Arial"/>
          <w:bCs/>
          <w:sz w:val="20"/>
          <w:szCs w:val="20"/>
        </w:rPr>
        <w:t xml:space="preserve">hlavní ekonomickou činností a počtu osob pracujících na dohodu o provedení práce a na dohodu o pracovní činnosti. </w:t>
      </w:r>
      <w:r w:rsidR="00B252DC" w:rsidRPr="00551C14">
        <w:rPr>
          <w:rFonts w:ascii="Arial" w:hAnsi="Arial" w:cs="Arial"/>
          <w:i/>
          <w:sz w:val="20"/>
          <w:szCs w:val="20"/>
          <w:u w:val="single"/>
        </w:rPr>
        <w:t>Poznámka:</w:t>
      </w:r>
      <w:r w:rsidR="00B252DC" w:rsidRPr="009427FC">
        <w:rPr>
          <w:rFonts w:ascii="Arial" w:hAnsi="Arial" w:cs="Arial"/>
          <w:i/>
          <w:sz w:val="20"/>
          <w:szCs w:val="20"/>
        </w:rPr>
        <w:t xml:space="preserve"> </w:t>
      </w:r>
      <w:r w:rsidR="00B252DC" w:rsidRPr="00551C14">
        <w:rPr>
          <w:rFonts w:ascii="Arial" w:hAnsi="Arial" w:cs="Arial"/>
          <w:b/>
          <w:i/>
          <w:sz w:val="20"/>
          <w:szCs w:val="20"/>
        </w:rPr>
        <w:t>Průměrný evidenční počet zaměstnanců ve fyzických osobách</w:t>
      </w:r>
      <w:r w:rsidR="00B252DC" w:rsidRPr="00551C14">
        <w:rPr>
          <w:rFonts w:ascii="Arial" w:hAnsi="Arial" w:cs="Arial"/>
          <w:i/>
          <w:sz w:val="20"/>
          <w:szCs w:val="20"/>
        </w:rPr>
        <w:t xml:space="preserve"> je počítán jako aritmetický průměr průměrného počtu zaměstnanců v jednotlivých měsících a zahrnuje všechny kategorie stálých, sezónních i dočasných zaměstnanců, kteří jsou v pracovním poměru k zaměstnavateli.</w:t>
      </w:r>
    </w:p>
    <w:p w:rsidR="00B252DC" w:rsidRDefault="00B252DC" w:rsidP="00B252DC">
      <w:pPr>
        <w:pStyle w:val="Default"/>
        <w:numPr>
          <w:ilvl w:val="0"/>
          <w:numId w:val="14"/>
        </w:numPr>
        <w:spacing w:after="120" w:line="288" w:lineRule="auto"/>
        <w:jc w:val="both"/>
        <w:rPr>
          <w:rFonts w:ascii="Arial" w:hAnsi="Arial" w:cs="Arial"/>
          <w:sz w:val="20"/>
          <w:szCs w:val="20"/>
        </w:rPr>
      </w:pPr>
      <w:r w:rsidRPr="00687650">
        <w:rPr>
          <w:rFonts w:ascii="Arial" w:hAnsi="Arial" w:cs="Arial"/>
          <w:b/>
          <w:sz w:val="20"/>
          <w:szCs w:val="20"/>
        </w:rPr>
        <w:t xml:space="preserve">Průměrný evidenční počet zaměstnanců </w:t>
      </w:r>
      <w:r>
        <w:rPr>
          <w:rFonts w:ascii="Arial" w:hAnsi="Arial" w:cs="Arial"/>
          <w:b/>
          <w:sz w:val="20"/>
          <w:szCs w:val="20"/>
        </w:rPr>
        <w:t xml:space="preserve">přepočtený - </w:t>
      </w:r>
      <w:r w:rsidRPr="0036482F">
        <w:rPr>
          <w:rFonts w:ascii="Arial" w:hAnsi="Arial" w:cs="Arial"/>
          <w:b/>
          <w:i/>
          <w:sz w:val="20"/>
          <w:szCs w:val="20"/>
        </w:rPr>
        <w:t>Number of employees in full time equivalent units</w:t>
      </w:r>
      <w:r w:rsidRPr="008C29C4">
        <w:rPr>
          <w:rFonts w:ascii="Arial" w:hAnsi="Arial" w:cs="Arial"/>
          <w:sz w:val="20"/>
          <w:szCs w:val="20"/>
        </w:rPr>
        <w:t xml:space="preserve"> </w:t>
      </w:r>
      <w:r>
        <w:rPr>
          <w:rFonts w:ascii="Arial" w:hAnsi="Arial" w:cs="Arial"/>
          <w:sz w:val="20"/>
          <w:szCs w:val="20"/>
        </w:rPr>
        <w:t xml:space="preserve">- </w:t>
      </w:r>
      <w:r w:rsidRPr="00687650">
        <w:rPr>
          <w:rFonts w:ascii="Arial" w:hAnsi="Arial" w:cs="Arial"/>
          <w:sz w:val="20"/>
          <w:szCs w:val="20"/>
        </w:rPr>
        <w:t xml:space="preserve">je přepočtem </w:t>
      </w:r>
      <w:r>
        <w:rPr>
          <w:rFonts w:ascii="Arial" w:hAnsi="Arial" w:cs="Arial"/>
          <w:sz w:val="20"/>
          <w:szCs w:val="20"/>
        </w:rPr>
        <w:t xml:space="preserve">výše uvedeného </w:t>
      </w:r>
      <w:r w:rsidRPr="00687650">
        <w:rPr>
          <w:rFonts w:ascii="Arial" w:hAnsi="Arial" w:cs="Arial"/>
          <w:sz w:val="20"/>
          <w:szCs w:val="20"/>
        </w:rPr>
        <w:t>průměrného evidenčního počtu zaměstnanců ve fyzických osobách podle délky jejich pracovních úvazků na zaměstnavatelem stanovenou (plnou) pracovní dobu.</w:t>
      </w:r>
    </w:p>
    <w:p w:rsidR="00B252DC" w:rsidRPr="00AE0A4B" w:rsidRDefault="00B252DC" w:rsidP="00B252DC">
      <w:pPr>
        <w:pStyle w:val="Default"/>
        <w:numPr>
          <w:ilvl w:val="0"/>
          <w:numId w:val="14"/>
        </w:numPr>
        <w:spacing w:after="120" w:line="288" w:lineRule="auto"/>
        <w:jc w:val="both"/>
        <w:rPr>
          <w:rFonts w:ascii="Arial" w:hAnsi="Arial" w:cs="Arial"/>
          <w:i/>
          <w:sz w:val="20"/>
          <w:szCs w:val="20"/>
        </w:rPr>
      </w:pPr>
      <w:r>
        <w:rPr>
          <w:rFonts w:ascii="Arial" w:hAnsi="Arial" w:cs="Arial"/>
          <w:b/>
          <w:sz w:val="20"/>
          <w:szCs w:val="20"/>
        </w:rPr>
        <w:t>Zaměstnanci provádějící v</w:t>
      </w:r>
      <w:r w:rsidRPr="004C5079">
        <w:rPr>
          <w:rFonts w:ascii="Arial" w:hAnsi="Arial" w:cs="Arial"/>
          <w:b/>
          <w:sz w:val="20"/>
          <w:szCs w:val="20"/>
        </w:rPr>
        <w:t xml:space="preserve">ýzkum a vývoj </w:t>
      </w:r>
      <w:r>
        <w:rPr>
          <w:rFonts w:ascii="Arial" w:hAnsi="Arial" w:cs="Arial"/>
          <w:b/>
          <w:sz w:val="20"/>
          <w:szCs w:val="20"/>
        </w:rPr>
        <w:t xml:space="preserve">- </w:t>
      </w:r>
      <w:r w:rsidRPr="0036482F">
        <w:rPr>
          <w:rFonts w:ascii="Arial" w:hAnsi="Arial" w:cs="Arial"/>
          <w:b/>
          <w:i/>
          <w:sz w:val="20"/>
          <w:szCs w:val="20"/>
        </w:rPr>
        <w:t>R&amp;D personnel</w:t>
      </w:r>
      <w:r>
        <w:rPr>
          <w:rFonts w:ascii="Arial" w:hAnsi="Arial" w:cs="Arial"/>
          <w:b/>
          <w:sz w:val="20"/>
          <w:szCs w:val="20"/>
        </w:rPr>
        <w:t xml:space="preserve"> - </w:t>
      </w:r>
      <w:r w:rsidRPr="004C5079">
        <w:rPr>
          <w:rFonts w:ascii="Arial" w:hAnsi="Arial" w:cs="Arial"/>
          <w:sz w:val="20"/>
          <w:szCs w:val="20"/>
        </w:rPr>
        <w:t xml:space="preserve">jsou nejen výzkumní pracovníci, kteří </w:t>
      </w:r>
      <w:r w:rsidR="003F5DF4">
        <w:rPr>
          <w:rFonts w:ascii="Arial" w:hAnsi="Arial" w:cs="Arial"/>
          <w:sz w:val="20"/>
          <w:szCs w:val="20"/>
        </w:rPr>
        <w:t xml:space="preserve">přímo </w:t>
      </w:r>
      <w:r w:rsidRPr="004C5079">
        <w:rPr>
          <w:rFonts w:ascii="Arial" w:hAnsi="Arial" w:cs="Arial"/>
          <w:sz w:val="20"/>
          <w:szCs w:val="20"/>
        </w:rPr>
        <w:t xml:space="preserve">provádějí VaV, ale </w:t>
      </w:r>
      <w:r w:rsidR="002849C5">
        <w:rPr>
          <w:rFonts w:ascii="Arial" w:hAnsi="Arial" w:cs="Arial"/>
          <w:sz w:val="20"/>
          <w:szCs w:val="20"/>
        </w:rPr>
        <w:t xml:space="preserve">i </w:t>
      </w:r>
      <w:r w:rsidRPr="004C5079">
        <w:rPr>
          <w:rFonts w:ascii="Arial" w:hAnsi="Arial" w:cs="Arial"/>
          <w:sz w:val="20"/>
          <w:szCs w:val="20"/>
        </w:rPr>
        <w:t>pomocní, techničtí, odborní, administrativní a ostatní (pomocní) pracovníci působící na pracovištích VaV v jednotlivých zpravodajských jednotkách,</w:t>
      </w:r>
      <w:r w:rsidR="00866C54">
        <w:rPr>
          <w:rFonts w:ascii="Arial" w:hAnsi="Arial" w:cs="Arial"/>
          <w:sz w:val="20"/>
          <w:szCs w:val="20"/>
        </w:rPr>
        <w:t xml:space="preserve"> pro něž obstarávají přímé služby.</w:t>
      </w:r>
    </w:p>
    <w:p w:rsidR="00B252DC" w:rsidRDefault="00B252DC" w:rsidP="00B252DC">
      <w:pPr>
        <w:pStyle w:val="Default"/>
        <w:numPr>
          <w:ilvl w:val="1"/>
          <w:numId w:val="14"/>
        </w:numPr>
        <w:spacing w:after="120" w:line="288" w:lineRule="auto"/>
        <w:ind w:left="568" w:hanging="284"/>
        <w:jc w:val="both"/>
        <w:rPr>
          <w:rFonts w:ascii="Arial" w:hAnsi="Arial" w:cs="Arial"/>
          <w:i/>
          <w:sz w:val="20"/>
          <w:szCs w:val="20"/>
        </w:rPr>
      </w:pPr>
      <w:r w:rsidRPr="004C5079">
        <w:rPr>
          <w:rFonts w:ascii="Arial" w:hAnsi="Arial" w:cs="Arial"/>
          <w:i/>
          <w:sz w:val="20"/>
          <w:szCs w:val="20"/>
          <w:u w:val="single"/>
        </w:rPr>
        <w:t>Poznámka</w:t>
      </w:r>
      <w:r>
        <w:rPr>
          <w:rFonts w:ascii="Arial" w:hAnsi="Arial" w:cs="Arial"/>
          <w:i/>
          <w:sz w:val="20"/>
          <w:szCs w:val="20"/>
          <w:u w:val="single"/>
        </w:rPr>
        <w:t xml:space="preserve"> č.</w:t>
      </w:r>
      <w:r w:rsidR="009A21E8">
        <w:rPr>
          <w:rFonts w:ascii="Arial" w:hAnsi="Arial" w:cs="Arial"/>
          <w:i/>
          <w:sz w:val="20"/>
          <w:szCs w:val="20"/>
          <w:u w:val="single"/>
        </w:rPr>
        <w:t xml:space="preserve"> </w:t>
      </w:r>
      <w:r>
        <w:rPr>
          <w:rFonts w:ascii="Arial" w:hAnsi="Arial" w:cs="Arial"/>
          <w:i/>
          <w:sz w:val="20"/>
          <w:szCs w:val="20"/>
          <w:u w:val="single"/>
        </w:rPr>
        <w:t>1</w:t>
      </w:r>
      <w:r w:rsidRPr="000D5CA5">
        <w:rPr>
          <w:rFonts w:ascii="Arial" w:hAnsi="Arial" w:cs="Arial"/>
          <w:i/>
          <w:sz w:val="20"/>
          <w:szCs w:val="20"/>
        </w:rPr>
        <w:t>:</w:t>
      </w:r>
      <w:r w:rsidRPr="004C5079">
        <w:rPr>
          <w:rFonts w:ascii="Arial" w:hAnsi="Arial" w:cs="Arial"/>
          <w:i/>
          <w:sz w:val="20"/>
          <w:szCs w:val="20"/>
        </w:rPr>
        <w:t xml:space="preserve"> Mezi zaměstnance VaV </w:t>
      </w:r>
      <w:r w:rsidRPr="004C5079">
        <w:rPr>
          <w:rFonts w:ascii="Arial" w:hAnsi="Arial" w:cs="Arial"/>
          <w:b/>
          <w:i/>
          <w:sz w:val="20"/>
          <w:szCs w:val="20"/>
        </w:rPr>
        <w:t>nepatří</w:t>
      </w:r>
      <w:r w:rsidRPr="004C5079">
        <w:rPr>
          <w:rFonts w:ascii="Arial" w:hAnsi="Arial" w:cs="Arial"/>
          <w:i/>
          <w:sz w:val="20"/>
          <w:szCs w:val="20"/>
        </w:rPr>
        <w:t xml:space="preserve"> jednotlivci </w:t>
      </w:r>
      <w:r w:rsidR="006552BD">
        <w:rPr>
          <w:rFonts w:ascii="Arial" w:hAnsi="Arial" w:cs="Arial"/>
          <w:i/>
          <w:sz w:val="20"/>
          <w:szCs w:val="20"/>
        </w:rPr>
        <w:t xml:space="preserve">zajišťující </w:t>
      </w:r>
      <w:r w:rsidRPr="004C5079">
        <w:rPr>
          <w:rFonts w:ascii="Arial" w:hAnsi="Arial" w:cs="Arial"/>
          <w:i/>
          <w:sz w:val="20"/>
          <w:szCs w:val="20"/>
        </w:rPr>
        <w:t>pro příslušn</w:t>
      </w:r>
      <w:r w:rsidR="006552BD">
        <w:rPr>
          <w:rFonts w:ascii="Arial" w:hAnsi="Arial" w:cs="Arial"/>
          <w:i/>
          <w:sz w:val="20"/>
          <w:szCs w:val="20"/>
        </w:rPr>
        <w:t>á</w:t>
      </w:r>
      <w:r w:rsidRPr="004C5079">
        <w:rPr>
          <w:rFonts w:ascii="Arial" w:hAnsi="Arial" w:cs="Arial"/>
          <w:i/>
          <w:sz w:val="20"/>
          <w:szCs w:val="20"/>
        </w:rPr>
        <w:t xml:space="preserve"> pracoviště VaV nepřímé služby, kterými jsou např. provoz závodní jídelny, bezpečnostní služba, úklid nebo ostraha. </w:t>
      </w:r>
    </w:p>
    <w:p w:rsidR="00B252DC" w:rsidRPr="00AE0A4B" w:rsidRDefault="00B252DC" w:rsidP="00B252DC">
      <w:pPr>
        <w:pStyle w:val="Default"/>
        <w:numPr>
          <w:ilvl w:val="1"/>
          <w:numId w:val="14"/>
        </w:numPr>
        <w:spacing w:after="120" w:line="288" w:lineRule="auto"/>
        <w:ind w:left="567" w:hanging="283"/>
        <w:jc w:val="both"/>
        <w:rPr>
          <w:rFonts w:ascii="Arial" w:hAnsi="Arial" w:cs="Arial"/>
          <w:i/>
          <w:sz w:val="20"/>
          <w:szCs w:val="20"/>
        </w:rPr>
      </w:pPr>
      <w:r w:rsidRPr="00AE0A4B">
        <w:rPr>
          <w:rFonts w:ascii="Arial" w:hAnsi="Arial" w:cs="Arial"/>
          <w:i/>
          <w:sz w:val="20"/>
          <w:szCs w:val="20"/>
          <w:u w:val="single"/>
        </w:rPr>
        <w:t>Poznámka č.</w:t>
      </w:r>
      <w:r w:rsidR="009A21E8">
        <w:rPr>
          <w:rFonts w:ascii="Arial" w:hAnsi="Arial" w:cs="Arial"/>
          <w:i/>
          <w:sz w:val="20"/>
          <w:szCs w:val="20"/>
          <w:u w:val="single"/>
        </w:rPr>
        <w:t xml:space="preserve"> </w:t>
      </w:r>
      <w:r w:rsidRPr="00AE0A4B">
        <w:rPr>
          <w:rFonts w:ascii="Arial" w:hAnsi="Arial" w:cs="Arial"/>
          <w:i/>
          <w:sz w:val="20"/>
          <w:szCs w:val="20"/>
          <w:u w:val="single"/>
        </w:rPr>
        <w:t>2</w:t>
      </w:r>
      <w:r w:rsidRPr="000D5CA5">
        <w:rPr>
          <w:rFonts w:ascii="Arial" w:hAnsi="Arial" w:cs="Arial"/>
          <w:i/>
          <w:sz w:val="20"/>
          <w:szCs w:val="20"/>
        </w:rPr>
        <w:t>:</w:t>
      </w:r>
      <w:r w:rsidRPr="00067FBE">
        <w:rPr>
          <w:rFonts w:ascii="Arial" w:hAnsi="Arial" w:cs="Arial"/>
          <w:i/>
          <w:sz w:val="20"/>
          <w:szCs w:val="20"/>
        </w:rPr>
        <w:t xml:space="preserve"> </w:t>
      </w:r>
      <w:r w:rsidRPr="00AE0A4B">
        <w:rPr>
          <w:rFonts w:ascii="Arial" w:hAnsi="Arial" w:cs="Arial"/>
          <w:i/>
          <w:sz w:val="20"/>
          <w:szCs w:val="20"/>
        </w:rPr>
        <w:t xml:space="preserve">Počet osob zaměstnaných ve výzkumu a vývoji je sledován buď </w:t>
      </w:r>
      <w:r>
        <w:rPr>
          <w:rFonts w:ascii="Arial" w:hAnsi="Arial" w:cs="Arial"/>
          <w:i/>
          <w:sz w:val="20"/>
          <w:szCs w:val="20"/>
        </w:rPr>
        <w:t>(i.)</w:t>
      </w:r>
      <w:r w:rsidR="00E0094C">
        <w:rPr>
          <w:rFonts w:ascii="Arial" w:hAnsi="Arial" w:cs="Arial"/>
          <w:i/>
          <w:sz w:val="20"/>
          <w:szCs w:val="20"/>
        </w:rPr>
        <w:t xml:space="preserve"> ve</w:t>
      </w:r>
      <w:r w:rsidRPr="00AE0A4B">
        <w:rPr>
          <w:rFonts w:ascii="Arial" w:hAnsi="Arial" w:cs="Arial"/>
          <w:i/>
          <w:sz w:val="20"/>
          <w:szCs w:val="20"/>
        </w:rPr>
        <w:t xml:space="preserve"> </w:t>
      </w:r>
      <w:r w:rsidRPr="00AE0A4B">
        <w:rPr>
          <w:rFonts w:ascii="Arial" w:hAnsi="Arial" w:cs="Arial"/>
          <w:b/>
          <w:i/>
          <w:sz w:val="20"/>
          <w:szCs w:val="20"/>
        </w:rPr>
        <w:t>fyzických (HC)</w:t>
      </w:r>
      <w:r w:rsidRPr="00AE0A4B">
        <w:rPr>
          <w:rFonts w:ascii="Arial" w:hAnsi="Arial" w:cs="Arial"/>
          <w:i/>
          <w:sz w:val="20"/>
          <w:szCs w:val="20"/>
        </w:rPr>
        <w:t xml:space="preserve"> nebo</w:t>
      </w:r>
      <w:r>
        <w:rPr>
          <w:rFonts w:ascii="Arial" w:hAnsi="Arial" w:cs="Arial"/>
          <w:i/>
          <w:sz w:val="20"/>
          <w:szCs w:val="20"/>
        </w:rPr>
        <w:t xml:space="preserve"> (ii.) </w:t>
      </w:r>
      <w:r w:rsidRPr="00AE0A4B">
        <w:rPr>
          <w:rFonts w:ascii="Arial" w:hAnsi="Arial" w:cs="Arial"/>
          <w:b/>
          <w:i/>
          <w:sz w:val="20"/>
          <w:szCs w:val="20"/>
        </w:rPr>
        <w:t>přepočtených (FTE)</w:t>
      </w:r>
      <w:r w:rsidRPr="00AE0A4B">
        <w:rPr>
          <w:rFonts w:ascii="Arial" w:hAnsi="Arial" w:cs="Arial"/>
          <w:i/>
          <w:sz w:val="20"/>
          <w:szCs w:val="20"/>
        </w:rPr>
        <w:t xml:space="preserve"> osobách. Ukazatel o přepočteném počtu </w:t>
      </w:r>
      <w:r>
        <w:rPr>
          <w:rFonts w:ascii="Arial" w:hAnsi="Arial" w:cs="Arial"/>
          <w:i/>
          <w:sz w:val="20"/>
          <w:szCs w:val="20"/>
        </w:rPr>
        <w:t xml:space="preserve">používaný ve statistice VaV </w:t>
      </w:r>
      <w:r w:rsidR="005C4BA6">
        <w:rPr>
          <w:rFonts w:ascii="Arial" w:hAnsi="Arial" w:cs="Arial"/>
          <w:i/>
          <w:sz w:val="20"/>
          <w:szCs w:val="20"/>
        </w:rPr>
        <w:t xml:space="preserve">zachycuje </w:t>
      </w:r>
      <w:r w:rsidRPr="00AE0A4B">
        <w:rPr>
          <w:rFonts w:ascii="Arial" w:hAnsi="Arial" w:cs="Arial"/>
          <w:i/>
          <w:sz w:val="20"/>
          <w:szCs w:val="20"/>
        </w:rPr>
        <w:t>skutečnou dobu věnovanou</w:t>
      </w:r>
      <w:r>
        <w:rPr>
          <w:rFonts w:ascii="Arial" w:hAnsi="Arial" w:cs="Arial"/>
          <w:i/>
          <w:sz w:val="20"/>
          <w:szCs w:val="20"/>
        </w:rPr>
        <w:t xml:space="preserve"> zaměstnanci </w:t>
      </w:r>
      <w:r w:rsidR="005C4BA6">
        <w:rPr>
          <w:rFonts w:ascii="Arial" w:hAnsi="Arial" w:cs="Arial"/>
          <w:i/>
          <w:sz w:val="20"/>
          <w:szCs w:val="20"/>
        </w:rPr>
        <w:t>VaV</w:t>
      </w:r>
      <w:r w:rsidRPr="00AE0A4B">
        <w:rPr>
          <w:rFonts w:ascii="Arial" w:hAnsi="Arial" w:cs="Arial"/>
          <w:i/>
          <w:sz w:val="20"/>
          <w:szCs w:val="20"/>
        </w:rPr>
        <w:t xml:space="preserve">. Jeden FTE </w:t>
      </w:r>
      <w:r w:rsidR="00EB3E6B">
        <w:rPr>
          <w:rFonts w:ascii="Arial" w:hAnsi="Arial" w:cs="Arial"/>
          <w:i/>
          <w:sz w:val="20"/>
          <w:szCs w:val="20"/>
        </w:rPr>
        <w:t xml:space="preserve">odpovídá </w:t>
      </w:r>
      <w:r w:rsidRPr="00AE0A4B">
        <w:rPr>
          <w:rFonts w:ascii="Arial" w:hAnsi="Arial" w:cs="Arial"/>
          <w:i/>
          <w:sz w:val="20"/>
          <w:szCs w:val="20"/>
        </w:rPr>
        <w:t>jednomu roku pr</w:t>
      </w:r>
      <w:r w:rsidR="00EB3E6B">
        <w:rPr>
          <w:rFonts w:ascii="Arial" w:hAnsi="Arial" w:cs="Arial"/>
          <w:i/>
          <w:sz w:val="20"/>
          <w:szCs w:val="20"/>
        </w:rPr>
        <w:t xml:space="preserve">acovní činnosti </w:t>
      </w:r>
      <w:r w:rsidRPr="00AE0A4B">
        <w:rPr>
          <w:rFonts w:ascii="Arial" w:hAnsi="Arial" w:cs="Arial"/>
          <w:i/>
          <w:sz w:val="20"/>
          <w:szCs w:val="20"/>
        </w:rPr>
        <w:t>na plný pracovní úvazek věnovaný výhradně výzkumné a vývojo</w:t>
      </w:r>
      <w:r w:rsidR="00EB3E6B">
        <w:rPr>
          <w:rFonts w:ascii="Arial" w:hAnsi="Arial" w:cs="Arial"/>
          <w:i/>
          <w:sz w:val="20"/>
          <w:szCs w:val="20"/>
        </w:rPr>
        <w:t>vé činnosti.</w:t>
      </w:r>
    </w:p>
    <w:p w:rsidR="00B252DC" w:rsidRDefault="00B252DC" w:rsidP="00B252DC">
      <w:pPr>
        <w:pStyle w:val="Default"/>
        <w:numPr>
          <w:ilvl w:val="0"/>
          <w:numId w:val="14"/>
        </w:numPr>
        <w:spacing w:after="120" w:line="288" w:lineRule="auto"/>
        <w:jc w:val="both"/>
        <w:rPr>
          <w:rFonts w:ascii="Arial" w:hAnsi="Arial" w:cs="Arial"/>
          <w:sz w:val="20"/>
          <w:szCs w:val="20"/>
        </w:rPr>
      </w:pPr>
      <w:r w:rsidRPr="00805D9E">
        <w:rPr>
          <w:rFonts w:ascii="Arial" w:hAnsi="Arial" w:cs="Arial"/>
          <w:b/>
          <w:sz w:val="20"/>
          <w:szCs w:val="20"/>
        </w:rPr>
        <w:t xml:space="preserve">Průměrná hrubá měsíční mzda </w:t>
      </w:r>
      <w:r w:rsidR="00594DEE" w:rsidRPr="00594DEE">
        <w:rPr>
          <w:rFonts w:ascii="Arial" w:hAnsi="Arial" w:cs="Arial"/>
          <w:b/>
          <w:sz w:val="20"/>
          <w:szCs w:val="20"/>
        </w:rPr>
        <w:t>na jedn</w:t>
      </w:r>
      <w:r w:rsidR="00E02EF7">
        <w:rPr>
          <w:rFonts w:ascii="Arial" w:hAnsi="Arial" w:cs="Arial"/>
          <w:b/>
          <w:sz w:val="20"/>
          <w:szCs w:val="20"/>
        </w:rPr>
        <w:t>u přepočtenou osobu</w:t>
      </w:r>
      <w:r w:rsidR="00594DEE" w:rsidRPr="00594DEE">
        <w:rPr>
          <w:rFonts w:ascii="Arial" w:hAnsi="Arial" w:cs="Arial"/>
          <w:b/>
          <w:sz w:val="20"/>
          <w:szCs w:val="20"/>
        </w:rPr>
        <w:t xml:space="preserve"> </w:t>
      </w:r>
      <w:r w:rsidRPr="00805D9E">
        <w:rPr>
          <w:rFonts w:ascii="Arial" w:hAnsi="Arial" w:cs="Arial"/>
          <w:sz w:val="20"/>
          <w:szCs w:val="20"/>
        </w:rPr>
        <w:t>vyjadřuje všechny pracovní příjmy (základní mzdy, osobní příplatky a ohodnocení, prémie a odměny, podíly na výsledcích hospodaření a náhrady mzdy), které byly zúčtovány zaměstnancům v evidenčním počtu</w:t>
      </w:r>
      <w:r>
        <w:rPr>
          <w:rFonts w:ascii="Arial" w:hAnsi="Arial" w:cs="Arial"/>
          <w:sz w:val="20"/>
          <w:szCs w:val="20"/>
        </w:rPr>
        <w:t xml:space="preserve"> (přepočten</w:t>
      </w:r>
      <w:r w:rsidR="007A6109">
        <w:rPr>
          <w:rFonts w:ascii="Arial" w:hAnsi="Arial" w:cs="Arial"/>
          <w:sz w:val="20"/>
          <w:szCs w:val="20"/>
        </w:rPr>
        <w:t>ým</w:t>
      </w:r>
      <w:r>
        <w:rPr>
          <w:rFonts w:ascii="Arial" w:hAnsi="Arial" w:cs="Arial"/>
          <w:sz w:val="20"/>
          <w:szCs w:val="20"/>
        </w:rPr>
        <w:t xml:space="preserve"> osob</w:t>
      </w:r>
      <w:r w:rsidR="007A6109">
        <w:rPr>
          <w:rFonts w:ascii="Arial" w:hAnsi="Arial" w:cs="Arial"/>
          <w:sz w:val="20"/>
          <w:szCs w:val="20"/>
        </w:rPr>
        <w:t>ám</w:t>
      </w:r>
      <w:r>
        <w:rPr>
          <w:rFonts w:ascii="Arial" w:hAnsi="Arial" w:cs="Arial"/>
          <w:sz w:val="20"/>
          <w:szCs w:val="20"/>
        </w:rPr>
        <w:t>)</w:t>
      </w:r>
      <w:r w:rsidRPr="00805D9E">
        <w:rPr>
          <w:rFonts w:ascii="Arial" w:hAnsi="Arial" w:cs="Arial"/>
          <w:sz w:val="20"/>
          <w:szCs w:val="20"/>
        </w:rPr>
        <w:t xml:space="preserve"> podle příslušných platových a mzdových předpisů.</w:t>
      </w:r>
    </w:p>
    <w:p w:rsidR="00B252DC" w:rsidRPr="00EF7028" w:rsidRDefault="00B252DC" w:rsidP="00B252DC">
      <w:pPr>
        <w:pStyle w:val="Default"/>
        <w:pageBreakBefore/>
        <w:spacing w:before="240" w:after="120" w:line="288" w:lineRule="auto"/>
        <w:jc w:val="both"/>
        <w:rPr>
          <w:rFonts w:ascii="Arial" w:hAnsi="Arial" w:cs="Arial"/>
          <w:b/>
          <w:i/>
          <w:color w:val="31849B"/>
          <w:sz w:val="22"/>
          <w:szCs w:val="20"/>
        </w:rPr>
      </w:pPr>
      <w:r w:rsidRPr="00EF7028">
        <w:rPr>
          <w:rFonts w:ascii="Arial" w:hAnsi="Arial" w:cs="Arial"/>
          <w:b/>
          <w:i/>
          <w:color w:val="31849B"/>
          <w:sz w:val="22"/>
          <w:szCs w:val="20"/>
        </w:rPr>
        <w:lastRenderedPageBreak/>
        <w:t xml:space="preserve">II. Výnosy, tržby, náklady a zisk - základní účetní ukazatele </w:t>
      </w:r>
    </w:p>
    <w:p w:rsidR="00B252DC" w:rsidRPr="00540335" w:rsidRDefault="00B252DC" w:rsidP="00B252DC">
      <w:pPr>
        <w:pStyle w:val="Default"/>
        <w:numPr>
          <w:ilvl w:val="0"/>
          <w:numId w:val="14"/>
        </w:numPr>
        <w:spacing w:after="120" w:line="288" w:lineRule="auto"/>
        <w:jc w:val="both"/>
        <w:rPr>
          <w:rFonts w:ascii="Arial" w:hAnsi="Arial" w:cs="Arial"/>
          <w:sz w:val="20"/>
          <w:szCs w:val="20"/>
        </w:rPr>
      </w:pPr>
      <w:r w:rsidRPr="00540335">
        <w:rPr>
          <w:rFonts w:ascii="Arial" w:hAnsi="Arial" w:cs="Arial"/>
          <w:b/>
          <w:sz w:val="20"/>
          <w:szCs w:val="20"/>
        </w:rPr>
        <w:t>Výnosy celkem</w:t>
      </w:r>
      <w:r>
        <w:rPr>
          <w:rFonts w:ascii="Arial" w:hAnsi="Arial" w:cs="Arial"/>
          <w:b/>
          <w:sz w:val="20"/>
          <w:szCs w:val="20"/>
        </w:rPr>
        <w:t xml:space="preserve"> </w:t>
      </w:r>
      <w:r w:rsidRPr="00540335">
        <w:rPr>
          <w:rFonts w:ascii="Arial" w:hAnsi="Arial" w:cs="Arial"/>
          <w:sz w:val="20"/>
          <w:szCs w:val="20"/>
        </w:rPr>
        <w:t xml:space="preserve">obsahují součet </w:t>
      </w:r>
      <w:r w:rsidRPr="004B7CE0">
        <w:rPr>
          <w:rFonts w:ascii="Arial" w:hAnsi="Arial" w:cs="Arial"/>
          <w:b/>
          <w:sz w:val="20"/>
          <w:szCs w:val="20"/>
        </w:rPr>
        <w:t xml:space="preserve">tržeb </w:t>
      </w:r>
      <w:r>
        <w:rPr>
          <w:rFonts w:ascii="Arial" w:hAnsi="Arial" w:cs="Arial"/>
          <w:b/>
          <w:sz w:val="20"/>
          <w:szCs w:val="20"/>
        </w:rPr>
        <w:t>celkem</w:t>
      </w:r>
      <w:r w:rsidRPr="00540335">
        <w:rPr>
          <w:rFonts w:ascii="Arial" w:hAnsi="Arial" w:cs="Arial"/>
          <w:sz w:val="20"/>
          <w:szCs w:val="20"/>
        </w:rPr>
        <w:t xml:space="preserve">, změny stavu vnitropodnikových zásob vlastní výroby, aktivace, jiných provozních výnosů, finančních výnosů, mimořádných výnosů, zúčtování rezerv a opravných položek provozních a finančních výnosů a převodu provozních a finančních výnosů. </w:t>
      </w:r>
      <w:r w:rsidRPr="00540335">
        <w:rPr>
          <w:rFonts w:ascii="Arial" w:hAnsi="Arial" w:cs="Arial"/>
          <w:i/>
          <w:sz w:val="20"/>
          <w:szCs w:val="20"/>
          <w:u w:val="single"/>
        </w:rPr>
        <w:t>Poznámka:</w:t>
      </w:r>
      <w:r w:rsidRPr="00540335">
        <w:rPr>
          <w:rFonts w:ascii="Arial" w:hAnsi="Arial" w:cs="Arial"/>
          <w:i/>
          <w:sz w:val="20"/>
          <w:szCs w:val="20"/>
        </w:rPr>
        <w:t xml:space="preserve"> U fyzických osob jsou příjmy dány jako součet příjmů za prodej výrobků, služeb, zboží, ostatních příjmů a uzávěrkových úprav příjmů.</w:t>
      </w:r>
    </w:p>
    <w:p w:rsidR="00B252DC" w:rsidRPr="005E4AE7" w:rsidRDefault="00B252DC" w:rsidP="00B252DC">
      <w:pPr>
        <w:numPr>
          <w:ilvl w:val="0"/>
          <w:numId w:val="14"/>
        </w:numPr>
        <w:spacing w:after="60"/>
        <w:jc w:val="both"/>
        <w:rPr>
          <w:rFonts w:cs="Arial"/>
          <w:i/>
          <w:color w:val="000000"/>
          <w:szCs w:val="20"/>
        </w:rPr>
      </w:pPr>
      <w:r w:rsidRPr="0036482F">
        <w:rPr>
          <w:rFonts w:cs="Arial"/>
          <w:b/>
          <w:color w:val="000000"/>
          <w:szCs w:val="20"/>
        </w:rPr>
        <w:t xml:space="preserve">Tržby </w:t>
      </w:r>
      <w:r>
        <w:rPr>
          <w:rFonts w:cs="Arial"/>
          <w:b/>
          <w:color w:val="000000"/>
          <w:szCs w:val="20"/>
        </w:rPr>
        <w:t xml:space="preserve">celkem (celkový obrat) - </w:t>
      </w:r>
      <w:r w:rsidRPr="00474FD8">
        <w:rPr>
          <w:rFonts w:cs="Arial"/>
          <w:b/>
          <w:i/>
          <w:color w:val="000000"/>
          <w:szCs w:val="20"/>
        </w:rPr>
        <w:t>Turnover</w:t>
      </w:r>
      <w:r w:rsidRPr="00474FD8">
        <w:rPr>
          <w:rFonts w:cs="Arial"/>
          <w:b/>
          <w:color w:val="000000"/>
          <w:szCs w:val="20"/>
        </w:rPr>
        <w:t xml:space="preserve"> </w:t>
      </w:r>
      <w:r>
        <w:rPr>
          <w:rFonts w:cs="Arial"/>
          <w:b/>
          <w:color w:val="000000"/>
          <w:szCs w:val="20"/>
        </w:rPr>
        <w:t xml:space="preserve">- </w:t>
      </w:r>
      <w:r w:rsidRPr="0036482F">
        <w:rPr>
          <w:rFonts w:cs="Arial"/>
          <w:color w:val="000000"/>
          <w:szCs w:val="20"/>
        </w:rPr>
        <w:t>jsou součtem tržeb za prodej vlastních výrobků a služeb a tržeb za prodej zboží</w:t>
      </w:r>
      <w:r>
        <w:rPr>
          <w:rFonts w:cs="Arial"/>
          <w:color w:val="000000"/>
          <w:szCs w:val="20"/>
        </w:rPr>
        <w:t xml:space="preserve"> a </w:t>
      </w:r>
      <w:r w:rsidRPr="0022740B">
        <w:rPr>
          <w:rFonts w:cs="Arial"/>
          <w:color w:val="000000"/>
          <w:szCs w:val="20"/>
        </w:rPr>
        <w:t>zahrnuj</w:t>
      </w:r>
      <w:r>
        <w:rPr>
          <w:rFonts w:cs="Arial"/>
          <w:color w:val="000000"/>
          <w:szCs w:val="20"/>
        </w:rPr>
        <w:t>í</w:t>
      </w:r>
      <w:r w:rsidRPr="0022740B">
        <w:rPr>
          <w:rFonts w:cs="Arial"/>
          <w:color w:val="000000"/>
          <w:szCs w:val="20"/>
        </w:rPr>
        <w:t xml:space="preserve"> veškeré tržby fakturované statistickou jednotkou během sledovaného období a odpovíd</w:t>
      </w:r>
      <w:r>
        <w:rPr>
          <w:rFonts w:cs="Arial"/>
          <w:color w:val="000000"/>
          <w:szCs w:val="20"/>
        </w:rPr>
        <w:t>ají</w:t>
      </w:r>
      <w:r w:rsidRPr="0022740B">
        <w:rPr>
          <w:rFonts w:cs="Arial"/>
          <w:color w:val="000000"/>
          <w:szCs w:val="20"/>
        </w:rPr>
        <w:t xml:space="preserve"> prodeji zboží, výrobků a služeb třetím stranám. Do obratu se nezahrnují aktivace a prodej dlouhodobého majetku, pokud nebyl pořízen výhradně k dalšímu obchodování. Službou se rozumí výkony smluvně sjednané.</w:t>
      </w:r>
      <w:r w:rsidRPr="0036482F">
        <w:rPr>
          <w:rFonts w:cs="Arial"/>
          <w:color w:val="000000"/>
          <w:szCs w:val="20"/>
        </w:rPr>
        <w:t xml:space="preserve"> </w:t>
      </w:r>
    </w:p>
    <w:p w:rsidR="00B252DC" w:rsidRPr="00540335" w:rsidRDefault="00B252DC" w:rsidP="00B252DC">
      <w:pPr>
        <w:numPr>
          <w:ilvl w:val="0"/>
          <w:numId w:val="14"/>
        </w:numPr>
        <w:spacing w:after="120"/>
        <w:jc w:val="both"/>
        <w:rPr>
          <w:rFonts w:cs="Arial"/>
          <w:color w:val="000000"/>
          <w:szCs w:val="20"/>
        </w:rPr>
      </w:pPr>
      <w:r w:rsidRPr="00540335">
        <w:rPr>
          <w:rFonts w:cs="Arial"/>
          <w:b/>
          <w:szCs w:val="20"/>
        </w:rPr>
        <w:t>Tržby</w:t>
      </w:r>
      <w:r>
        <w:rPr>
          <w:rFonts w:cs="Arial"/>
          <w:b/>
          <w:szCs w:val="20"/>
        </w:rPr>
        <w:t xml:space="preserve"> </w:t>
      </w:r>
      <w:r w:rsidRPr="00540335">
        <w:rPr>
          <w:rFonts w:cs="Arial"/>
          <w:b/>
          <w:szCs w:val="20"/>
        </w:rPr>
        <w:t>za prodej vlastních výrobků a služeb</w:t>
      </w:r>
      <w:r w:rsidRPr="00540335">
        <w:rPr>
          <w:rFonts w:cs="Arial"/>
          <w:szCs w:val="20"/>
        </w:rPr>
        <w:t xml:space="preserve"> představují tržby za prodej vlastní hmotné a nehmotné produkce externím odběratelům.</w:t>
      </w:r>
      <w:r w:rsidRPr="002519A7">
        <w:rPr>
          <w:rFonts w:cs="Arial"/>
          <w:i/>
          <w:szCs w:val="20"/>
        </w:rPr>
        <w:t xml:space="preserve"> </w:t>
      </w:r>
      <w:r w:rsidRPr="002519A7">
        <w:rPr>
          <w:rFonts w:cs="Arial"/>
          <w:i/>
          <w:szCs w:val="20"/>
          <w:u w:val="single"/>
        </w:rPr>
        <w:t>Poznámka:</w:t>
      </w:r>
      <w:r w:rsidRPr="002519A7">
        <w:rPr>
          <w:rFonts w:cs="Arial"/>
          <w:i/>
          <w:szCs w:val="20"/>
        </w:rPr>
        <w:t xml:space="preserve"> V tomto ukazateli </w:t>
      </w:r>
      <w:r w:rsidRPr="002519A7">
        <w:rPr>
          <w:rFonts w:cs="Arial"/>
          <w:b/>
          <w:i/>
          <w:szCs w:val="20"/>
        </w:rPr>
        <w:t>nejsou zahrnuty</w:t>
      </w:r>
      <w:r w:rsidRPr="002519A7">
        <w:rPr>
          <w:rFonts w:cs="Arial"/>
          <w:i/>
          <w:szCs w:val="20"/>
        </w:rPr>
        <w:t xml:space="preserve"> </w:t>
      </w:r>
      <w:r w:rsidRPr="002519A7">
        <w:rPr>
          <w:rFonts w:cs="Arial"/>
          <w:i/>
          <w:color w:val="000000"/>
          <w:szCs w:val="20"/>
        </w:rPr>
        <w:t xml:space="preserve">tržby za prodej </w:t>
      </w:r>
      <w:r w:rsidRPr="002519A7">
        <w:rPr>
          <w:rFonts w:cs="Arial"/>
          <w:b/>
          <w:i/>
          <w:color w:val="000000"/>
          <w:szCs w:val="20"/>
        </w:rPr>
        <w:t>obchodního zboží</w:t>
      </w:r>
      <w:r w:rsidRPr="002519A7">
        <w:rPr>
          <w:rFonts w:cs="Arial"/>
          <w:i/>
          <w:color w:val="000000"/>
          <w:szCs w:val="20"/>
        </w:rPr>
        <w:t>, tzn. produktů nakoupených za účelem dalšího prodeje v nezměněném stavu.</w:t>
      </w:r>
    </w:p>
    <w:p w:rsidR="00B252DC" w:rsidRDefault="00B252DC" w:rsidP="00B252DC">
      <w:pPr>
        <w:pStyle w:val="Default"/>
        <w:numPr>
          <w:ilvl w:val="0"/>
          <w:numId w:val="14"/>
        </w:numPr>
        <w:spacing w:after="120" w:line="288" w:lineRule="auto"/>
        <w:jc w:val="both"/>
        <w:rPr>
          <w:rFonts w:ascii="Arial" w:hAnsi="Arial" w:cs="Arial"/>
          <w:sz w:val="20"/>
          <w:szCs w:val="20"/>
        </w:rPr>
      </w:pPr>
      <w:r w:rsidRPr="00551C14">
        <w:rPr>
          <w:rFonts w:ascii="Arial" w:hAnsi="Arial" w:cs="Arial"/>
          <w:b/>
          <w:sz w:val="20"/>
          <w:szCs w:val="20"/>
        </w:rPr>
        <w:t>Náklady celkem</w:t>
      </w:r>
      <w:r w:rsidRPr="00551C14">
        <w:rPr>
          <w:rFonts w:ascii="Arial" w:hAnsi="Arial" w:cs="Arial"/>
          <w:sz w:val="20"/>
          <w:szCs w:val="20"/>
        </w:rPr>
        <w:t xml:space="preserve"> jsou časově rozlišené provozní, finanční a mimořádné náklady za sledované období. Obsahují náklady, vynaložené na spotřebované nákupy, na prodané zboží, na služby, </w:t>
      </w:r>
      <w:r w:rsidRPr="00551C14">
        <w:rPr>
          <w:rFonts w:ascii="Arial" w:hAnsi="Arial" w:cs="Arial"/>
          <w:b/>
          <w:sz w:val="20"/>
          <w:szCs w:val="20"/>
        </w:rPr>
        <w:t>osobní náklady</w:t>
      </w:r>
      <w:r w:rsidRPr="00551C14">
        <w:rPr>
          <w:rFonts w:ascii="Arial" w:hAnsi="Arial" w:cs="Arial"/>
          <w:sz w:val="20"/>
          <w:szCs w:val="20"/>
        </w:rPr>
        <w:t xml:space="preserve">, daně a poplatky, jiné provozní náklady, finanční náklady, mimořádné náklady, odpisy, rezervy a opravné položky provozních nákladů, rezerv a finančních nákladů, daně z příjmů za běžnou činnost, z příjmů z mimořádné činnosti, převod podílu na hospodářském výsledku společníkům a převodů provozních a finančních nákladů. </w:t>
      </w:r>
      <w:r w:rsidRPr="00551C14">
        <w:rPr>
          <w:rFonts w:ascii="Arial" w:hAnsi="Arial" w:cs="Arial"/>
          <w:i/>
          <w:sz w:val="20"/>
          <w:szCs w:val="20"/>
          <w:u w:val="single"/>
        </w:rPr>
        <w:t>Poznámka:</w:t>
      </w:r>
      <w:r w:rsidRPr="00551C14">
        <w:rPr>
          <w:rFonts w:ascii="Arial" w:hAnsi="Arial" w:cs="Arial"/>
          <w:i/>
          <w:sz w:val="20"/>
          <w:szCs w:val="20"/>
        </w:rPr>
        <w:t xml:space="preserve"> U fyzických osob je to součet výdajů na nákup materiálu, zboží, výdajů na mzdy a platby pojistného (sociální a zdravotní pojištění), provozní režie a uzávěrkových úprav výdajů</w:t>
      </w:r>
      <w:r w:rsidRPr="00551C14">
        <w:rPr>
          <w:rFonts w:ascii="Arial" w:hAnsi="Arial" w:cs="Arial"/>
          <w:sz w:val="20"/>
          <w:szCs w:val="20"/>
        </w:rPr>
        <w:t>.</w:t>
      </w:r>
    </w:p>
    <w:p w:rsidR="00B252DC" w:rsidRPr="00551C14" w:rsidRDefault="00B252DC" w:rsidP="00B252DC">
      <w:pPr>
        <w:pStyle w:val="Default"/>
        <w:numPr>
          <w:ilvl w:val="0"/>
          <w:numId w:val="14"/>
        </w:numPr>
        <w:spacing w:after="120" w:line="288" w:lineRule="auto"/>
        <w:ind w:left="357" w:hanging="357"/>
        <w:jc w:val="both"/>
        <w:rPr>
          <w:rFonts w:ascii="Arial" w:hAnsi="Arial" w:cs="Arial"/>
          <w:i/>
          <w:sz w:val="20"/>
          <w:szCs w:val="20"/>
        </w:rPr>
      </w:pPr>
      <w:r w:rsidRPr="005616A1">
        <w:rPr>
          <w:rFonts w:ascii="Arial" w:hAnsi="Arial" w:cs="Arial"/>
          <w:b/>
          <w:bCs/>
          <w:sz w:val="20"/>
          <w:szCs w:val="20"/>
        </w:rPr>
        <w:t xml:space="preserve">Osobní náklady </w:t>
      </w:r>
      <w:r>
        <w:rPr>
          <w:rFonts w:ascii="Arial" w:hAnsi="Arial" w:cs="Arial"/>
          <w:b/>
          <w:bCs/>
          <w:sz w:val="20"/>
          <w:szCs w:val="20"/>
        </w:rPr>
        <w:t xml:space="preserve">- </w:t>
      </w:r>
      <w:r w:rsidRPr="0036482F">
        <w:rPr>
          <w:rFonts w:ascii="Arial" w:hAnsi="Arial" w:cs="Arial"/>
          <w:b/>
          <w:bCs/>
          <w:i/>
          <w:sz w:val="20"/>
          <w:szCs w:val="20"/>
        </w:rPr>
        <w:t>Personnel costs</w:t>
      </w:r>
      <w:r>
        <w:rPr>
          <w:rFonts w:ascii="Arial" w:hAnsi="Arial" w:cs="Arial"/>
          <w:b/>
          <w:bCs/>
          <w:sz w:val="20"/>
          <w:szCs w:val="20"/>
        </w:rPr>
        <w:t xml:space="preserve"> - </w:t>
      </w:r>
      <w:r w:rsidRPr="005616A1">
        <w:rPr>
          <w:rFonts w:ascii="Arial" w:hAnsi="Arial" w:cs="Arial"/>
          <w:sz w:val="20"/>
          <w:szCs w:val="20"/>
        </w:rPr>
        <w:t xml:space="preserve">zahrnují veškeré požitky zaměstnanců, osob na dohodu o provedení práce nebo dohodu o pracovní činnosti, včetně příjmů společníků a členů družstev ze závislé činnosti, odměny členům orgánů společností a náklady na zákonné i ostatní sociální pojištění. V soustavě podvojného účetnictví jsou dány rozdílem obratů strany „Má dáti“ a strany „Dal“ účtů účtové skupiny 52 - Osobní náklady. Osobní náklady obsahují i naturální plnění, jsou-li součástí mezd. </w:t>
      </w:r>
      <w:r w:rsidRPr="00551C14">
        <w:rPr>
          <w:rFonts w:ascii="Arial" w:hAnsi="Arial" w:cs="Arial"/>
          <w:i/>
          <w:sz w:val="20"/>
          <w:szCs w:val="20"/>
          <w:u w:val="single"/>
        </w:rPr>
        <w:t>Poznámka:</w:t>
      </w:r>
      <w:r w:rsidRPr="00551C14">
        <w:rPr>
          <w:rFonts w:ascii="Arial" w:hAnsi="Arial" w:cs="Arial"/>
          <w:i/>
          <w:sz w:val="20"/>
          <w:szCs w:val="20"/>
        </w:rPr>
        <w:t xml:space="preserve"> V soustavě jednoduchého účetnictví se jedná o součet mzdových výdajů a platby sociálního a zdravotního pojištění.</w:t>
      </w:r>
    </w:p>
    <w:p w:rsidR="00B252DC" w:rsidRPr="00B75480" w:rsidRDefault="00B252DC" w:rsidP="00B252DC">
      <w:pPr>
        <w:pStyle w:val="Default"/>
        <w:numPr>
          <w:ilvl w:val="0"/>
          <w:numId w:val="14"/>
        </w:numPr>
        <w:spacing w:after="120" w:line="288" w:lineRule="auto"/>
        <w:jc w:val="both"/>
        <w:rPr>
          <w:rFonts w:ascii="Arial" w:hAnsi="Arial" w:cs="Arial"/>
          <w:sz w:val="20"/>
          <w:szCs w:val="20"/>
        </w:rPr>
      </w:pPr>
      <w:r w:rsidRPr="00805D9E">
        <w:rPr>
          <w:rFonts w:ascii="Arial" w:hAnsi="Arial" w:cs="Arial"/>
          <w:b/>
          <w:sz w:val="20"/>
          <w:szCs w:val="20"/>
        </w:rPr>
        <w:t>Mzdové náklady</w:t>
      </w:r>
      <w:r>
        <w:rPr>
          <w:rFonts w:ascii="Arial" w:hAnsi="Arial" w:cs="Arial"/>
          <w:b/>
          <w:sz w:val="20"/>
          <w:szCs w:val="20"/>
        </w:rPr>
        <w:t xml:space="preserve"> bez OON</w:t>
      </w:r>
      <w:r w:rsidRPr="00805D9E">
        <w:rPr>
          <w:rFonts w:ascii="Arial" w:hAnsi="Arial" w:cs="Arial"/>
          <w:b/>
          <w:sz w:val="20"/>
          <w:szCs w:val="20"/>
        </w:rPr>
        <w:t xml:space="preserve"> </w:t>
      </w:r>
      <w:r>
        <w:rPr>
          <w:rFonts w:ascii="Arial" w:hAnsi="Arial" w:cs="Arial"/>
          <w:b/>
          <w:sz w:val="20"/>
          <w:szCs w:val="20"/>
        </w:rPr>
        <w:t xml:space="preserve">- </w:t>
      </w:r>
      <w:r w:rsidRPr="0036482F">
        <w:rPr>
          <w:rFonts w:ascii="Arial" w:hAnsi="Arial" w:cs="Arial"/>
          <w:b/>
          <w:i/>
          <w:sz w:val="20"/>
          <w:szCs w:val="20"/>
        </w:rPr>
        <w:t>Wages and salaries/Labour costs</w:t>
      </w:r>
      <w:r w:rsidRPr="00551C14">
        <w:rPr>
          <w:rFonts w:ascii="Arial" w:hAnsi="Arial" w:cs="Arial"/>
          <w:sz w:val="20"/>
          <w:szCs w:val="20"/>
        </w:rPr>
        <w:t xml:space="preserve"> </w:t>
      </w:r>
      <w:r>
        <w:rPr>
          <w:rFonts w:ascii="Arial" w:hAnsi="Arial" w:cs="Arial"/>
          <w:sz w:val="20"/>
          <w:szCs w:val="20"/>
        </w:rPr>
        <w:t xml:space="preserve">- </w:t>
      </w:r>
      <w:r w:rsidRPr="00551C14">
        <w:rPr>
          <w:rFonts w:ascii="Arial" w:hAnsi="Arial" w:cs="Arial"/>
          <w:sz w:val="20"/>
          <w:szCs w:val="20"/>
        </w:rPr>
        <w:t xml:space="preserve">zahrnují všechna peněžitá plnění (základní mzdy, osobní příplatky a ohodnocení, prémie a odměny, podíly na hospodářském výsledku a náhrady mzdy), které byly zúčtovány zaměstnancům v evidenčním počtu podle příslušných platových a mzdových předpisů. Obsahují i příjmy společníků a členů družstva, pokud jsou v pracovním poměru ke společnosti a jsou vedeni v evidenčním počtu zaměstnanců. Obsahují i odměny z použitelného zisku nebo z fondů, tvořených ze zisku. </w:t>
      </w:r>
      <w:r w:rsidRPr="00805D9E">
        <w:rPr>
          <w:rFonts w:ascii="Arial" w:hAnsi="Arial" w:cs="Arial"/>
          <w:i/>
          <w:sz w:val="20"/>
          <w:szCs w:val="20"/>
          <w:u w:val="single"/>
        </w:rPr>
        <w:t>Poznámka:</w:t>
      </w:r>
      <w:r w:rsidRPr="00805D9E">
        <w:rPr>
          <w:rFonts w:ascii="Arial" w:hAnsi="Arial" w:cs="Arial"/>
          <w:i/>
          <w:sz w:val="20"/>
          <w:szCs w:val="20"/>
        </w:rPr>
        <w:t xml:space="preserve"> Nezahrnují </w:t>
      </w:r>
      <w:r>
        <w:rPr>
          <w:rFonts w:ascii="Arial" w:hAnsi="Arial" w:cs="Arial"/>
          <w:i/>
          <w:sz w:val="20"/>
          <w:szCs w:val="20"/>
        </w:rPr>
        <w:t xml:space="preserve">OON (ostatní osobní náklady), tj. </w:t>
      </w:r>
      <w:r w:rsidRPr="00805D9E">
        <w:rPr>
          <w:rFonts w:ascii="Arial" w:hAnsi="Arial" w:cs="Arial"/>
          <w:i/>
          <w:sz w:val="20"/>
          <w:szCs w:val="20"/>
        </w:rPr>
        <w:t>plnění v souvislosti s dohodami o provedení práce nebo o činnosti a odměny členům orgánů společností, tedy plnění osobám, které nejsou zahrnuty v průměrném evidenčním počtu zaměstnanců.</w:t>
      </w:r>
    </w:p>
    <w:p w:rsidR="00B252DC" w:rsidRPr="0036482F" w:rsidRDefault="00B252DC" w:rsidP="00B252DC">
      <w:pPr>
        <w:pStyle w:val="Default"/>
        <w:numPr>
          <w:ilvl w:val="0"/>
          <w:numId w:val="14"/>
        </w:numPr>
        <w:spacing w:after="120" w:line="288" w:lineRule="auto"/>
        <w:ind w:left="357" w:hanging="357"/>
        <w:jc w:val="both"/>
        <w:rPr>
          <w:rFonts w:ascii="Arial" w:hAnsi="Arial" w:cs="Arial"/>
          <w:i/>
          <w:sz w:val="20"/>
          <w:szCs w:val="20"/>
        </w:rPr>
      </w:pPr>
      <w:r w:rsidRPr="00DE7667">
        <w:rPr>
          <w:rFonts w:ascii="Arial" w:hAnsi="Arial" w:cs="Arial"/>
          <w:b/>
          <w:sz w:val="20"/>
          <w:szCs w:val="20"/>
        </w:rPr>
        <w:t>Hospodářský výsledek po zdanění</w:t>
      </w:r>
      <w:r w:rsidRPr="00DE7667">
        <w:rPr>
          <w:rFonts w:ascii="Arial" w:hAnsi="Arial" w:cs="Arial"/>
          <w:sz w:val="20"/>
          <w:szCs w:val="20"/>
        </w:rPr>
        <w:t xml:space="preserve"> představuje rozdíl mezi výnosy celkem a náklady celkem za sledované období. Nabývá buď podoby </w:t>
      </w:r>
      <w:r w:rsidRPr="00DE7667">
        <w:rPr>
          <w:rFonts w:ascii="Arial" w:hAnsi="Arial" w:cs="Arial"/>
          <w:b/>
          <w:sz w:val="20"/>
          <w:szCs w:val="20"/>
        </w:rPr>
        <w:t>zisku</w:t>
      </w:r>
      <w:r w:rsidRPr="00DE7667">
        <w:rPr>
          <w:rFonts w:ascii="Arial" w:hAnsi="Arial" w:cs="Arial"/>
          <w:sz w:val="20"/>
          <w:szCs w:val="20"/>
        </w:rPr>
        <w:t xml:space="preserve"> (kladný výsledek hospodaření) nebo </w:t>
      </w:r>
      <w:r w:rsidRPr="00DE7667">
        <w:rPr>
          <w:rFonts w:ascii="Arial" w:hAnsi="Arial" w:cs="Arial"/>
          <w:b/>
          <w:sz w:val="20"/>
          <w:szCs w:val="20"/>
        </w:rPr>
        <w:t>ztráty</w:t>
      </w:r>
      <w:r w:rsidRPr="00DE7667">
        <w:rPr>
          <w:rFonts w:ascii="Arial" w:hAnsi="Arial" w:cs="Arial"/>
          <w:sz w:val="20"/>
          <w:szCs w:val="20"/>
        </w:rPr>
        <w:t xml:space="preserve"> (záporný výsledek hospodaření).</w:t>
      </w:r>
      <w:r>
        <w:rPr>
          <w:rFonts w:ascii="Arial" w:hAnsi="Arial" w:cs="Arial"/>
          <w:sz w:val="20"/>
          <w:szCs w:val="20"/>
        </w:rPr>
        <w:t xml:space="preserve"> </w:t>
      </w:r>
    </w:p>
    <w:p w:rsidR="00B252DC" w:rsidRDefault="00B252DC" w:rsidP="00B252DC">
      <w:pPr>
        <w:pStyle w:val="Default"/>
        <w:numPr>
          <w:ilvl w:val="0"/>
          <w:numId w:val="14"/>
        </w:numPr>
        <w:spacing w:after="60" w:line="288" w:lineRule="auto"/>
        <w:ind w:left="357" w:hanging="357"/>
        <w:jc w:val="both"/>
        <w:rPr>
          <w:rFonts w:ascii="Arial" w:hAnsi="Arial" w:cs="Arial"/>
          <w:sz w:val="20"/>
          <w:szCs w:val="20"/>
        </w:rPr>
      </w:pPr>
      <w:r w:rsidRPr="00474FD8">
        <w:rPr>
          <w:rFonts w:ascii="Arial" w:hAnsi="Arial" w:cs="Arial"/>
          <w:b/>
          <w:sz w:val="20"/>
          <w:szCs w:val="20"/>
        </w:rPr>
        <w:t xml:space="preserve">Hrubý provozní přebytek - </w:t>
      </w:r>
      <w:r w:rsidRPr="00474FD8">
        <w:rPr>
          <w:rFonts w:ascii="Arial" w:hAnsi="Arial" w:cs="Arial"/>
          <w:b/>
          <w:i/>
          <w:sz w:val="20"/>
          <w:szCs w:val="20"/>
        </w:rPr>
        <w:t>Gross operating surplus</w:t>
      </w:r>
      <w:r w:rsidRPr="00474FD8">
        <w:rPr>
          <w:rFonts w:ascii="Arial" w:hAnsi="Arial" w:cs="Arial"/>
          <w:b/>
          <w:sz w:val="20"/>
          <w:szCs w:val="20"/>
        </w:rPr>
        <w:t xml:space="preserve"> </w:t>
      </w:r>
      <w:r>
        <w:rPr>
          <w:rFonts w:ascii="Arial" w:hAnsi="Arial" w:cs="Arial"/>
          <w:b/>
          <w:sz w:val="20"/>
          <w:szCs w:val="20"/>
        </w:rPr>
        <w:t>–</w:t>
      </w:r>
      <w:r w:rsidRPr="00474FD8">
        <w:rPr>
          <w:rFonts w:ascii="Arial" w:hAnsi="Arial" w:cs="Arial"/>
          <w:b/>
          <w:sz w:val="20"/>
          <w:szCs w:val="20"/>
        </w:rPr>
        <w:t xml:space="preserve"> </w:t>
      </w:r>
      <w:r w:rsidRPr="00474FD8">
        <w:rPr>
          <w:rFonts w:ascii="Arial" w:hAnsi="Arial" w:cs="Arial"/>
          <w:sz w:val="20"/>
          <w:szCs w:val="20"/>
        </w:rPr>
        <w:t xml:space="preserve">ukazatel používaný v </w:t>
      </w:r>
      <w:r w:rsidRPr="0036052A">
        <w:rPr>
          <w:rFonts w:ascii="Arial" w:hAnsi="Arial" w:cs="Arial"/>
          <w:b/>
          <w:sz w:val="20"/>
          <w:szCs w:val="20"/>
        </w:rPr>
        <w:t>mezinárodním srovnání</w:t>
      </w:r>
      <w:r w:rsidRPr="00474FD8">
        <w:rPr>
          <w:rFonts w:ascii="Arial" w:hAnsi="Arial" w:cs="Arial"/>
          <w:sz w:val="20"/>
          <w:szCs w:val="20"/>
        </w:rPr>
        <w:t xml:space="preserve">, je založen na položkách „hrubá přidaná hodnota“ a „osobní náklady“, resp. jejich rozdílu. To znamená, že zahrnuje na straně výnosů obrat, aktivovanou produkci, ostatní provozní výnosy včetně provozních dotací a změnu stavu zásob a na straně nákladů náklady na prodané zboží, spotřebovaný materiál, služby, ostatní provozní náklady, daně a cla týkající se provozní oblasti a osobní náklady. </w:t>
      </w:r>
    </w:p>
    <w:p w:rsidR="00854361" w:rsidRPr="00EF7028" w:rsidRDefault="00854361" w:rsidP="00854361">
      <w:pPr>
        <w:pStyle w:val="Default"/>
        <w:pageBreakBefore/>
        <w:spacing w:before="120" w:after="120" w:line="288" w:lineRule="auto"/>
        <w:jc w:val="both"/>
        <w:rPr>
          <w:rFonts w:ascii="Arial" w:hAnsi="Arial" w:cs="Arial"/>
          <w:b/>
          <w:i/>
          <w:color w:val="31849B"/>
          <w:sz w:val="22"/>
          <w:szCs w:val="20"/>
        </w:rPr>
      </w:pPr>
      <w:r w:rsidRPr="00EF7028">
        <w:rPr>
          <w:rFonts w:ascii="Arial" w:hAnsi="Arial" w:cs="Arial"/>
          <w:b/>
          <w:i/>
          <w:color w:val="31849B"/>
          <w:sz w:val="22"/>
          <w:szCs w:val="20"/>
        </w:rPr>
        <w:lastRenderedPageBreak/>
        <w:t xml:space="preserve">III. Tvorba přidané hodnoty – základní výkonové ukazatele </w:t>
      </w:r>
    </w:p>
    <w:p w:rsidR="00854361" w:rsidRPr="0036482F" w:rsidRDefault="00854361" w:rsidP="00854361">
      <w:pPr>
        <w:numPr>
          <w:ilvl w:val="0"/>
          <w:numId w:val="14"/>
        </w:numPr>
        <w:spacing w:after="60"/>
        <w:ind w:left="357" w:hanging="357"/>
        <w:jc w:val="both"/>
        <w:rPr>
          <w:rFonts w:cs="Arial"/>
          <w:i/>
          <w:color w:val="000000"/>
          <w:szCs w:val="20"/>
        </w:rPr>
      </w:pPr>
      <w:r w:rsidRPr="004B7CE0">
        <w:rPr>
          <w:rFonts w:cs="Arial"/>
          <w:b/>
          <w:szCs w:val="20"/>
        </w:rPr>
        <w:t xml:space="preserve">Výkony včetně obchodní marže </w:t>
      </w:r>
      <w:r w:rsidRPr="004B7CE0">
        <w:rPr>
          <w:rFonts w:cs="Arial"/>
          <w:szCs w:val="20"/>
        </w:rPr>
        <w:t xml:space="preserve">zahrnují tržby za prodej vlastních výrobků a služeb, obchodní marži (rozdíl mezi tržbami za prodané zboží a náklady </w:t>
      </w:r>
      <w:r>
        <w:rPr>
          <w:rFonts w:cs="Arial"/>
          <w:szCs w:val="20"/>
        </w:rPr>
        <w:t xml:space="preserve">vynaloženými </w:t>
      </w:r>
      <w:r w:rsidRPr="004B7CE0">
        <w:rPr>
          <w:rFonts w:cs="Arial"/>
          <w:szCs w:val="20"/>
        </w:rPr>
        <w:t>na prodané zboží), změnu stavu zásob vlastní výroby a aktivaci materiálu, zboží, vnitropodnikových služeb a dlouhodobého majetku.</w:t>
      </w:r>
      <w:r>
        <w:rPr>
          <w:rFonts w:cs="Arial"/>
          <w:szCs w:val="20"/>
        </w:rPr>
        <w:t xml:space="preserve"> </w:t>
      </w:r>
      <w:r w:rsidRPr="007952E0">
        <w:rPr>
          <w:rFonts w:cs="Arial"/>
          <w:b/>
          <w:color w:val="000000"/>
          <w:szCs w:val="20"/>
        </w:rPr>
        <w:t>Obchodní marže</w:t>
      </w:r>
      <w:r w:rsidRPr="007952E0">
        <w:rPr>
          <w:rFonts w:cs="Arial"/>
          <w:color w:val="000000"/>
          <w:szCs w:val="20"/>
        </w:rPr>
        <w:t xml:space="preserve"> je vypočtena jako rozdíl mezi tržbami za prodej zboží a náklady vynaloženými na prodané zboží (tj. na nákup zboží, které bylo prodáno v nezměněném stavu</w:t>
      </w:r>
      <w:r w:rsidRPr="00841A29">
        <w:rPr>
          <w:rFonts w:cs="Arial"/>
          <w:color w:val="000000"/>
          <w:szCs w:val="20"/>
        </w:rPr>
        <w:t xml:space="preserve">). </w:t>
      </w:r>
    </w:p>
    <w:p w:rsidR="00854361" w:rsidRPr="00474FD8" w:rsidRDefault="00854361" w:rsidP="00854361">
      <w:pPr>
        <w:numPr>
          <w:ilvl w:val="0"/>
          <w:numId w:val="14"/>
        </w:numPr>
        <w:spacing w:after="120"/>
        <w:jc w:val="both"/>
        <w:rPr>
          <w:rFonts w:cs="Arial"/>
          <w:color w:val="000000"/>
          <w:szCs w:val="20"/>
        </w:rPr>
      </w:pPr>
      <w:r w:rsidRPr="00474FD8">
        <w:rPr>
          <w:rFonts w:cs="Arial"/>
          <w:b/>
          <w:color w:val="000000"/>
          <w:szCs w:val="20"/>
        </w:rPr>
        <w:t xml:space="preserve">Hodnota produkce </w:t>
      </w:r>
      <w:r w:rsidRPr="00474FD8">
        <w:rPr>
          <w:rFonts w:cs="Arial"/>
          <w:b/>
          <w:i/>
          <w:color w:val="000000"/>
          <w:szCs w:val="20"/>
        </w:rPr>
        <w:t>- Production value</w:t>
      </w:r>
      <w:r w:rsidRPr="00474FD8">
        <w:rPr>
          <w:rFonts w:cs="Arial"/>
          <w:b/>
          <w:color w:val="000000"/>
          <w:szCs w:val="20"/>
        </w:rPr>
        <w:t xml:space="preserve"> - </w:t>
      </w:r>
      <w:r w:rsidRPr="00474FD8">
        <w:rPr>
          <w:rFonts w:cs="Arial"/>
          <w:color w:val="000000"/>
          <w:szCs w:val="20"/>
        </w:rPr>
        <w:t xml:space="preserve"> </w:t>
      </w:r>
      <w:r>
        <w:rPr>
          <w:rFonts w:cs="Arial"/>
          <w:color w:val="000000"/>
          <w:szCs w:val="20"/>
        </w:rPr>
        <w:t xml:space="preserve">ukazatel </w:t>
      </w:r>
      <w:r w:rsidRPr="00474FD8">
        <w:rPr>
          <w:rFonts w:cs="Arial"/>
          <w:color w:val="000000"/>
          <w:szCs w:val="20"/>
        </w:rPr>
        <w:t>používan</w:t>
      </w:r>
      <w:r>
        <w:rPr>
          <w:rFonts w:cs="Arial"/>
          <w:color w:val="000000"/>
          <w:szCs w:val="20"/>
        </w:rPr>
        <w:t xml:space="preserve">ý </w:t>
      </w:r>
      <w:r w:rsidRPr="00474FD8">
        <w:rPr>
          <w:rFonts w:cs="Arial"/>
          <w:color w:val="000000"/>
          <w:szCs w:val="20"/>
        </w:rPr>
        <w:t xml:space="preserve">v </w:t>
      </w:r>
      <w:r w:rsidRPr="00474FD8">
        <w:rPr>
          <w:rFonts w:cs="Arial"/>
          <w:b/>
          <w:color w:val="000000"/>
          <w:szCs w:val="20"/>
        </w:rPr>
        <w:t>mezinárodním srovnání</w:t>
      </w:r>
      <w:r w:rsidRPr="00474FD8">
        <w:rPr>
          <w:rFonts w:cs="Arial"/>
          <w:color w:val="000000"/>
          <w:szCs w:val="20"/>
        </w:rPr>
        <w:t xml:space="preserve">, představuje výkony včetně obchodní marže zvýšené o </w:t>
      </w:r>
      <w:r>
        <w:rPr>
          <w:rFonts w:cs="Arial"/>
          <w:color w:val="000000"/>
          <w:szCs w:val="20"/>
        </w:rPr>
        <w:t xml:space="preserve">část jiných </w:t>
      </w:r>
      <w:r w:rsidRPr="00474FD8">
        <w:rPr>
          <w:rFonts w:cs="Arial"/>
          <w:color w:val="000000"/>
          <w:szCs w:val="20"/>
        </w:rPr>
        <w:t>provozní</w:t>
      </w:r>
      <w:r>
        <w:rPr>
          <w:rFonts w:cs="Arial"/>
          <w:color w:val="000000"/>
          <w:szCs w:val="20"/>
        </w:rPr>
        <w:t>ch</w:t>
      </w:r>
      <w:r w:rsidRPr="00474FD8">
        <w:rPr>
          <w:rFonts w:cs="Arial"/>
          <w:color w:val="000000"/>
          <w:szCs w:val="20"/>
        </w:rPr>
        <w:t xml:space="preserve"> výnos</w:t>
      </w:r>
      <w:r>
        <w:rPr>
          <w:rFonts w:cs="Arial"/>
          <w:color w:val="000000"/>
          <w:szCs w:val="20"/>
        </w:rPr>
        <w:t>ů</w:t>
      </w:r>
      <w:r w:rsidRPr="00474FD8">
        <w:rPr>
          <w:rFonts w:cs="Arial"/>
          <w:color w:val="000000"/>
          <w:szCs w:val="20"/>
        </w:rPr>
        <w:t xml:space="preserve">. Nezahrnuje dotace. Z pohledu Výkazu zisku a ztráty se jedná o součet </w:t>
      </w:r>
      <w:r>
        <w:rPr>
          <w:rFonts w:cs="Arial"/>
          <w:color w:val="000000"/>
          <w:szCs w:val="20"/>
        </w:rPr>
        <w:t>celkových tržeb</w:t>
      </w:r>
      <w:r w:rsidRPr="00474FD8">
        <w:rPr>
          <w:rFonts w:cs="Arial"/>
          <w:color w:val="000000"/>
          <w:szCs w:val="20"/>
        </w:rPr>
        <w:t>, a</w:t>
      </w:r>
      <w:r>
        <w:rPr>
          <w:rFonts w:cs="Arial"/>
          <w:color w:val="000000"/>
          <w:szCs w:val="20"/>
        </w:rPr>
        <w:t xml:space="preserve"> části jiných</w:t>
      </w:r>
      <w:r w:rsidRPr="00474FD8">
        <w:rPr>
          <w:rFonts w:cs="Arial"/>
          <w:color w:val="000000"/>
          <w:szCs w:val="20"/>
        </w:rPr>
        <w:t xml:space="preserve"> provozních </w:t>
      </w:r>
      <w:r>
        <w:rPr>
          <w:rFonts w:cs="Arial"/>
          <w:color w:val="000000"/>
          <w:szCs w:val="20"/>
        </w:rPr>
        <w:t>výnosů</w:t>
      </w:r>
      <w:r w:rsidRPr="00474FD8">
        <w:rPr>
          <w:rFonts w:cs="Arial"/>
          <w:color w:val="000000"/>
          <w:szCs w:val="20"/>
        </w:rPr>
        <w:t xml:space="preserve"> bez dotací na úhradu nákladů snížený o </w:t>
      </w:r>
      <w:r>
        <w:rPr>
          <w:rFonts w:cs="Arial"/>
          <w:color w:val="000000"/>
          <w:szCs w:val="20"/>
        </w:rPr>
        <w:t>n</w:t>
      </w:r>
      <w:r w:rsidRPr="00474FD8">
        <w:rPr>
          <w:rFonts w:cs="Arial"/>
          <w:color w:val="000000"/>
          <w:szCs w:val="20"/>
        </w:rPr>
        <w:t xml:space="preserve">áklady </w:t>
      </w:r>
      <w:r>
        <w:rPr>
          <w:rFonts w:cs="Arial"/>
          <w:color w:val="000000"/>
          <w:szCs w:val="20"/>
        </w:rPr>
        <w:t xml:space="preserve">vynaložené </w:t>
      </w:r>
      <w:r w:rsidRPr="00474FD8">
        <w:rPr>
          <w:rFonts w:cs="Arial"/>
          <w:color w:val="000000"/>
          <w:szCs w:val="20"/>
        </w:rPr>
        <w:t>na prodané zboží</w:t>
      </w:r>
      <w:r>
        <w:rPr>
          <w:rFonts w:cs="Arial"/>
          <w:color w:val="000000"/>
          <w:szCs w:val="20"/>
        </w:rPr>
        <w:t>, změnu stavu zásob a aktivaci</w:t>
      </w:r>
      <w:r w:rsidRPr="00474FD8">
        <w:rPr>
          <w:rFonts w:cs="Arial"/>
          <w:color w:val="000000"/>
          <w:szCs w:val="20"/>
        </w:rPr>
        <w:t>.</w:t>
      </w:r>
      <w:r>
        <w:rPr>
          <w:rFonts w:cs="Arial"/>
          <w:color w:val="000000"/>
          <w:szCs w:val="20"/>
        </w:rPr>
        <w:t xml:space="preserve"> </w:t>
      </w:r>
    </w:p>
    <w:p w:rsidR="00854361" w:rsidRPr="001B3703" w:rsidRDefault="00854361" w:rsidP="00854361">
      <w:pPr>
        <w:pStyle w:val="Default"/>
        <w:numPr>
          <w:ilvl w:val="0"/>
          <w:numId w:val="14"/>
        </w:numPr>
        <w:spacing w:after="120" w:line="288" w:lineRule="auto"/>
        <w:ind w:left="357" w:hanging="357"/>
        <w:jc w:val="both"/>
        <w:rPr>
          <w:rFonts w:ascii="Arial" w:hAnsi="Arial" w:cs="Arial"/>
          <w:i/>
          <w:sz w:val="20"/>
          <w:szCs w:val="20"/>
        </w:rPr>
      </w:pPr>
      <w:r w:rsidRPr="00841A29">
        <w:rPr>
          <w:rFonts w:ascii="Arial" w:hAnsi="Arial" w:cs="Arial"/>
          <w:b/>
          <w:sz w:val="20"/>
          <w:szCs w:val="20"/>
        </w:rPr>
        <w:t xml:space="preserve">Výkonová spotřeba </w:t>
      </w:r>
      <w:r w:rsidRPr="00841A29">
        <w:rPr>
          <w:rFonts w:ascii="Arial" w:hAnsi="Arial" w:cs="Arial"/>
          <w:sz w:val="20"/>
          <w:szCs w:val="20"/>
        </w:rPr>
        <w:t>jsou spotřebované nákupy (hodnota spotřebovaného materiálu a energií)</w:t>
      </w:r>
      <w:r>
        <w:rPr>
          <w:rFonts w:ascii="Arial" w:hAnsi="Arial" w:cs="Arial"/>
          <w:sz w:val="20"/>
          <w:szCs w:val="20"/>
        </w:rPr>
        <w:t>,</w:t>
      </w:r>
      <w:r w:rsidRPr="00841A29">
        <w:rPr>
          <w:rFonts w:ascii="Arial" w:hAnsi="Arial" w:cs="Arial"/>
          <w:sz w:val="20"/>
          <w:szCs w:val="20"/>
        </w:rPr>
        <w:t xml:space="preserve"> služby (externí služby, náklady na reprezentaci a drobný nehmotný majetek, o němž účetní jednotka rozhodla, že není dlouhodobým majetkem)</w:t>
      </w:r>
      <w:r>
        <w:rPr>
          <w:rFonts w:ascii="Arial" w:hAnsi="Arial" w:cs="Arial"/>
          <w:sz w:val="20"/>
          <w:szCs w:val="20"/>
        </w:rPr>
        <w:t xml:space="preserve"> a náklady vynaložené na prodané zboží</w:t>
      </w:r>
      <w:r w:rsidRPr="00841A29">
        <w:rPr>
          <w:rFonts w:ascii="Arial" w:hAnsi="Arial" w:cs="Arial"/>
          <w:sz w:val="20"/>
          <w:szCs w:val="20"/>
        </w:rPr>
        <w:t xml:space="preserve">. </w:t>
      </w:r>
    </w:p>
    <w:p w:rsidR="00854361" w:rsidRPr="00CC50F7" w:rsidRDefault="00854361" w:rsidP="00854361">
      <w:pPr>
        <w:pStyle w:val="Textkomente"/>
        <w:numPr>
          <w:ilvl w:val="0"/>
          <w:numId w:val="14"/>
        </w:numPr>
        <w:spacing w:after="120" w:line="288" w:lineRule="auto"/>
        <w:ind w:left="357" w:hanging="357"/>
        <w:rPr>
          <w:rFonts w:cs="Arial"/>
        </w:rPr>
      </w:pPr>
      <w:r w:rsidRPr="00B252DC">
        <w:rPr>
          <w:rFonts w:cs="Arial"/>
          <w:b/>
          <w:color w:val="000000"/>
        </w:rPr>
        <w:t xml:space="preserve">Nákup výrobků a služeb celkem - </w:t>
      </w:r>
      <w:r w:rsidRPr="00B252DC">
        <w:rPr>
          <w:rFonts w:cs="Arial"/>
          <w:b/>
          <w:i/>
          <w:color w:val="000000"/>
        </w:rPr>
        <w:t>Total purchases of goods and services</w:t>
      </w:r>
      <w:r w:rsidRPr="00B252DC">
        <w:rPr>
          <w:rFonts w:cs="Arial"/>
          <w:b/>
          <w:color w:val="000000"/>
        </w:rPr>
        <w:t xml:space="preserve"> – </w:t>
      </w:r>
      <w:r w:rsidRPr="00B252DC">
        <w:rPr>
          <w:rFonts w:cs="Arial"/>
          <w:color w:val="000000"/>
        </w:rPr>
        <w:t>ukazatel</w:t>
      </w:r>
      <w:r w:rsidRPr="00B252DC">
        <w:rPr>
          <w:rFonts w:cs="Arial"/>
          <w:b/>
          <w:color w:val="000000"/>
        </w:rPr>
        <w:t xml:space="preserve"> </w:t>
      </w:r>
      <w:r w:rsidRPr="00B252DC">
        <w:rPr>
          <w:rFonts w:cs="Arial"/>
          <w:color w:val="000000"/>
        </w:rPr>
        <w:t xml:space="preserve">používaný v </w:t>
      </w:r>
      <w:r w:rsidRPr="00B252DC">
        <w:rPr>
          <w:rFonts w:cs="Arial"/>
          <w:b/>
          <w:color w:val="000000"/>
        </w:rPr>
        <w:t xml:space="preserve">mezinárodním srovnání. </w:t>
      </w:r>
      <w:r>
        <w:rPr>
          <w:rFonts w:cs="Arial"/>
        </w:rPr>
        <w:t xml:space="preserve">Zahrnuje náklady vynaložené na prodané zboží, spotřebu materiálu a energie a náklady na služby navýšené o část jiných provozních nákladů. </w:t>
      </w:r>
    </w:p>
    <w:p w:rsidR="00854361" w:rsidRPr="001B3703" w:rsidRDefault="00854361" w:rsidP="00854361">
      <w:pPr>
        <w:pStyle w:val="Default"/>
        <w:numPr>
          <w:ilvl w:val="0"/>
          <w:numId w:val="14"/>
        </w:numPr>
        <w:spacing w:after="120" w:line="288" w:lineRule="auto"/>
        <w:ind w:left="357" w:hanging="357"/>
        <w:jc w:val="both"/>
        <w:rPr>
          <w:rFonts w:ascii="Arial" w:hAnsi="Arial" w:cs="Arial"/>
          <w:i/>
          <w:sz w:val="20"/>
          <w:szCs w:val="20"/>
        </w:rPr>
      </w:pPr>
      <w:r w:rsidRPr="00B252DC">
        <w:rPr>
          <w:rFonts w:ascii="Arial" w:hAnsi="Arial" w:cs="Arial"/>
          <w:b/>
          <w:sz w:val="20"/>
          <w:szCs w:val="20"/>
        </w:rPr>
        <w:t>Přidaná hodnota</w:t>
      </w:r>
      <w:r w:rsidRPr="00B252DC">
        <w:rPr>
          <w:rFonts w:ascii="Arial" w:hAnsi="Arial" w:cs="Arial"/>
          <w:sz w:val="20"/>
          <w:szCs w:val="20"/>
        </w:rPr>
        <w:t xml:space="preserve"> </w:t>
      </w:r>
      <w:r>
        <w:rPr>
          <w:rFonts w:ascii="Arial" w:hAnsi="Arial" w:cs="Arial"/>
          <w:sz w:val="20"/>
          <w:szCs w:val="20"/>
        </w:rPr>
        <w:t>jsou Výkony včetně obchodní marže snížené o spotřebované nákupy a služby</w:t>
      </w:r>
      <w:r w:rsidRPr="00B252DC">
        <w:rPr>
          <w:rFonts w:ascii="Arial" w:hAnsi="Arial" w:cs="Arial"/>
          <w:sz w:val="20"/>
          <w:szCs w:val="20"/>
        </w:rPr>
        <w:t>.</w:t>
      </w:r>
    </w:p>
    <w:p w:rsidR="00854361" w:rsidRDefault="00854361" w:rsidP="00854361">
      <w:pPr>
        <w:pStyle w:val="Textkomente"/>
        <w:numPr>
          <w:ilvl w:val="0"/>
          <w:numId w:val="14"/>
        </w:numPr>
        <w:spacing w:after="120" w:line="288" w:lineRule="auto"/>
        <w:rPr>
          <w:rFonts w:cs="Arial"/>
        </w:rPr>
      </w:pPr>
      <w:r w:rsidRPr="001B3703">
        <w:rPr>
          <w:rFonts w:cs="Arial"/>
          <w:b/>
        </w:rPr>
        <w:t xml:space="preserve">Přidaná hodnota v nákladech na výrobní činitele - </w:t>
      </w:r>
      <w:r w:rsidRPr="001B3703">
        <w:rPr>
          <w:rFonts w:cs="Arial"/>
          <w:b/>
          <w:i/>
        </w:rPr>
        <w:t>Value added at factor cost</w:t>
      </w:r>
      <w:r w:rsidRPr="001B3703">
        <w:rPr>
          <w:rFonts w:cs="Arial"/>
          <w:b/>
        </w:rPr>
        <w:t xml:space="preserve"> – </w:t>
      </w:r>
      <w:r w:rsidRPr="001B3703">
        <w:rPr>
          <w:rFonts w:cs="Arial"/>
        </w:rPr>
        <w:t>ukazatel používaný v</w:t>
      </w:r>
      <w:r w:rsidRPr="001B3703">
        <w:rPr>
          <w:rFonts w:cs="Arial"/>
          <w:b/>
        </w:rPr>
        <w:t> mezinárodním srovnání</w:t>
      </w:r>
      <w:r w:rsidRPr="001B3703">
        <w:rPr>
          <w:rFonts w:cs="Arial"/>
        </w:rPr>
        <w:t xml:space="preserve">, </w:t>
      </w:r>
      <w:r>
        <w:rPr>
          <w:rFonts w:cs="Arial"/>
        </w:rPr>
        <w:t>z</w:t>
      </w:r>
      <w:r>
        <w:t xml:space="preserve">ahrnuje </w:t>
      </w:r>
      <w:r>
        <w:rPr>
          <w:rFonts w:cs="Arial"/>
        </w:rPr>
        <w:t>hodnotu produkce navýšenou o dotace na úhradu nákladů a sníženou o náklady na služby, spotřebu materiálu a energie, daně a poplatky a část jiných provozních nákladů</w:t>
      </w:r>
      <w:r w:rsidRPr="005842F8">
        <w:rPr>
          <w:rFonts w:cs="Arial"/>
        </w:rPr>
        <w:t>.</w:t>
      </w:r>
    </w:p>
    <w:p w:rsidR="00B252DC" w:rsidRPr="00EF7028" w:rsidRDefault="00B252DC" w:rsidP="00B252DC">
      <w:pPr>
        <w:pStyle w:val="Default"/>
        <w:spacing w:before="360" w:after="120" w:line="288" w:lineRule="auto"/>
        <w:jc w:val="both"/>
        <w:rPr>
          <w:rFonts w:ascii="Arial" w:hAnsi="Arial" w:cs="Arial"/>
          <w:b/>
          <w:i/>
          <w:color w:val="31849B"/>
          <w:sz w:val="22"/>
          <w:szCs w:val="20"/>
        </w:rPr>
      </w:pPr>
      <w:r w:rsidRPr="00EF7028">
        <w:rPr>
          <w:rFonts w:ascii="Arial" w:hAnsi="Arial" w:cs="Arial"/>
          <w:b/>
          <w:i/>
          <w:color w:val="31849B"/>
          <w:sz w:val="22"/>
          <w:szCs w:val="20"/>
        </w:rPr>
        <w:t>I</w:t>
      </w:r>
      <w:r w:rsidR="00B2432D">
        <w:rPr>
          <w:rFonts w:ascii="Arial" w:hAnsi="Arial" w:cs="Arial"/>
          <w:b/>
          <w:i/>
          <w:color w:val="31849B"/>
          <w:sz w:val="22"/>
          <w:szCs w:val="20"/>
        </w:rPr>
        <w:t>V. Investice a výdaje na výzkum</w:t>
      </w:r>
      <w:r w:rsidRPr="00EF7028">
        <w:rPr>
          <w:rFonts w:ascii="Arial" w:hAnsi="Arial" w:cs="Arial"/>
          <w:b/>
          <w:i/>
          <w:color w:val="31849B"/>
          <w:sz w:val="22"/>
          <w:szCs w:val="20"/>
        </w:rPr>
        <w:t xml:space="preserve"> a vývoj </w:t>
      </w:r>
    </w:p>
    <w:p w:rsidR="00B252DC" w:rsidRPr="00703F70" w:rsidRDefault="00B252DC" w:rsidP="00B252DC">
      <w:pPr>
        <w:pStyle w:val="Default"/>
        <w:numPr>
          <w:ilvl w:val="0"/>
          <w:numId w:val="14"/>
        </w:numPr>
        <w:spacing w:after="60" w:line="288" w:lineRule="auto"/>
        <w:jc w:val="both"/>
        <w:rPr>
          <w:rFonts w:ascii="Arial" w:hAnsi="Arial" w:cs="Arial"/>
          <w:sz w:val="20"/>
          <w:szCs w:val="20"/>
        </w:rPr>
      </w:pPr>
      <w:r w:rsidRPr="00703F70">
        <w:rPr>
          <w:rFonts w:ascii="Arial" w:hAnsi="Arial" w:cs="Arial"/>
          <w:b/>
          <w:sz w:val="20"/>
          <w:szCs w:val="20"/>
        </w:rPr>
        <w:t xml:space="preserve">Pořízení dlouhodobého majetku </w:t>
      </w:r>
      <w:r w:rsidRPr="00703F70">
        <w:rPr>
          <w:rFonts w:ascii="Arial" w:hAnsi="Arial" w:cs="Arial"/>
          <w:sz w:val="20"/>
          <w:szCs w:val="20"/>
        </w:rPr>
        <w:t>představuje sumu výdajů, které vykazující jednotky vynaložily na pořízení dlouhodobého majetku (koupí, vytvořením vlastní činností, nabytím práv k výsledkům duševní tvořivé činnosti). Dlouhodobým majetkem se stávají věci uvedené do užívání</w:t>
      </w:r>
      <w:r w:rsidR="00747081">
        <w:rPr>
          <w:rFonts w:ascii="Arial" w:hAnsi="Arial" w:cs="Arial"/>
          <w:sz w:val="20"/>
          <w:szCs w:val="20"/>
        </w:rPr>
        <w:t xml:space="preserve">, čímž se rozumí </w:t>
      </w:r>
      <w:r w:rsidRPr="00703F70">
        <w:rPr>
          <w:rFonts w:ascii="Arial" w:hAnsi="Arial" w:cs="Arial"/>
          <w:sz w:val="20"/>
          <w:szCs w:val="20"/>
        </w:rPr>
        <w:t xml:space="preserve">zabezpečení všech technických funkcí potřebných k užívání a splnění všech povinností stanovených právními předpisy, např. stavebními, ekologickými, požárními, bezpečnostními a hygienickými. Pořízený majetek se uvádí včetně pozemků, ložisek nerostných surovin, majetku pořízeného ve sledovaném roce na finanční leasing, ale bez bezúplatného nabytí a převzetí. Pořízení dlouhodobého hmotného a nehmotného majetku je </w:t>
      </w:r>
      <w:r w:rsidR="00B93649">
        <w:rPr>
          <w:rFonts w:ascii="Arial" w:hAnsi="Arial" w:cs="Arial"/>
          <w:sz w:val="20"/>
          <w:szCs w:val="20"/>
        </w:rPr>
        <w:t xml:space="preserve">součtem </w:t>
      </w:r>
      <w:r w:rsidR="00BD27B4">
        <w:rPr>
          <w:rFonts w:ascii="Arial" w:hAnsi="Arial" w:cs="Arial"/>
          <w:sz w:val="20"/>
          <w:szCs w:val="20"/>
        </w:rPr>
        <w:t>dvou</w:t>
      </w:r>
      <w:r w:rsidR="00B93649">
        <w:rPr>
          <w:rFonts w:ascii="Arial" w:hAnsi="Arial" w:cs="Arial"/>
          <w:sz w:val="20"/>
          <w:szCs w:val="20"/>
        </w:rPr>
        <w:t xml:space="preserve"> položek:</w:t>
      </w:r>
    </w:p>
    <w:p w:rsidR="00B252DC" w:rsidRPr="0093189A" w:rsidRDefault="00B252DC" w:rsidP="00B252DC">
      <w:pPr>
        <w:pStyle w:val="Default"/>
        <w:numPr>
          <w:ilvl w:val="0"/>
          <w:numId w:val="16"/>
        </w:numPr>
        <w:tabs>
          <w:tab w:val="left" w:pos="851"/>
        </w:tabs>
        <w:spacing w:after="120" w:line="288" w:lineRule="auto"/>
        <w:ind w:left="851" w:hanging="425"/>
        <w:jc w:val="both"/>
        <w:rPr>
          <w:rFonts w:ascii="Arial" w:hAnsi="Arial" w:cs="Arial"/>
          <w:bCs/>
          <w:sz w:val="20"/>
          <w:szCs w:val="20"/>
        </w:rPr>
      </w:pPr>
      <w:r w:rsidRPr="0093189A">
        <w:rPr>
          <w:rFonts w:ascii="Arial" w:hAnsi="Arial" w:cs="Arial"/>
          <w:b/>
          <w:bCs/>
          <w:sz w:val="20"/>
          <w:szCs w:val="20"/>
        </w:rPr>
        <w:t>Pořízení dlouhodobého hmotného majetku</w:t>
      </w:r>
      <w:r w:rsidRPr="0093189A">
        <w:rPr>
          <w:rFonts w:ascii="Arial" w:hAnsi="Arial" w:cs="Arial"/>
          <w:bCs/>
          <w:sz w:val="20"/>
          <w:szCs w:val="20"/>
        </w:rPr>
        <w:t xml:space="preserve">  - </w:t>
      </w:r>
      <w:r w:rsidRPr="0093189A">
        <w:rPr>
          <w:rFonts w:ascii="Arial" w:hAnsi="Arial" w:cs="Arial"/>
          <w:b/>
          <w:bCs/>
          <w:i/>
          <w:sz w:val="20"/>
          <w:szCs w:val="20"/>
        </w:rPr>
        <w:t>Gross investment in tangible goods</w:t>
      </w:r>
      <w:r w:rsidRPr="0093189A">
        <w:rPr>
          <w:rFonts w:ascii="Arial" w:hAnsi="Arial" w:cs="Arial"/>
          <w:bCs/>
          <w:sz w:val="20"/>
          <w:szCs w:val="20"/>
        </w:rPr>
        <w:t xml:space="preserve"> </w:t>
      </w:r>
      <w:r>
        <w:rPr>
          <w:rFonts w:ascii="Arial" w:hAnsi="Arial" w:cs="Arial"/>
          <w:bCs/>
          <w:sz w:val="20"/>
          <w:szCs w:val="20"/>
        </w:rPr>
        <w:t xml:space="preserve">- </w:t>
      </w:r>
      <w:r w:rsidRPr="0093189A">
        <w:rPr>
          <w:rFonts w:ascii="Arial" w:hAnsi="Arial" w:cs="Arial"/>
          <w:bCs/>
          <w:sz w:val="20"/>
          <w:szCs w:val="20"/>
        </w:rPr>
        <w:t xml:space="preserve">neboli </w:t>
      </w:r>
      <w:r w:rsidRPr="0093189A">
        <w:rPr>
          <w:rFonts w:ascii="Arial" w:hAnsi="Arial" w:cs="Arial"/>
          <w:b/>
          <w:bCs/>
          <w:sz w:val="20"/>
          <w:szCs w:val="20"/>
        </w:rPr>
        <w:t>Hrubé investice do hmotných aktiv</w:t>
      </w:r>
      <w:r w:rsidRPr="0093189A">
        <w:rPr>
          <w:rFonts w:ascii="Arial" w:hAnsi="Arial" w:cs="Arial"/>
          <w:bCs/>
          <w:sz w:val="20"/>
          <w:szCs w:val="20"/>
        </w:rPr>
        <w:t xml:space="preserve"> zahrnují pořízení dlouhodobého hmotného majetku včetně dlouhodobého hmotného majetku najatého na finanční leasing. Nezahrnuj</w:t>
      </w:r>
      <w:r w:rsidR="00EA4831">
        <w:rPr>
          <w:rFonts w:ascii="Arial" w:hAnsi="Arial" w:cs="Arial"/>
          <w:bCs/>
          <w:sz w:val="20"/>
          <w:szCs w:val="20"/>
        </w:rPr>
        <w:t>í</w:t>
      </w:r>
      <w:r w:rsidRPr="0093189A">
        <w:rPr>
          <w:rFonts w:ascii="Arial" w:hAnsi="Arial" w:cs="Arial"/>
          <w:bCs/>
          <w:sz w:val="20"/>
          <w:szCs w:val="20"/>
        </w:rPr>
        <w:t xml:space="preserve"> bezúplatné nabytí a převzetí dlouhodobého hmotného majetku včetně nepeněžních vkladů.</w:t>
      </w:r>
    </w:p>
    <w:p w:rsidR="00B252DC" w:rsidRPr="0093189A" w:rsidRDefault="00B252DC" w:rsidP="00B252DC">
      <w:pPr>
        <w:pStyle w:val="Default"/>
        <w:numPr>
          <w:ilvl w:val="0"/>
          <w:numId w:val="16"/>
        </w:numPr>
        <w:tabs>
          <w:tab w:val="left" w:pos="851"/>
        </w:tabs>
        <w:spacing w:after="120" w:line="288" w:lineRule="auto"/>
        <w:ind w:left="851" w:hanging="425"/>
        <w:jc w:val="both"/>
        <w:rPr>
          <w:rFonts w:ascii="Arial" w:hAnsi="Arial" w:cs="Arial"/>
          <w:bCs/>
          <w:sz w:val="20"/>
          <w:szCs w:val="20"/>
        </w:rPr>
      </w:pPr>
      <w:r w:rsidRPr="0093189A">
        <w:rPr>
          <w:rFonts w:ascii="Arial" w:hAnsi="Arial" w:cs="Arial"/>
          <w:b/>
          <w:bCs/>
          <w:sz w:val="20"/>
          <w:szCs w:val="20"/>
        </w:rPr>
        <w:t>Pořízení dlouhodobého nehmotného majetku</w:t>
      </w:r>
      <w:r w:rsidRPr="0093189A">
        <w:rPr>
          <w:rFonts w:ascii="Arial" w:hAnsi="Arial" w:cs="Arial"/>
          <w:bCs/>
          <w:sz w:val="20"/>
          <w:szCs w:val="20"/>
        </w:rPr>
        <w:t xml:space="preserve"> </w:t>
      </w:r>
      <w:r w:rsidR="00C25B02">
        <w:rPr>
          <w:rFonts w:ascii="Arial" w:hAnsi="Arial" w:cs="Arial"/>
          <w:bCs/>
          <w:sz w:val="20"/>
          <w:szCs w:val="20"/>
        </w:rPr>
        <w:t xml:space="preserve">znamená </w:t>
      </w:r>
      <w:r w:rsidRPr="0093189A">
        <w:rPr>
          <w:rFonts w:ascii="Arial" w:hAnsi="Arial" w:cs="Arial"/>
          <w:bCs/>
          <w:sz w:val="20"/>
          <w:szCs w:val="20"/>
        </w:rPr>
        <w:t xml:space="preserve">investice do </w:t>
      </w:r>
      <w:r w:rsidRPr="0093189A">
        <w:rPr>
          <w:rFonts w:ascii="Arial" w:hAnsi="Arial" w:cs="Arial"/>
          <w:b/>
          <w:bCs/>
          <w:sz w:val="20"/>
          <w:szCs w:val="20"/>
        </w:rPr>
        <w:t>nehmotných aktiv</w:t>
      </w:r>
      <w:r w:rsidRPr="0093189A">
        <w:rPr>
          <w:rFonts w:ascii="Arial" w:hAnsi="Arial" w:cs="Arial"/>
          <w:bCs/>
          <w:sz w:val="20"/>
          <w:szCs w:val="20"/>
        </w:rPr>
        <w:t xml:space="preserve"> bez zahrnutí bezúplatného nabytí d</w:t>
      </w:r>
      <w:r w:rsidR="007A222A">
        <w:rPr>
          <w:rFonts w:ascii="Arial" w:hAnsi="Arial" w:cs="Arial"/>
          <w:bCs/>
          <w:sz w:val="20"/>
          <w:szCs w:val="20"/>
        </w:rPr>
        <w:t>louhodobého nehmotného majetku.</w:t>
      </w:r>
    </w:p>
    <w:p w:rsidR="00B252DC" w:rsidRPr="0093189A" w:rsidRDefault="00B252DC" w:rsidP="00B252DC">
      <w:pPr>
        <w:pStyle w:val="Default"/>
        <w:numPr>
          <w:ilvl w:val="0"/>
          <w:numId w:val="14"/>
        </w:numPr>
        <w:spacing w:after="60" w:line="288" w:lineRule="auto"/>
        <w:ind w:left="357" w:hanging="357"/>
        <w:jc w:val="both"/>
        <w:rPr>
          <w:rFonts w:ascii="Arial" w:hAnsi="Arial" w:cs="Arial"/>
          <w:i/>
          <w:sz w:val="20"/>
          <w:szCs w:val="20"/>
        </w:rPr>
      </w:pPr>
      <w:r w:rsidRPr="0093189A">
        <w:rPr>
          <w:rFonts w:ascii="Arial" w:hAnsi="Arial" w:cs="Arial"/>
          <w:b/>
          <w:sz w:val="20"/>
          <w:szCs w:val="20"/>
        </w:rPr>
        <w:t xml:space="preserve">Výdaje na výzkum a vývoj - </w:t>
      </w:r>
      <w:r w:rsidRPr="0093189A">
        <w:rPr>
          <w:rFonts w:ascii="Arial" w:hAnsi="Arial" w:cs="Arial"/>
          <w:b/>
          <w:i/>
          <w:sz w:val="20"/>
          <w:szCs w:val="20"/>
        </w:rPr>
        <w:t xml:space="preserve">Intramural R&amp;D expenditures </w:t>
      </w:r>
      <w:r>
        <w:rPr>
          <w:rFonts w:ascii="Arial" w:hAnsi="Arial" w:cs="Arial"/>
          <w:b/>
          <w:i/>
          <w:sz w:val="20"/>
          <w:szCs w:val="20"/>
        </w:rPr>
        <w:t xml:space="preserve">- </w:t>
      </w:r>
      <w:r w:rsidRPr="0093189A">
        <w:rPr>
          <w:rFonts w:ascii="Arial" w:hAnsi="Arial" w:cs="Arial"/>
          <w:sz w:val="20"/>
          <w:szCs w:val="20"/>
        </w:rPr>
        <w:t xml:space="preserve">zahrnují veškeré běžné (mzdové a ostatní neinvestiční náklady) a kapitálové (investiční) výdaje vynaložené v průběhu sledovaného roku na výzkumnou a vývojovou činnost provedenou v rámci sledovaného subjektu podnikatelského sektoru (vnitřní výdaje), a to bez ohledu na zdroj nebo formu financování této činnosti. </w:t>
      </w:r>
    </w:p>
    <w:p w:rsidR="00B252DC" w:rsidRPr="0093189A" w:rsidRDefault="00B252DC" w:rsidP="00B252DC">
      <w:pPr>
        <w:pStyle w:val="Default"/>
        <w:spacing w:after="60" w:line="288" w:lineRule="auto"/>
        <w:ind w:left="357"/>
        <w:jc w:val="both"/>
        <w:rPr>
          <w:rFonts w:ascii="Arial" w:hAnsi="Arial" w:cs="Arial"/>
          <w:i/>
          <w:sz w:val="20"/>
          <w:szCs w:val="20"/>
        </w:rPr>
      </w:pPr>
      <w:r w:rsidRPr="0093189A">
        <w:rPr>
          <w:rFonts w:ascii="Arial" w:hAnsi="Arial" w:cs="Arial"/>
          <w:i/>
          <w:sz w:val="20"/>
          <w:szCs w:val="20"/>
          <w:u w:val="single"/>
        </w:rPr>
        <w:t>Poznámka:</w:t>
      </w:r>
      <w:r w:rsidRPr="0093189A">
        <w:rPr>
          <w:rFonts w:ascii="Arial" w:hAnsi="Arial" w:cs="Arial"/>
          <w:i/>
          <w:sz w:val="20"/>
          <w:szCs w:val="20"/>
        </w:rPr>
        <w:t xml:space="preserve"> Do výdajů na výzkum a vývoj </w:t>
      </w:r>
      <w:r w:rsidRPr="0093189A">
        <w:rPr>
          <w:rFonts w:ascii="Arial" w:hAnsi="Arial" w:cs="Arial"/>
          <w:b/>
          <w:i/>
          <w:sz w:val="20"/>
          <w:szCs w:val="20"/>
        </w:rPr>
        <w:t xml:space="preserve">nepatří </w:t>
      </w:r>
      <w:r w:rsidRPr="0093189A">
        <w:rPr>
          <w:rFonts w:ascii="Arial" w:hAnsi="Arial" w:cs="Arial"/>
          <w:i/>
          <w:sz w:val="20"/>
          <w:szCs w:val="20"/>
        </w:rPr>
        <w:t>výdaje vynakládané za výzkum a vývoj provedený mimo sledovaný subjekt (Extramural R&amp;</w:t>
      </w:r>
      <w:r w:rsidR="00FF0C12">
        <w:rPr>
          <w:rFonts w:ascii="Arial" w:hAnsi="Arial" w:cs="Arial"/>
          <w:i/>
          <w:sz w:val="20"/>
          <w:szCs w:val="20"/>
        </w:rPr>
        <w:t>D  expenditures) ať už jde o:</w:t>
      </w:r>
    </w:p>
    <w:p w:rsidR="00B252DC" w:rsidRDefault="00B252DC" w:rsidP="00B252DC">
      <w:pPr>
        <w:pStyle w:val="Default"/>
        <w:numPr>
          <w:ilvl w:val="0"/>
          <w:numId w:val="17"/>
        </w:numPr>
        <w:tabs>
          <w:tab w:val="left" w:pos="851"/>
        </w:tabs>
        <w:spacing w:after="120" w:line="288" w:lineRule="auto"/>
        <w:ind w:left="851" w:hanging="425"/>
        <w:jc w:val="both"/>
        <w:rPr>
          <w:rFonts w:ascii="Arial" w:hAnsi="Arial" w:cs="Arial"/>
          <w:i/>
          <w:sz w:val="20"/>
          <w:szCs w:val="20"/>
        </w:rPr>
      </w:pPr>
      <w:r w:rsidRPr="00654EB4">
        <w:rPr>
          <w:rFonts w:ascii="Arial" w:hAnsi="Arial" w:cs="Arial"/>
          <w:i/>
          <w:sz w:val="20"/>
          <w:szCs w:val="20"/>
        </w:rPr>
        <w:t>výdaje vynaložené za nákup služeb výzkumu a vývoje od jiného subjektu nebo</w:t>
      </w:r>
    </w:p>
    <w:p w:rsidR="00B252DC" w:rsidRDefault="00B252DC" w:rsidP="00B252DC">
      <w:pPr>
        <w:pStyle w:val="Default"/>
        <w:numPr>
          <w:ilvl w:val="0"/>
          <w:numId w:val="17"/>
        </w:numPr>
        <w:tabs>
          <w:tab w:val="left" w:pos="851"/>
        </w:tabs>
        <w:spacing w:after="120" w:line="288" w:lineRule="auto"/>
        <w:ind w:left="851" w:hanging="425"/>
        <w:jc w:val="both"/>
        <w:rPr>
          <w:rFonts w:ascii="Arial" w:hAnsi="Arial" w:cs="Arial"/>
          <w:i/>
          <w:sz w:val="20"/>
          <w:szCs w:val="20"/>
        </w:rPr>
      </w:pPr>
      <w:r w:rsidRPr="00654EB4">
        <w:rPr>
          <w:rFonts w:ascii="Arial" w:hAnsi="Arial" w:cs="Arial"/>
          <w:i/>
          <w:sz w:val="20"/>
          <w:szCs w:val="20"/>
        </w:rPr>
        <w:t>finanční transfery na výzkumu a vývoj prováděný třetím subjektem.</w:t>
      </w:r>
    </w:p>
    <w:p w:rsidR="00B252DC" w:rsidRPr="0093189A" w:rsidRDefault="00B252DC" w:rsidP="00B252DC">
      <w:pPr>
        <w:pStyle w:val="Default"/>
        <w:numPr>
          <w:ilvl w:val="0"/>
          <w:numId w:val="14"/>
        </w:numPr>
        <w:spacing w:after="120" w:line="288" w:lineRule="auto"/>
        <w:jc w:val="both"/>
        <w:rPr>
          <w:rFonts w:ascii="Arial" w:hAnsi="Arial" w:cs="Arial"/>
          <w:sz w:val="20"/>
          <w:szCs w:val="20"/>
        </w:rPr>
      </w:pPr>
      <w:r w:rsidRPr="0093189A">
        <w:rPr>
          <w:rFonts w:ascii="Arial" w:hAnsi="Arial" w:cs="Arial"/>
          <w:b/>
          <w:sz w:val="20"/>
          <w:szCs w:val="20"/>
        </w:rPr>
        <w:lastRenderedPageBreak/>
        <w:t xml:space="preserve">Běžné (neinvestiční) výdaje </w:t>
      </w:r>
      <w:r>
        <w:rPr>
          <w:rFonts w:ascii="Arial" w:hAnsi="Arial" w:cs="Arial"/>
          <w:b/>
          <w:sz w:val="20"/>
          <w:szCs w:val="20"/>
        </w:rPr>
        <w:t xml:space="preserve">na výzkum a vývoj </w:t>
      </w:r>
      <w:r w:rsidRPr="0093189A">
        <w:rPr>
          <w:rFonts w:ascii="Arial" w:hAnsi="Arial" w:cs="Arial"/>
          <w:sz w:val="20"/>
          <w:szCs w:val="20"/>
        </w:rPr>
        <w:t>zahrnují:</w:t>
      </w:r>
    </w:p>
    <w:p w:rsidR="00B252DC" w:rsidRPr="0093189A" w:rsidRDefault="00B252DC" w:rsidP="00B252DC">
      <w:pPr>
        <w:pStyle w:val="Default"/>
        <w:numPr>
          <w:ilvl w:val="0"/>
          <w:numId w:val="18"/>
        </w:numPr>
        <w:tabs>
          <w:tab w:val="left" w:pos="851"/>
        </w:tabs>
        <w:spacing w:after="120" w:line="288" w:lineRule="auto"/>
        <w:ind w:left="851" w:hanging="425"/>
        <w:jc w:val="both"/>
        <w:rPr>
          <w:rFonts w:ascii="Arial" w:hAnsi="Arial" w:cs="Arial"/>
          <w:bCs/>
          <w:sz w:val="20"/>
          <w:szCs w:val="20"/>
        </w:rPr>
      </w:pPr>
      <w:r w:rsidRPr="0093189A">
        <w:rPr>
          <w:rFonts w:ascii="Arial" w:hAnsi="Arial" w:cs="Arial"/>
          <w:b/>
          <w:bCs/>
          <w:sz w:val="20"/>
          <w:szCs w:val="20"/>
        </w:rPr>
        <w:t xml:space="preserve">mzdové náklady osob zaměstnaných ve VaV </w:t>
      </w:r>
      <w:r w:rsidRPr="0093189A">
        <w:rPr>
          <w:rFonts w:ascii="Arial" w:hAnsi="Arial" w:cs="Arial"/>
          <w:bCs/>
          <w:sz w:val="20"/>
          <w:szCs w:val="20"/>
        </w:rPr>
        <w:t>včetně pojistného na zdravotní pojištění a sociální zabezpečení placeného zaměstnavatelem za zaměstnance (osobní/personální náklady),</w:t>
      </w:r>
    </w:p>
    <w:p w:rsidR="00B252DC" w:rsidRPr="0093189A" w:rsidRDefault="00B252DC" w:rsidP="00B252DC">
      <w:pPr>
        <w:pStyle w:val="Default"/>
        <w:numPr>
          <w:ilvl w:val="0"/>
          <w:numId w:val="18"/>
        </w:numPr>
        <w:tabs>
          <w:tab w:val="left" w:pos="851"/>
        </w:tabs>
        <w:spacing w:after="120" w:line="288" w:lineRule="auto"/>
        <w:ind w:left="851" w:hanging="425"/>
        <w:jc w:val="both"/>
        <w:rPr>
          <w:rFonts w:ascii="Arial" w:hAnsi="Arial" w:cs="Arial"/>
          <w:bCs/>
          <w:sz w:val="20"/>
          <w:szCs w:val="20"/>
        </w:rPr>
      </w:pPr>
      <w:r w:rsidRPr="0093189A">
        <w:rPr>
          <w:rFonts w:ascii="Arial" w:hAnsi="Arial" w:cs="Arial"/>
          <w:b/>
          <w:bCs/>
          <w:sz w:val="20"/>
          <w:szCs w:val="20"/>
        </w:rPr>
        <w:t xml:space="preserve">odměny </w:t>
      </w:r>
      <w:r w:rsidRPr="0093189A">
        <w:rPr>
          <w:rFonts w:ascii="Arial" w:hAnsi="Arial" w:cs="Arial"/>
          <w:bCs/>
          <w:sz w:val="20"/>
          <w:szCs w:val="20"/>
        </w:rPr>
        <w:t>za práce podle dohod o provedení práce a o pracovní činnosti ve VaV konané mimo pracovní poměr,</w:t>
      </w:r>
    </w:p>
    <w:p w:rsidR="00B252DC" w:rsidRPr="0093189A" w:rsidRDefault="00B252DC" w:rsidP="00B252DC">
      <w:pPr>
        <w:pStyle w:val="Default"/>
        <w:numPr>
          <w:ilvl w:val="0"/>
          <w:numId w:val="18"/>
        </w:numPr>
        <w:tabs>
          <w:tab w:val="left" w:pos="851"/>
        </w:tabs>
        <w:spacing w:after="120" w:line="288" w:lineRule="auto"/>
        <w:ind w:left="851" w:hanging="425"/>
        <w:jc w:val="both"/>
        <w:rPr>
          <w:rFonts w:ascii="Arial" w:hAnsi="Arial" w:cs="Arial"/>
          <w:bCs/>
          <w:sz w:val="20"/>
          <w:szCs w:val="20"/>
        </w:rPr>
      </w:pPr>
      <w:r w:rsidRPr="0093189A">
        <w:rPr>
          <w:rFonts w:ascii="Arial" w:hAnsi="Arial" w:cs="Arial"/>
          <w:b/>
          <w:bCs/>
          <w:sz w:val="20"/>
          <w:szCs w:val="20"/>
        </w:rPr>
        <w:t xml:space="preserve">ostatní neinvestiční náklady </w:t>
      </w:r>
      <w:r w:rsidRPr="0093189A">
        <w:rPr>
          <w:rFonts w:ascii="Arial" w:hAnsi="Arial" w:cs="Arial"/>
          <w:bCs/>
          <w:sz w:val="20"/>
          <w:szCs w:val="20"/>
        </w:rPr>
        <w:t xml:space="preserve">zahrnující spotřebu energie, materiálu a vybavení na prováděný VaV, licenční poplatky, náklady na služby na podporu prováděného VaV včetně souvisejících administrativních a ostatních režijních nákladů a podílu správní režie přímo související s prováděným VaV. V rámci podílu správní režie jsou zahrnuty především mzdové náklady na zaměstnance bezpečnostních služeb, údržby a jiných, kteří se nepřímo podílejí na provozu VaV pracovišť. </w:t>
      </w:r>
    </w:p>
    <w:p w:rsidR="00B252DC" w:rsidRPr="00C70620" w:rsidRDefault="00B252DC" w:rsidP="00B252DC">
      <w:pPr>
        <w:pStyle w:val="Default"/>
        <w:spacing w:after="120" w:line="288" w:lineRule="auto"/>
        <w:ind w:left="425"/>
        <w:jc w:val="both"/>
        <w:rPr>
          <w:rFonts w:ascii="Arial" w:hAnsi="Arial" w:cs="Arial"/>
          <w:i/>
          <w:sz w:val="20"/>
          <w:szCs w:val="20"/>
        </w:rPr>
      </w:pPr>
      <w:r w:rsidRPr="00C70620">
        <w:rPr>
          <w:rFonts w:ascii="Arial" w:hAnsi="Arial" w:cs="Arial"/>
          <w:i/>
          <w:sz w:val="20"/>
          <w:szCs w:val="20"/>
          <w:u w:val="single"/>
        </w:rPr>
        <w:t>Poznámka:</w:t>
      </w:r>
      <w:r w:rsidRPr="00C70620">
        <w:rPr>
          <w:rFonts w:ascii="Arial" w:hAnsi="Arial" w:cs="Arial"/>
          <w:i/>
          <w:sz w:val="20"/>
          <w:szCs w:val="20"/>
        </w:rPr>
        <w:t xml:space="preserve"> Veškeré náklady na odpisy budov, strojního (technického) zařízení a vybavení jsou ze statistického sledování výdajů na VaV vyloučeny.</w:t>
      </w:r>
    </w:p>
    <w:p w:rsidR="00B252DC" w:rsidRPr="00C70620" w:rsidRDefault="00B252DC" w:rsidP="00B252DC">
      <w:pPr>
        <w:pStyle w:val="Default"/>
        <w:numPr>
          <w:ilvl w:val="0"/>
          <w:numId w:val="14"/>
        </w:numPr>
        <w:spacing w:after="120" w:line="288" w:lineRule="auto"/>
        <w:jc w:val="both"/>
        <w:rPr>
          <w:rFonts w:ascii="Arial" w:hAnsi="Arial" w:cs="Arial"/>
          <w:sz w:val="20"/>
          <w:szCs w:val="20"/>
        </w:rPr>
      </w:pPr>
      <w:r>
        <w:rPr>
          <w:rFonts w:ascii="Arial" w:hAnsi="Arial" w:cs="Arial"/>
          <w:b/>
          <w:sz w:val="20"/>
          <w:szCs w:val="20"/>
        </w:rPr>
        <w:t>Kapitálové (i</w:t>
      </w:r>
      <w:r w:rsidRPr="0093189A">
        <w:rPr>
          <w:rFonts w:ascii="Arial" w:hAnsi="Arial" w:cs="Arial"/>
          <w:b/>
          <w:sz w:val="20"/>
          <w:szCs w:val="20"/>
        </w:rPr>
        <w:t>nvestiční</w:t>
      </w:r>
      <w:r>
        <w:rPr>
          <w:rFonts w:ascii="Arial" w:hAnsi="Arial" w:cs="Arial"/>
          <w:b/>
          <w:sz w:val="20"/>
          <w:szCs w:val="20"/>
        </w:rPr>
        <w:t>)</w:t>
      </w:r>
      <w:r w:rsidRPr="0093189A">
        <w:rPr>
          <w:rFonts w:ascii="Arial" w:hAnsi="Arial" w:cs="Arial"/>
          <w:b/>
          <w:sz w:val="20"/>
          <w:szCs w:val="20"/>
        </w:rPr>
        <w:t xml:space="preserve"> výdaje </w:t>
      </w:r>
      <w:r>
        <w:rPr>
          <w:rFonts w:ascii="Arial" w:hAnsi="Arial" w:cs="Arial"/>
          <w:b/>
          <w:sz w:val="20"/>
          <w:szCs w:val="20"/>
        </w:rPr>
        <w:t xml:space="preserve">na výzkum a vývoj </w:t>
      </w:r>
      <w:r w:rsidRPr="00C70620">
        <w:rPr>
          <w:rFonts w:ascii="Arial" w:hAnsi="Arial" w:cs="Arial"/>
          <w:sz w:val="20"/>
          <w:szCs w:val="20"/>
        </w:rPr>
        <w:t xml:space="preserve">zahrnují: </w:t>
      </w:r>
    </w:p>
    <w:p w:rsidR="00B252DC" w:rsidRPr="00C70620" w:rsidRDefault="00B252DC" w:rsidP="00B252DC">
      <w:pPr>
        <w:pStyle w:val="Default"/>
        <w:numPr>
          <w:ilvl w:val="0"/>
          <w:numId w:val="19"/>
        </w:numPr>
        <w:tabs>
          <w:tab w:val="left" w:pos="851"/>
        </w:tabs>
        <w:spacing w:after="120" w:line="288" w:lineRule="auto"/>
        <w:ind w:left="851" w:hanging="425"/>
        <w:jc w:val="both"/>
        <w:rPr>
          <w:rFonts w:ascii="Arial" w:hAnsi="Arial" w:cs="Arial"/>
          <w:bCs/>
          <w:sz w:val="20"/>
          <w:szCs w:val="20"/>
        </w:rPr>
      </w:pPr>
      <w:r w:rsidRPr="00C70620">
        <w:rPr>
          <w:rFonts w:ascii="Arial" w:hAnsi="Arial" w:cs="Arial"/>
          <w:b/>
          <w:bCs/>
          <w:sz w:val="20"/>
          <w:szCs w:val="20"/>
        </w:rPr>
        <w:t>pořízení pozemků</w:t>
      </w:r>
      <w:r w:rsidRPr="00C70620">
        <w:rPr>
          <w:rFonts w:ascii="Arial" w:hAnsi="Arial" w:cs="Arial"/>
          <w:bCs/>
          <w:sz w:val="20"/>
          <w:szCs w:val="20"/>
        </w:rPr>
        <w:t xml:space="preserve"> (např. pokusné pozemky, umístění pro laboratoře, resp. poloprovozní zařízení), </w:t>
      </w:r>
      <w:r w:rsidRPr="00C70620">
        <w:rPr>
          <w:rFonts w:ascii="Arial" w:hAnsi="Arial" w:cs="Arial"/>
          <w:b/>
          <w:bCs/>
          <w:sz w:val="20"/>
          <w:szCs w:val="20"/>
        </w:rPr>
        <w:t>budov a staveb</w:t>
      </w:r>
      <w:r w:rsidRPr="00C70620">
        <w:rPr>
          <w:rFonts w:ascii="Arial" w:hAnsi="Arial" w:cs="Arial"/>
          <w:bCs/>
          <w:sz w:val="20"/>
          <w:szCs w:val="20"/>
        </w:rPr>
        <w:t xml:space="preserve"> včetně jejich technického zhodnocení pro potřeby prováděného VaV ve sledovaných subjektech, </w:t>
      </w:r>
    </w:p>
    <w:p w:rsidR="00B252DC" w:rsidRPr="00C70620" w:rsidRDefault="00B252DC" w:rsidP="00B252DC">
      <w:pPr>
        <w:pStyle w:val="Default"/>
        <w:numPr>
          <w:ilvl w:val="0"/>
          <w:numId w:val="19"/>
        </w:numPr>
        <w:tabs>
          <w:tab w:val="left" w:pos="851"/>
        </w:tabs>
        <w:spacing w:after="120" w:line="288" w:lineRule="auto"/>
        <w:ind w:left="851" w:hanging="425"/>
        <w:jc w:val="both"/>
        <w:rPr>
          <w:rFonts w:ascii="Arial" w:hAnsi="Arial" w:cs="Arial"/>
          <w:bCs/>
          <w:sz w:val="20"/>
          <w:szCs w:val="20"/>
        </w:rPr>
      </w:pPr>
      <w:r w:rsidRPr="00C70620">
        <w:rPr>
          <w:rFonts w:ascii="Arial" w:hAnsi="Arial" w:cs="Arial"/>
          <w:b/>
          <w:bCs/>
          <w:sz w:val="20"/>
          <w:szCs w:val="20"/>
        </w:rPr>
        <w:t>pořízení dlouhodobého movitého hmotného majetku</w:t>
      </w:r>
      <w:r w:rsidRPr="00C70620">
        <w:rPr>
          <w:rFonts w:ascii="Arial" w:hAnsi="Arial" w:cs="Arial"/>
          <w:bCs/>
          <w:sz w:val="20"/>
          <w:szCs w:val="20"/>
        </w:rPr>
        <w:t>, tj</w:t>
      </w:r>
      <w:r>
        <w:rPr>
          <w:rFonts w:ascii="Arial" w:hAnsi="Arial" w:cs="Arial"/>
          <w:bCs/>
          <w:sz w:val="20"/>
          <w:szCs w:val="20"/>
        </w:rPr>
        <w:t>.</w:t>
      </w:r>
      <w:r w:rsidRPr="00C70620">
        <w:rPr>
          <w:rFonts w:ascii="Arial" w:hAnsi="Arial" w:cs="Arial"/>
          <w:bCs/>
          <w:sz w:val="20"/>
          <w:szCs w:val="20"/>
        </w:rPr>
        <w:t xml:space="preserve"> například strojů, přístrojů, zařízení, dopravních prostředků, pěstitelských celků trvalých porostů a dalšího technického vybavení a zařízení sloužícího k provádění VaV činnosti,</w:t>
      </w:r>
    </w:p>
    <w:p w:rsidR="00B252DC" w:rsidRPr="00C70620" w:rsidRDefault="00B252DC" w:rsidP="00B252DC">
      <w:pPr>
        <w:pStyle w:val="Default"/>
        <w:numPr>
          <w:ilvl w:val="0"/>
          <w:numId w:val="19"/>
        </w:numPr>
        <w:tabs>
          <w:tab w:val="left" w:pos="851"/>
        </w:tabs>
        <w:spacing w:after="120" w:line="288" w:lineRule="auto"/>
        <w:ind w:left="851" w:hanging="425"/>
        <w:jc w:val="both"/>
        <w:rPr>
          <w:rFonts w:ascii="Arial" w:hAnsi="Arial" w:cs="Arial"/>
          <w:bCs/>
          <w:sz w:val="20"/>
          <w:szCs w:val="20"/>
        </w:rPr>
      </w:pPr>
      <w:r w:rsidRPr="00C70620">
        <w:rPr>
          <w:rFonts w:ascii="Arial" w:hAnsi="Arial" w:cs="Arial"/>
          <w:b/>
          <w:bCs/>
          <w:sz w:val="20"/>
          <w:szCs w:val="20"/>
        </w:rPr>
        <w:t>pořízení dlouhodobého nehmotného majetku</w:t>
      </w:r>
      <w:r w:rsidRPr="00C70620">
        <w:rPr>
          <w:rFonts w:ascii="Arial" w:hAnsi="Arial" w:cs="Arial"/>
          <w:bCs/>
          <w:sz w:val="20"/>
          <w:szCs w:val="20"/>
        </w:rPr>
        <w:t xml:space="preserve">, tj. např. softwaru, výrobně technických poznatků (know-how), předmětů průmyslových práv (např. nákup patentů, průmyslových a užitných vzorů) a jiných nehmotných výsledků výzkumné, vývojové či jiné duševní tvořivé činnosti bez ohledu na to, zda jsou nebo nejsou předmětem ocenitelných práv sloužících k provádění VaV činnosti. </w:t>
      </w:r>
    </w:p>
    <w:p w:rsidR="00B252DC" w:rsidRPr="009B312E" w:rsidRDefault="00B252DC" w:rsidP="00B252DC">
      <w:pPr>
        <w:pStyle w:val="Default"/>
        <w:spacing w:before="360" w:after="120" w:line="288" w:lineRule="auto"/>
        <w:jc w:val="both"/>
        <w:rPr>
          <w:rFonts w:ascii="Arial" w:hAnsi="Arial" w:cs="Arial"/>
          <w:b/>
          <w:i/>
          <w:sz w:val="22"/>
          <w:szCs w:val="20"/>
        </w:rPr>
      </w:pPr>
      <w:r w:rsidRPr="009B312E">
        <w:rPr>
          <w:rFonts w:ascii="Arial" w:hAnsi="Arial" w:cs="Arial"/>
          <w:b/>
          <w:i/>
          <w:sz w:val="22"/>
          <w:szCs w:val="20"/>
        </w:rPr>
        <w:t xml:space="preserve">V. Základní odvozené (poměrové) ukazatele </w:t>
      </w:r>
      <w:r w:rsidRPr="009B312E">
        <w:rPr>
          <w:rFonts w:ascii="Arial" w:hAnsi="Arial" w:cs="Arial"/>
          <w:b/>
          <w:i/>
          <w:sz w:val="22"/>
          <w:szCs w:val="20"/>
        </w:rPr>
        <w:tab/>
      </w:r>
    </w:p>
    <w:p w:rsidR="00B252DC" w:rsidRPr="00F702FA" w:rsidRDefault="00B252DC" w:rsidP="00272200">
      <w:pPr>
        <w:pStyle w:val="Default"/>
        <w:numPr>
          <w:ilvl w:val="0"/>
          <w:numId w:val="14"/>
        </w:numPr>
        <w:spacing w:after="120" w:line="288" w:lineRule="auto"/>
        <w:jc w:val="both"/>
        <w:rPr>
          <w:rFonts w:ascii="Arial" w:hAnsi="Arial" w:cs="Arial"/>
          <w:i/>
          <w:sz w:val="20"/>
          <w:szCs w:val="20"/>
        </w:rPr>
      </w:pPr>
      <w:r w:rsidRPr="0036052A">
        <w:rPr>
          <w:rFonts w:ascii="Arial" w:hAnsi="Arial" w:cs="Arial"/>
          <w:b/>
          <w:sz w:val="20"/>
          <w:szCs w:val="20"/>
        </w:rPr>
        <w:t>Přidaná hodnota na zaměstnance</w:t>
      </w:r>
      <w:r w:rsidR="00E02EF7">
        <w:rPr>
          <w:rFonts w:ascii="Arial" w:hAnsi="Arial" w:cs="Arial"/>
          <w:b/>
          <w:sz w:val="20"/>
          <w:szCs w:val="20"/>
        </w:rPr>
        <w:t xml:space="preserve"> (přepočtený počet)</w:t>
      </w:r>
      <w:r w:rsidRPr="0036052A">
        <w:rPr>
          <w:rFonts w:ascii="Arial" w:hAnsi="Arial" w:cs="Arial"/>
          <w:b/>
          <w:sz w:val="20"/>
          <w:szCs w:val="20"/>
        </w:rPr>
        <w:t xml:space="preserve"> </w:t>
      </w:r>
      <w:r w:rsidRPr="0036052A">
        <w:rPr>
          <w:rFonts w:ascii="Arial" w:hAnsi="Arial" w:cs="Arial"/>
          <w:sz w:val="20"/>
          <w:szCs w:val="20"/>
        </w:rPr>
        <w:t xml:space="preserve">je vypočtena jako dělením přidané hodnoty </w:t>
      </w:r>
      <w:r w:rsidR="00272200">
        <w:rPr>
          <w:rFonts w:ascii="Arial" w:hAnsi="Arial" w:cs="Arial"/>
          <w:sz w:val="20"/>
          <w:szCs w:val="20"/>
        </w:rPr>
        <w:t xml:space="preserve">průměrným </w:t>
      </w:r>
      <w:r w:rsidR="00272200" w:rsidRPr="00272200">
        <w:rPr>
          <w:rFonts w:ascii="Arial" w:hAnsi="Arial" w:cs="Arial"/>
          <w:sz w:val="20"/>
          <w:szCs w:val="20"/>
        </w:rPr>
        <w:t>evidenční</w:t>
      </w:r>
      <w:r w:rsidR="00272200">
        <w:rPr>
          <w:rFonts w:ascii="Arial" w:hAnsi="Arial" w:cs="Arial"/>
          <w:sz w:val="20"/>
          <w:szCs w:val="20"/>
        </w:rPr>
        <w:t>m</w:t>
      </w:r>
      <w:r w:rsidR="00272200" w:rsidRPr="00272200">
        <w:rPr>
          <w:rFonts w:ascii="Arial" w:hAnsi="Arial" w:cs="Arial"/>
          <w:sz w:val="20"/>
          <w:szCs w:val="20"/>
        </w:rPr>
        <w:t xml:space="preserve"> </w:t>
      </w:r>
      <w:r w:rsidR="00272200">
        <w:rPr>
          <w:rFonts w:ascii="Arial" w:hAnsi="Arial" w:cs="Arial"/>
          <w:sz w:val="20"/>
          <w:szCs w:val="20"/>
        </w:rPr>
        <w:t xml:space="preserve">přepočteným </w:t>
      </w:r>
      <w:r w:rsidR="00272200" w:rsidRPr="00272200">
        <w:rPr>
          <w:rFonts w:ascii="Arial" w:hAnsi="Arial" w:cs="Arial"/>
          <w:sz w:val="20"/>
          <w:szCs w:val="20"/>
        </w:rPr>
        <w:t>počt</w:t>
      </w:r>
      <w:r w:rsidR="00272200">
        <w:rPr>
          <w:rFonts w:ascii="Arial" w:hAnsi="Arial" w:cs="Arial"/>
          <w:sz w:val="20"/>
          <w:szCs w:val="20"/>
        </w:rPr>
        <w:t>em</w:t>
      </w:r>
      <w:r w:rsidR="00272200" w:rsidRPr="00272200">
        <w:rPr>
          <w:rFonts w:ascii="Arial" w:hAnsi="Arial" w:cs="Arial"/>
          <w:sz w:val="20"/>
          <w:szCs w:val="20"/>
        </w:rPr>
        <w:t xml:space="preserve"> zaměstnanců</w:t>
      </w:r>
      <w:r w:rsidR="00272200">
        <w:rPr>
          <w:rFonts w:ascii="Arial" w:hAnsi="Arial" w:cs="Arial"/>
          <w:sz w:val="20"/>
          <w:szCs w:val="20"/>
        </w:rPr>
        <w:t xml:space="preserve">. </w:t>
      </w:r>
    </w:p>
    <w:p w:rsidR="00DB6AD0" w:rsidRPr="00F702FA" w:rsidRDefault="00DB6AD0" w:rsidP="00DB6AD0">
      <w:pPr>
        <w:pStyle w:val="Default"/>
        <w:numPr>
          <w:ilvl w:val="0"/>
          <w:numId w:val="14"/>
        </w:numPr>
        <w:spacing w:after="120" w:line="288" w:lineRule="auto"/>
        <w:jc w:val="both"/>
        <w:rPr>
          <w:rFonts w:ascii="Arial" w:hAnsi="Arial" w:cs="Arial"/>
          <w:i/>
          <w:sz w:val="20"/>
          <w:szCs w:val="20"/>
        </w:rPr>
      </w:pPr>
      <w:r w:rsidRPr="0036052A">
        <w:rPr>
          <w:rFonts w:ascii="Arial" w:hAnsi="Arial" w:cs="Arial"/>
          <w:b/>
          <w:sz w:val="20"/>
          <w:szCs w:val="20"/>
        </w:rPr>
        <w:t xml:space="preserve">Přidaná hodnota </w:t>
      </w:r>
      <w:r w:rsidRPr="00272200">
        <w:rPr>
          <w:rFonts w:ascii="Arial" w:hAnsi="Arial" w:cs="Arial"/>
          <w:b/>
          <w:sz w:val="20"/>
          <w:szCs w:val="20"/>
        </w:rPr>
        <w:t xml:space="preserve">v nákladech na výrobní činitele </w:t>
      </w:r>
      <w:r w:rsidRPr="0036052A">
        <w:rPr>
          <w:rFonts w:ascii="Arial" w:hAnsi="Arial" w:cs="Arial"/>
          <w:b/>
          <w:sz w:val="20"/>
          <w:szCs w:val="20"/>
        </w:rPr>
        <w:t xml:space="preserve">na zaměstnance </w:t>
      </w:r>
      <w:r w:rsidRPr="00272200">
        <w:rPr>
          <w:rFonts w:ascii="Arial" w:hAnsi="Arial" w:cs="Arial"/>
          <w:sz w:val="20"/>
          <w:szCs w:val="20"/>
        </w:rPr>
        <w:t xml:space="preserve">- ukazatel používaný v </w:t>
      </w:r>
      <w:r w:rsidRPr="00272200">
        <w:rPr>
          <w:rFonts w:ascii="Arial" w:hAnsi="Arial" w:cs="Arial"/>
          <w:b/>
          <w:sz w:val="20"/>
          <w:szCs w:val="20"/>
        </w:rPr>
        <w:t>mezinárodním srovnání</w:t>
      </w:r>
      <w:r>
        <w:rPr>
          <w:rFonts w:ascii="Arial" w:hAnsi="Arial" w:cs="Arial"/>
          <w:b/>
          <w:sz w:val="20"/>
          <w:szCs w:val="20"/>
        </w:rPr>
        <w:t>.</w:t>
      </w:r>
      <w:r>
        <w:rPr>
          <w:rFonts w:ascii="Arial" w:hAnsi="Arial" w:cs="Arial"/>
          <w:sz w:val="20"/>
          <w:szCs w:val="20"/>
        </w:rPr>
        <w:t xml:space="preserve"> </w:t>
      </w:r>
      <w:r w:rsidRPr="00F702FA">
        <w:rPr>
          <w:rFonts w:ascii="Arial" w:hAnsi="Arial" w:cs="Arial"/>
          <w:b/>
          <w:i/>
          <w:sz w:val="20"/>
          <w:szCs w:val="20"/>
        </w:rPr>
        <w:t>Apparent labour productivity</w:t>
      </w:r>
      <w:r w:rsidRPr="00F702FA">
        <w:rPr>
          <w:rFonts w:ascii="Arial" w:hAnsi="Arial" w:cs="Arial"/>
          <w:b/>
          <w:sz w:val="20"/>
          <w:szCs w:val="20"/>
        </w:rPr>
        <w:t xml:space="preserve"> </w:t>
      </w:r>
      <w:r>
        <w:rPr>
          <w:rFonts w:ascii="Arial" w:hAnsi="Arial" w:cs="Arial"/>
          <w:sz w:val="20"/>
          <w:szCs w:val="20"/>
        </w:rPr>
        <w:t xml:space="preserve">je </w:t>
      </w:r>
      <w:r w:rsidRPr="00DB6D75">
        <w:rPr>
          <w:rFonts w:ascii="Arial" w:hAnsi="Arial" w:cs="Arial"/>
          <w:sz w:val="20"/>
          <w:szCs w:val="20"/>
        </w:rPr>
        <w:t>podíl na zaměstnaných osobách ve fyzických osobách</w:t>
      </w:r>
      <w:r>
        <w:rPr>
          <w:rFonts w:ascii="Arial" w:hAnsi="Arial" w:cs="Arial"/>
          <w:sz w:val="20"/>
          <w:szCs w:val="20"/>
        </w:rPr>
        <w:t xml:space="preserve"> a </w:t>
      </w:r>
      <w:r w:rsidRPr="00DB6D75">
        <w:rPr>
          <w:rFonts w:ascii="Arial" w:hAnsi="Arial" w:cs="Arial"/>
          <w:b/>
          <w:sz w:val="20"/>
          <w:szCs w:val="20"/>
        </w:rPr>
        <w:t>Gross value added per employee FTE</w:t>
      </w:r>
      <w:r>
        <w:rPr>
          <w:rFonts w:ascii="Arial" w:hAnsi="Arial" w:cs="Arial"/>
          <w:sz w:val="20"/>
          <w:szCs w:val="20"/>
        </w:rPr>
        <w:t xml:space="preserve"> je </w:t>
      </w:r>
      <w:r w:rsidRPr="00DB6D75">
        <w:rPr>
          <w:rFonts w:ascii="Arial" w:hAnsi="Arial" w:cs="Arial"/>
          <w:sz w:val="20"/>
          <w:szCs w:val="20"/>
        </w:rPr>
        <w:t>podíl na průměrném evidenčním počtu zaměstnanců přepočteném</w:t>
      </w:r>
      <w:r>
        <w:rPr>
          <w:rFonts w:ascii="Arial" w:hAnsi="Arial" w:cs="Arial"/>
          <w:sz w:val="20"/>
          <w:szCs w:val="20"/>
        </w:rPr>
        <w:t>.</w:t>
      </w:r>
    </w:p>
    <w:p w:rsidR="00272200" w:rsidRPr="00272200" w:rsidRDefault="00B252DC" w:rsidP="00B252DC">
      <w:pPr>
        <w:pStyle w:val="Default"/>
        <w:numPr>
          <w:ilvl w:val="0"/>
          <w:numId w:val="14"/>
        </w:numPr>
        <w:spacing w:after="120" w:line="288" w:lineRule="auto"/>
        <w:ind w:left="357" w:hanging="357"/>
        <w:jc w:val="both"/>
        <w:rPr>
          <w:rFonts w:ascii="Arial" w:hAnsi="Arial" w:cs="Arial"/>
          <w:i/>
          <w:sz w:val="20"/>
          <w:szCs w:val="20"/>
        </w:rPr>
      </w:pPr>
      <w:r w:rsidRPr="0036052A">
        <w:rPr>
          <w:rFonts w:ascii="Arial" w:hAnsi="Arial" w:cs="Arial"/>
          <w:b/>
          <w:sz w:val="20"/>
          <w:szCs w:val="20"/>
        </w:rPr>
        <w:t xml:space="preserve">Podíl přidané hodnoty na výkonech </w:t>
      </w:r>
      <w:r w:rsidRPr="0036052A">
        <w:rPr>
          <w:rFonts w:ascii="Arial" w:hAnsi="Arial" w:cs="Arial"/>
          <w:sz w:val="20"/>
          <w:szCs w:val="20"/>
        </w:rPr>
        <w:t xml:space="preserve">je procentuální vyjádření podílu přidané hodnoty a výkonů včetně obchodní marže. </w:t>
      </w:r>
    </w:p>
    <w:p w:rsidR="00B252DC" w:rsidRPr="00272200" w:rsidRDefault="00B252DC" w:rsidP="00B252DC">
      <w:pPr>
        <w:pStyle w:val="Default"/>
        <w:numPr>
          <w:ilvl w:val="0"/>
          <w:numId w:val="14"/>
        </w:numPr>
        <w:spacing w:after="120" w:line="288" w:lineRule="auto"/>
        <w:ind w:left="357" w:hanging="357"/>
        <w:jc w:val="both"/>
        <w:rPr>
          <w:rFonts w:ascii="Arial" w:hAnsi="Arial" w:cs="Arial"/>
          <w:sz w:val="20"/>
          <w:szCs w:val="20"/>
        </w:rPr>
      </w:pPr>
      <w:r w:rsidRPr="00272200">
        <w:rPr>
          <w:rFonts w:ascii="Arial" w:hAnsi="Arial" w:cs="Arial"/>
          <w:b/>
          <w:sz w:val="20"/>
          <w:szCs w:val="20"/>
        </w:rPr>
        <w:t xml:space="preserve">Podíl přidané hodnoty vyjádřené v nákladech na výrobní činitele na celkové produkci </w:t>
      </w:r>
      <w:r w:rsidRPr="00272200">
        <w:rPr>
          <w:rFonts w:ascii="Arial" w:hAnsi="Arial" w:cs="Arial"/>
          <w:sz w:val="20"/>
          <w:szCs w:val="20"/>
        </w:rPr>
        <w:t xml:space="preserve">- </w:t>
      </w:r>
      <w:r w:rsidRPr="00F702FA">
        <w:rPr>
          <w:rFonts w:ascii="Arial" w:hAnsi="Arial" w:cs="Arial"/>
          <w:b/>
          <w:i/>
          <w:sz w:val="20"/>
          <w:szCs w:val="20"/>
        </w:rPr>
        <w:t>Value added at factor cost in production value</w:t>
      </w:r>
      <w:r w:rsidRPr="00272200">
        <w:rPr>
          <w:rFonts w:ascii="Arial" w:hAnsi="Arial" w:cs="Arial"/>
          <w:sz w:val="20"/>
          <w:szCs w:val="20"/>
        </w:rPr>
        <w:t xml:space="preserve"> </w:t>
      </w:r>
      <w:r w:rsidR="00272200" w:rsidRPr="00272200">
        <w:rPr>
          <w:rFonts w:ascii="Arial" w:hAnsi="Arial" w:cs="Arial"/>
          <w:sz w:val="20"/>
          <w:szCs w:val="20"/>
        </w:rPr>
        <w:t xml:space="preserve">– ukazatel </w:t>
      </w:r>
      <w:r w:rsidRPr="00272200">
        <w:rPr>
          <w:rFonts w:ascii="Arial" w:hAnsi="Arial" w:cs="Arial"/>
          <w:sz w:val="20"/>
          <w:szCs w:val="20"/>
        </w:rPr>
        <w:t>používan</w:t>
      </w:r>
      <w:r w:rsidR="00272200" w:rsidRPr="00272200">
        <w:rPr>
          <w:rFonts w:ascii="Arial" w:hAnsi="Arial" w:cs="Arial"/>
          <w:sz w:val="20"/>
          <w:szCs w:val="20"/>
        </w:rPr>
        <w:t>ý</w:t>
      </w:r>
      <w:r w:rsidRPr="00272200">
        <w:rPr>
          <w:rFonts w:ascii="Arial" w:hAnsi="Arial" w:cs="Arial"/>
          <w:sz w:val="20"/>
          <w:szCs w:val="20"/>
        </w:rPr>
        <w:t xml:space="preserve"> v </w:t>
      </w:r>
      <w:r w:rsidRPr="00272200">
        <w:rPr>
          <w:rFonts w:ascii="Arial" w:hAnsi="Arial" w:cs="Arial"/>
          <w:b/>
          <w:sz w:val="20"/>
          <w:szCs w:val="20"/>
        </w:rPr>
        <w:t>mezinárodním srovnání.</w:t>
      </w:r>
    </w:p>
    <w:p w:rsidR="00B252DC" w:rsidRPr="00AD1CF1" w:rsidRDefault="00B252DC" w:rsidP="00B252DC">
      <w:pPr>
        <w:pStyle w:val="Default"/>
        <w:numPr>
          <w:ilvl w:val="0"/>
          <w:numId w:val="14"/>
        </w:numPr>
        <w:spacing w:after="120" w:line="288" w:lineRule="auto"/>
        <w:ind w:left="357" w:hanging="357"/>
        <w:jc w:val="both"/>
        <w:rPr>
          <w:rFonts w:ascii="Arial" w:hAnsi="Arial" w:cs="Arial"/>
          <w:sz w:val="20"/>
          <w:szCs w:val="20"/>
        </w:rPr>
      </w:pPr>
      <w:r w:rsidRPr="00AD1CF1">
        <w:rPr>
          <w:rFonts w:ascii="Arial" w:hAnsi="Arial" w:cs="Arial"/>
          <w:b/>
          <w:sz w:val="20"/>
          <w:szCs w:val="20"/>
        </w:rPr>
        <w:t xml:space="preserve">Podíl </w:t>
      </w:r>
      <w:r>
        <w:rPr>
          <w:rFonts w:ascii="Arial" w:hAnsi="Arial" w:cs="Arial"/>
          <w:b/>
          <w:sz w:val="20"/>
          <w:szCs w:val="20"/>
        </w:rPr>
        <w:t xml:space="preserve">výdajů na výzkum a vývoj </w:t>
      </w:r>
      <w:r w:rsidRPr="00AD1CF1">
        <w:rPr>
          <w:rFonts w:ascii="Arial" w:hAnsi="Arial" w:cs="Arial"/>
          <w:b/>
          <w:sz w:val="20"/>
          <w:szCs w:val="20"/>
        </w:rPr>
        <w:t xml:space="preserve">na </w:t>
      </w:r>
      <w:r>
        <w:rPr>
          <w:rFonts w:ascii="Arial" w:hAnsi="Arial" w:cs="Arial"/>
          <w:b/>
          <w:sz w:val="20"/>
          <w:szCs w:val="20"/>
        </w:rPr>
        <w:t>přidané hodnotě</w:t>
      </w:r>
      <w:r w:rsidRPr="00AD1CF1">
        <w:rPr>
          <w:rFonts w:ascii="Arial" w:hAnsi="Arial" w:cs="Arial"/>
          <w:b/>
          <w:sz w:val="20"/>
          <w:szCs w:val="20"/>
        </w:rPr>
        <w:t xml:space="preserve"> </w:t>
      </w:r>
      <w:r w:rsidRPr="00AD1CF1">
        <w:rPr>
          <w:rFonts w:ascii="Arial" w:hAnsi="Arial" w:cs="Arial"/>
          <w:sz w:val="20"/>
          <w:szCs w:val="20"/>
        </w:rPr>
        <w:t xml:space="preserve">je procentuální vyjádření podílu </w:t>
      </w:r>
      <w:r>
        <w:rPr>
          <w:rFonts w:ascii="Arial" w:hAnsi="Arial" w:cs="Arial"/>
          <w:sz w:val="20"/>
          <w:szCs w:val="20"/>
        </w:rPr>
        <w:t>výdajů na výzkum a vývoj</w:t>
      </w:r>
      <w:r w:rsidRPr="00AD1CF1">
        <w:rPr>
          <w:rFonts w:ascii="Arial" w:hAnsi="Arial" w:cs="Arial"/>
          <w:sz w:val="20"/>
          <w:szCs w:val="20"/>
        </w:rPr>
        <w:t xml:space="preserve"> a </w:t>
      </w:r>
      <w:r>
        <w:rPr>
          <w:rFonts w:ascii="Arial" w:hAnsi="Arial" w:cs="Arial"/>
          <w:sz w:val="20"/>
          <w:szCs w:val="20"/>
        </w:rPr>
        <w:t>přidané hodnoty</w:t>
      </w:r>
      <w:r w:rsidRPr="00AD1CF1">
        <w:rPr>
          <w:rFonts w:ascii="Arial" w:hAnsi="Arial" w:cs="Arial"/>
          <w:sz w:val="20"/>
          <w:szCs w:val="20"/>
        </w:rPr>
        <w:t>.</w:t>
      </w:r>
    </w:p>
    <w:p w:rsidR="00B252DC" w:rsidRDefault="00B252DC" w:rsidP="00B252DC">
      <w:pPr>
        <w:pStyle w:val="Default"/>
        <w:numPr>
          <w:ilvl w:val="0"/>
          <w:numId w:val="14"/>
        </w:numPr>
        <w:spacing w:after="60" w:line="288" w:lineRule="auto"/>
        <w:ind w:left="357" w:hanging="357"/>
        <w:jc w:val="both"/>
        <w:rPr>
          <w:rFonts w:ascii="Arial" w:hAnsi="Arial" w:cs="Arial"/>
          <w:sz w:val="20"/>
          <w:szCs w:val="20"/>
        </w:rPr>
      </w:pPr>
      <w:r w:rsidRPr="00AD1CF1">
        <w:rPr>
          <w:rFonts w:ascii="Arial" w:hAnsi="Arial" w:cs="Arial"/>
          <w:b/>
          <w:sz w:val="20"/>
          <w:szCs w:val="20"/>
        </w:rPr>
        <w:t xml:space="preserve">Podíl </w:t>
      </w:r>
      <w:r>
        <w:rPr>
          <w:rFonts w:ascii="Arial" w:hAnsi="Arial" w:cs="Arial"/>
          <w:b/>
          <w:sz w:val="20"/>
          <w:szCs w:val="20"/>
        </w:rPr>
        <w:t xml:space="preserve">výdajů na výzkum a vývoj </w:t>
      </w:r>
      <w:r w:rsidRPr="00AD1CF1">
        <w:rPr>
          <w:rFonts w:ascii="Arial" w:hAnsi="Arial" w:cs="Arial"/>
          <w:b/>
          <w:sz w:val="20"/>
          <w:szCs w:val="20"/>
        </w:rPr>
        <w:t xml:space="preserve">na výkonech </w:t>
      </w:r>
      <w:r w:rsidRPr="00AD1CF1">
        <w:rPr>
          <w:rFonts w:ascii="Arial" w:hAnsi="Arial" w:cs="Arial"/>
          <w:sz w:val="20"/>
          <w:szCs w:val="20"/>
        </w:rPr>
        <w:t xml:space="preserve">je procentuální vyjádření podílu </w:t>
      </w:r>
      <w:r>
        <w:rPr>
          <w:rFonts w:ascii="Arial" w:hAnsi="Arial" w:cs="Arial"/>
          <w:sz w:val="20"/>
          <w:szCs w:val="20"/>
        </w:rPr>
        <w:t>výdajů na výzkum a vývoj</w:t>
      </w:r>
      <w:r w:rsidRPr="00AD1CF1">
        <w:rPr>
          <w:rFonts w:ascii="Arial" w:hAnsi="Arial" w:cs="Arial"/>
          <w:sz w:val="20"/>
          <w:szCs w:val="20"/>
        </w:rPr>
        <w:t xml:space="preserve"> a výkonů včetně obchodní marže.</w:t>
      </w:r>
    </w:p>
    <w:p w:rsidR="00F702FA" w:rsidRPr="00AD1CF1" w:rsidRDefault="00F702FA" w:rsidP="00F702FA">
      <w:pPr>
        <w:pStyle w:val="Default"/>
        <w:numPr>
          <w:ilvl w:val="0"/>
          <w:numId w:val="14"/>
        </w:numPr>
        <w:spacing w:after="60" w:line="288" w:lineRule="auto"/>
        <w:jc w:val="both"/>
        <w:rPr>
          <w:rFonts w:ascii="Arial" w:hAnsi="Arial" w:cs="Arial"/>
          <w:sz w:val="20"/>
          <w:szCs w:val="20"/>
        </w:rPr>
      </w:pPr>
      <w:r w:rsidRPr="00AD1CF1">
        <w:rPr>
          <w:rFonts w:ascii="Arial" w:hAnsi="Arial" w:cs="Arial"/>
          <w:b/>
          <w:sz w:val="20"/>
          <w:szCs w:val="20"/>
        </w:rPr>
        <w:t xml:space="preserve">Podíl </w:t>
      </w:r>
      <w:r>
        <w:rPr>
          <w:rFonts w:ascii="Arial" w:hAnsi="Arial" w:cs="Arial"/>
          <w:b/>
          <w:sz w:val="20"/>
          <w:szCs w:val="20"/>
        </w:rPr>
        <w:t xml:space="preserve">výdajů na výzkum a vývoj </w:t>
      </w:r>
      <w:r w:rsidRPr="00AD1CF1">
        <w:rPr>
          <w:rFonts w:ascii="Arial" w:hAnsi="Arial" w:cs="Arial"/>
          <w:b/>
          <w:sz w:val="20"/>
          <w:szCs w:val="20"/>
        </w:rPr>
        <w:t xml:space="preserve">na </w:t>
      </w:r>
      <w:r>
        <w:rPr>
          <w:rFonts w:ascii="Arial" w:hAnsi="Arial" w:cs="Arial"/>
          <w:b/>
          <w:sz w:val="20"/>
          <w:szCs w:val="20"/>
        </w:rPr>
        <w:t xml:space="preserve">produkci </w:t>
      </w:r>
      <w:r w:rsidRPr="00272200">
        <w:rPr>
          <w:rFonts w:ascii="Arial" w:hAnsi="Arial" w:cs="Arial"/>
          <w:sz w:val="20"/>
          <w:szCs w:val="20"/>
        </w:rPr>
        <w:t xml:space="preserve">- </w:t>
      </w:r>
      <w:r w:rsidRPr="00F702FA">
        <w:rPr>
          <w:rFonts w:ascii="Arial" w:hAnsi="Arial" w:cs="Arial"/>
          <w:b/>
          <w:i/>
          <w:sz w:val="20"/>
          <w:szCs w:val="20"/>
        </w:rPr>
        <w:t>Value added at factor cost in production value</w:t>
      </w:r>
      <w:r w:rsidRPr="00F702FA">
        <w:rPr>
          <w:rFonts w:ascii="Arial" w:hAnsi="Arial" w:cs="Arial"/>
          <w:b/>
          <w:sz w:val="20"/>
          <w:szCs w:val="20"/>
        </w:rPr>
        <w:t xml:space="preserve"> </w:t>
      </w:r>
      <w:r w:rsidRPr="00272200">
        <w:rPr>
          <w:rFonts w:ascii="Arial" w:hAnsi="Arial" w:cs="Arial"/>
          <w:sz w:val="20"/>
          <w:szCs w:val="20"/>
        </w:rPr>
        <w:t xml:space="preserve">– ukazatel používaný v </w:t>
      </w:r>
      <w:r w:rsidRPr="00272200">
        <w:rPr>
          <w:rFonts w:ascii="Arial" w:hAnsi="Arial" w:cs="Arial"/>
          <w:b/>
          <w:sz w:val="20"/>
          <w:szCs w:val="20"/>
        </w:rPr>
        <w:t>mezinárodním srovnání.</w:t>
      </w:r>
      <w:r w:rsidRPr="00272200">
        <w:rPr>
          <w:rFonts w:ascii="Arial" w:hAnsi="Arial" w:cs="Arial"/>
          <w:sz w:val="20"/>
          <w:szCs w:val="20"/>
        </w:rPr>
        <w:t xml:space="preserve"> </w:t>
      </w:r>
    </w:p>
    <w:p w:rsidR="00B252DC" w:rsidRPr="009B312E" w:rsidRDefault="00B252DC" w:rsidP="00B252DC">
      <w:pPr>
        <w:pStyle w:val="Default"/>
        <w:pageBreakBefore/>
        <w:spacing w:before="240" w:after="160" w:line="288" w:lineRule="auto"/>
        <w:rPr>
          <w:rFonts w:ascii="Arial" w:hAnsi="Arial" w:cs="Arial"/>
          <w:b/>
          <w:color w:val="009BB4"/>
          <w:sz w:val="32"/>
          <w:szCs w:val="32"/>
        </w:rPr>
      </w:pPr>
      <w:r w:rsidRPr="009B312E">
        <w:rPr>
          <w:rFonts w:ascii="Arial" w:hAnsi="Arial" w:cs="Arial"/>
          <w:b/>
          <w:color w:val="009BB4"/>
          <w:sz w:val="32"/>
          <w:szCs w:val="32"/>
        </w:rPr>
        <w:lastRenderedPageBreak/>
        <w:t>POUŽITÉ DATOVÉ ZDROJE</w:t>
      </w:r>
    </w:p>
    <w:p w:rsidR="00B252DC" w:rsidRPr="00B252DC" w:rsidRDefault="00B252DC" w:rsidP="00B252DC">
      <w:pPr>
        <w:pStyle w:val="Default"/>
        <w:numPr>
          <w:ilvl w:val="0"/>
          <w:numId w:val="21"/>
        </w:numPr>
        <w:spacing w:after="160" w:line="288" w:lineRule="auto"/>
        <w:ind w:left="426" w:hanging="426"/>
        <w:jc w:val="both"/>
        <w:rPr>
          <w:rFonts w:ascii="Arial" w:hAnsi="Arial" w:cs="Arial"/>
          <w:b/>
          <w:bCs/>
          <w:color w:val="009BB4"/>
          <w:sz w:val="28"/>
          <w:szCs w:val="22"/>
        </w:rPr>
      </w:pPr>
      <w:r w:rsidRPr="00B252DC">
        <w:rPr>
          <w:rFonts w:ascii="Arial" w:hAnsi="Arial" w:cs="Arial"/>
          <w:b/>
          <w:bCs/>
          <w:color w:val="009BB4"/>
          <w:sz w:val="28"/>
          <w:szCs w:val="22"/>
        </w:rPr>
        <w:t>Podniková strukturální statistika</w:t>
      </w:r>
    </w:p>
    <w:p w:rsidR="00B252DC" w:rsidRPr="00BE579D" w:rsidRDefault="00B252DC" w:rsidP="00B252DC">
      <w:pPr>
        <w:spacing w:after="120"/>
        <w:jc w:val="both"/>
        <w:rPr>
          <w:rFonts w:cs="Arial"/>
          <w:b/>
          <w:color w:val="4BACC6"/>
          <w:szCs w:val="20"/>
        </w:rPr>
      </w:pPr>
      <w:r w:rsidRPr="00BE579D">
        <w:rPr>
          <w:rFonts w:cs="Arial"/>
          <w:b/>
          <w:color w:val="4BACC6"/>
          <w:szCs w:val="20"/>
        </w:rPr>
        <w:t xml:space="preserve">Údaje za Českou republiku </w:t>
      </w:r>
    </w:p>
    <w:p w:rsidR="00B252DC" w:rsidRDefault="00B252DC" w:rsidP="00B252DC">
      <w:pPr>
        <w:spacing w:after="120"/>
        <w:jc w:val="both"/>
        <w:rPr>
          <w:rFonts w:cs="Arial"/>
          <w:szCs w:val="20"/>
        </w:rPr>
      </w:pPr>
      <w:r>
        <w:rPr>
          <w:rFonts w:cs="Arial"/>
          <w:szCs w:val="20"/>
        </w:rPr>
        <w:t xml:space="preserve">Údaje za </w:t>
      </w:r>
      <w:r w:rsidR="00AE7C9A">
        <w:rPr>
          <w:rFonts w:cs="Arial"/>
          <w:szCs w:val="20"/>
        </w:rPr>
        <w:t>odvětví informační ekonomiky (</w:t>
      </w:r>
      <w:r w:rsidR="008F7447">
        <w:rPr>
          <w:rFonts w:cs="Arial"/>
          <w:szCs w:val="20"/>
        </w:rPr>
        <w:t>ICT</w:t>
      </w:r>
      <w:r>
        <w:rPr>
          <w:rFonts w:cs="Arial"/>
          <w:szCs w:val="20"/>
        </w:rPr>
        <w:t xml:space="preserve"> sektor</w:t>
      </w:r>
      <w:r w:rsidR="00AE7C9A">
        <w:rPr>
          <w:rFonts w:cs="Arial"/>
          <w:szCs w:val="20"/>
        </w:rPr>
        <w:t xml:space="preserve"> a Informační a mediální sektor)</w:t>
      </w:r>
      <w:r>
        <w:rPr>
          <w:rFonts w:cs="Arial"/>
          <w:szCs w:val="20"/>
        </w:rPr>
        <w:t xml:space="preserve"> uvedené na těchto stránkách,</w:t>
      </w:r>
      <w:r w:rsidR="00FA4E8A">
        <w:rPr>
          <w:rFonts w:cs="Arial"/>
          <w:szCs w:val="20"/>
        </w:rPr>
        <w:t xml:space="preserve"> byly (</w:t>
      </w:r>
      <w:r w:rsidRPr="00520473">
        <w:rPr>
          <w:rFonts w:cs="Arial"/>
          <w:i/>
          <w:szCs w:val="20"/>
        </w:rPr>
        <w:t>kromě údajů za výzkum a vývoj</w:t>
      </w:r>
      <w:r w:rsidR="00FA4E8A">
        <w:rPr>
          <w:rFonts w:cs="Arial"/>
          <w:szCs w:val="20"/>
        </w:rPr>
        <w:t>)</w:t>
      </w:r>
      <w:r w:rsidRPr="00FE01BF">
        <w:rPr>
          <w:rFonts w:cs="Arial"/>
          <w:szCs w:val="20"/>
        </w:rPr>
        <w:t xml:space="preserve"> získány z výsledků </w:t>
      </w:r>
      <w:r w:rsidRPr="00FE01BF">
        <w:rPr>
          <w:rFonts w:cs="Arial"/>
          <w:b/>
          <w:szCs w:val="20"/>
        </w:rPr>
        <w:t>Podnikové strukturální statistiky</w:t>
      </w:r>
      <w:r w:rsidRPr="00FE01BF">
        <w:rPr>
          <w:rFonts w:cs="Arial"/>
          <w:szCs w:val="20"/>
        </w:rPr>
        <w:t xml:space="preserve"> </w:t>
      </w:r>
      <w:r>
        <w:rPr>
          <w:rFonts w:cs="Arial"/>
          <w:szCs w:val="20"/>
        </w:rPr>
        <w:t xml:space="preserve">- </w:t>
      </w:r>
      <w:r w:rsidRPr="00FE01BF">
        <w:rPr>
          <w:rFonts w:cs="Arial"/>
          <w:szCs w:val="20"/>
        </w:rPr>
        <w:t xml:space="preserve">známé též pod zkratkou </w:t>
      </w:r>
      <w:r w:rsidRPr="00FE01BF">
        <w:rPr>
          <w:rFonts w:cs="Arial"/>
          <w:b/>
          <w:szCs w:val="20"/>
        </w:rPr>
        <w:t xml:space="preserve">SBS (Structural </w:t>
      </w:r>
      <w:r>
        <w:rPr>
          <w:rFonts w:cs="Arial"/>
          <w:b/>
          <w:szCs w:val="20"/>
        </w:rPr>
        <w:t>B</w:t>
      </w:r>
      <w:r w:rsidRPr="00FE01BF">
        <w:rPr>
          <w:rFonts w:cs="Arial"/>
          <w:b/>
          <w:szCs w:val="20"/>
        </w:rPr>
        <w:t xml:space="preserve">usiness </w:t>
      </w:r>
      <w:r>
        <w:rPr>
          <w:rFonts w:cs="Arial"/>
          <w:b/>
          <w:szCs w:val="20"/>
        </w:rPr>
        <w:t>S</w:t>
      </w:r>
      <w:r w:rsidRPr="00FE01BF">
        <w:rPr>
          <w:rFonts w:cs="Arial"/>
          <w:b/>
          <w:szCs w:val="20"/>
        </w:rPr>
        <w:t>tatistics)</w:t>
      </w:r>
      <w:r>
        <w:rPr>
          <w:rFonts w:cs="Arial"/>
          <w:b/>
          <w:szCs w:val="20"/>
        </w:rPr>
        <w:t xml:space="preserve"> - </w:t>
      </w:r>
      <w:r w:rsidRPr="00703F70">
        <w:rPr>
          <w:rFonts w:cs="Arial"/>
          <w:szCs w:val="20"/>
        </w:rPr>
        <w:t>ekonomických subjektů vybraných produkčních odvětví</w:t>
      </w:r>
      <w:r>
        <w:rPr>
          <w:rFonts w:cs="Arial"/>
          <w:szCs w:val="20"/>
        </w:rPr>
        <w:t xml:space="preserve"> (CZ NACE sekce A až S)</w:t>
      </w:r>
      <w:r w:rsidRPr="00703F70">
        <w:rPr>
          <w:rFonts w:cs="Arial"/>
          <w:szCs w:val="20"/>
        </w:rPr>
        <w:t xml:space="preserve"> poskytujících detailnější okruh definitivních dat, které jsou ale k dispozici s větším časovým zpožděním. </w:t>
      </w:r>
      <w:r w:rsidRPr="00294495">
        <w:rPr>
          <w:rFonts w:cs="Arial"/>
          <w:szCs w:val="20"/>
        </w:rPr>
        <w:t>Data ze strukturální podnikové statistiky jsou zveřejňována v termínu T+18</w:t>
      </w:r>
      <w:r>
        <w:rPr>
          <w:rFonts w:cs="Arial"/>
          <w:szCs w:val="20"/>
        </w:rPr>
        <w:t>.</w:t>
      </w:r>
    </w:p>
    <w:p w:rsidR="00B252DC" w:rsidRDefault="00B252DC" w:rsidP="00B252DC">
      <w:pPr>
        <w:spacing w:after="120"/>
        <w:jc w:val="both"/>
        <w:rPr>
          <w:rFonts w:cs="Arial"/>
          <w:szCs w:val="20"/>
        </w:rPr>
      </w:pPr>
      <w:r w:rsidRPr="00736A7E">
        <w:rPr>
          <w:rFonts w:cs="Arial"/>
          <w:szCs w:val="20"/>
        </w:rPr>
        <w:t xml:space="preserve">Podniková strukturální statistika pokrývá </w:t>
      </w:r>
      <w:r w:rsidRPr="00453D37">
        <w:rPr>
          <w:rFonts w:cs="Arial"/>
          <w:b/>
          <w:szCs w:val="20"/>
        </w:rPr>
        <w:t>pouze</w:t>
      </w:r>
      <w:r w:rsidRPr="00736A7E">
        <w:rPr>
          <w:rFonts w:cs="Arial"/>
          <w:szCs w:val="20"/>
        </w:rPr>
        <w:t xml:space="preserve"> sektor nefinančních podniků s výjimkou veřejnoprávních institucí a bytových družstev a sektor podnikajících fyzických osob, tj. osob samostatně výdělečně činných (OSVČ). Soubor zpravodajských jednotek je vymezen na základě Registru ekonomických subjektů (RES). Podnikatelské subjekty jsou přitom přiřazovány jednotlivým odvětvím na základě hlavní (převažující) činnosti podle klasifikace CZ-NACE.</w:t>
      </w:r>
    </w:p>
    <w:p w:rsidR="00B252DC" w:rsidRPr="00294495" w:rsidRDefault="00B252DC" w:rsidP="00B252DC">
      <w:pPr>
        <w:spacing w:after="120"/>
        <w:jc w:val="both"/>
        <w:rPr>
          <w:rFonts w:cs="Arial"/>
          <w:i/>
          <w:szCs w:val="20"/>
        </w:rPr>
      </w:pPr>
      <w:r w:rsidRPr="00294495">
        <w:rPr>
          <w:rFonts w:cs="Arial"/>
          <w:i/>
          <w:szCs w:val="20"/>
          <w:u w:val="single"/>
        </w:rPr>
        <w:t>Poznámka:</w:t>
      </w:r>
      <w:r w:rsidRPr="00294495">
        <w:rPr>
          <w:rFonts w:cs="Arial"/>
          <w:i/>
          <w:szCs w:val="20"/>
        </w:rPr>
        <w:t xml:space="preserve"> </w:t>
      </w:r>
      <w:r w:rsidRPr="00294495">
        <w:rPr>
          <w:rFonts w:cs="Arial"/>
          <w:b/>
          <w:i/>
          <w:szCs w:val="20"/>
        </w:rPr>
        <w:t xml:space="preserve">Cílem </w:t>
      </w:r>
      <w:r w:rsidRPr="00294495">
        <w:rPr>
          <w:rFonts w:cs="Arial"/>
          <w:i/>
          <w:szCs w:val="20"/>
        </w:rPr>
        <w:t xml:space="preserve">této statistiky </w:t>
      </w:r>
      <w:r>
        <w:rPr>
          <w:rFonts w:cs="Arial"/>
          <w:i/>
          <w:szCs w:val="20"/>
        </w:rPr>
        <w:t xml:space="preserve">v gesci </w:t>
      </w:r>
      <w:r w:rsidRPr="00294495">
        <w:rPr>
          <w:rFonts w:cs="Arial"/>
          <w:i/>
          <w:szCs w:val="20"/>
        </w:rPr>
        <w:t>Českého statistického úřadu je získání nekonsolidovaných údajů o finančních ukazatelích podle Českých účetních standardů. Údaje z SBS jsou využívány i pro splnění povinnosti vyplývající z </w:t>
      </w:r>
      <w:r w:rsidRPr="00294495">
        <w:rPr>
          <w:rFonts w:cs="Arial"/>
          <w:b/>
          <w:i/>
          <w:szCs w:val="20"/>
        </w:rPr>
        <w:t>nařízení</w:t>
      </w:r>
      <w:r w:rsidRPr="00294495">
        <w:rPr>
          <w:rFonts w:cs="Arial"/>
          <w:i/>
          <w:szCs w:val="20"/>
        </w:rPr>
        <w:t xml:space="preserve"> Evropského parlamentu a Rady (ES) č. 295/2008 ze dne 11. března 2008 o strukturální statistice podniků, </w:t>
      </w:r>
      <w:r w:rsidRPr="00294495">
        <w:rPr>
          <w:rFonts w:cs="Arial"/>
          <w:b/>
          <w:i/>
          <w:szCs w:val="20"/>
        </w:rPr>
        <w:t xml:space="preserve">k propočtu </w:t>
      </w:r>
      <w:r w:rsidRPr="00294495">
        <w:rPr>
          <w:rFonts w:cs="Arial"/>
          <w:i/>
          <w:szCs w:val="20"/>
        </w:rPr>
        <w:t xml:space="preserve">úplných sestav makroekonomických ukazatelů v rámci ročních národních účtů a </w:t>
      </w:r>
      <w:r w:rsidRPr="00294495">
        <w:rPr>
          <w:rFonts w:cs="Arial"/>
          <w:b/>
          <w:i/>
          <w:szCs w:val="20"/>
        </w:rPr>
        <w:t>pro vyhodnocení</w:t>
      </w:r>
      <w:r w:rsidRPr="00294495">
        <w:rPr>
          <w:rFonts w:cs="Arial"/>
          <w:i/>
          <w:szCs w:val="20"/>
        </w:rPr>
        <w:t xml:space="preserve"> celoročního ekonomického vývoje ve vybraných odvětvích včetně strukturálních změn odvětvového i věcného charakteru.</w:t>
      </w:r>
    </w:p>
    <w:p w:rsidR="00B252DC" w:rsidRDefault="00B252DC" w:rsidP="00B252DC">
      <w:pPr>
        <w:spacing w:after="120"/>
        <w:jc w:val="both"/>
        <w:rPr>
          <w:rFonts w:cs="Arial"/>
          <w:szCs w:val="20"/>
        </w:rPr>
      </w:pPr>
      <w:r w:rsidRPr="00736A7E">
        <w:rPr>
          <w:rFonts w:cs="Arial"/>
          <w:b/>
          <w:szCs w:val="20"/>
        </w:rPr>
        <w:t>Zdrojová data</w:t>
      </w:r>
      <w:r w:rsidRPr="00520473">
        <w:rPr>
          <w:rFonts w:cs="Arial"/>
          <w:szCs w:val="20"/>
        </w:rPr>
        <w:t xml:space="preserve"> </w:t>
      </w:r>
      <w:r w:rsidRPr="001104EE">
        <w:rPr>
          <w:rFonts w:cs="Arial"/>
          <w:szCs w:val="20"/>
        </w:rPr>
        <w:t xml:space="preserve">Podnikové strukturální statistiky </w:t>
      </w:r>
      <w:r w:rsidRPr="00520473">
        <w:rPr>
          <w:rFonts w:cs="Arial"/>
          <w:szCs w:val="20"/>
        </w:rPr>
        <w:t>vycházejí z kombinace vlastních šetření ČSÚ a administrativních dat. V případě právnických osob a fyzických osob zapsaných v Obchodním rejstříku je primárním zdrojem šetření P 5-01</w:t>
      </w:r>
      <w:r w:rsidR="006C338F">
        <w:rPr>
          <w:rFonts w:cs="Arial"/>
          <w:szCs w:val="20"/>
        </w:rPr>
        <w:t xml:space="preserve"> ČSÚ</w:t>
      </w:r>
      <w:r w:rsidRPr="00520473">
        <w:rPr>
          <w:rFonts w:cs="Arial"/>
          <w:szCs w:val="20"/>
        </w:rPr>
        <w:t>. V</w:t>
      </w:r>
      <w:r>
        <w:rPr>
          <w:rFonts w:cs="Arial"/>
          <w:szCs w:val="20"/>
        </w:rPr>
        <w:t> </w:t>
      </w:r>
      <w:r w:rsidRPr="00520473">
        <w:rPr>
          <w:rFonts w:cs="Arial"/>
          <w:szCs w:val="20"/>
        </w:rPr>
        <w:t>případě fyzických osob nezapsaných v obchodním rejstříku se výsledky do roku 2009 opíraly o specifické šetření P</w:t>
      </w:r>
      <w:r>
        <w:rPr>
          <w:rFonts w:cs="Arial"/>
          <w:szCs w:val="20"/>
        </w:rPr>
        <w:t> </w:t>
      </w:r>
      <w:r w:rsidRPr="00520473">
        <w:rPr>
          <w:rFonts w:cs="Arial"/>
          <w:szCs w:val="20"/>
        </w:rPr>
        <w:t>4-</w:t>
      </w:r>
      <w:r>
        <w:rPr>
          <w:rFonts w:cs="Arial"/>
          <w:szCs w:val="20"/>
        </w:rPr>
        <w:t>0</w:t>
      </w:r>
      <w:r w:rsidRPr="00520473">
        <w:rPr>
          <w:rFonts w:cs="Arial"/>
          <w:szCs w:val="20"/>
        </w:rPr>
        <w:t>1</w:t>
      </w:r>
      <w:r w:rsidR="006C338F">
        <w:rPr>
          <w:rFonts w:cs="Arial"/>
          <w:szCs w:val="20"/>
        </w:rPr>
        <w:t xml:space="preserve"> ČSÚ</w:t>
      </w:r>
      <w:r w:rsidRPr="00520473">
        <w:rPr>
          <w:rFonts w:cs="Arial"/>
          <w:szCs w:val="20"/>
        </w:rPr>
        <w:t xml:space="preserve">, které bylo od roku 2010 nahrazeno </w:t>
      </w:r>
      <w:r w:rsidR="00BF3E31">
        <w:rPr>
          <w:rFonts w:cs="Arial"/>
          <w:szCs w:val="20"/>
        </w:rPr>
        <w:t xml:space="preserve">statistickým </w:t>
      </w:r>
      <w:r w:rsidRPr="00520473">
        <w:rPr>
          <w:rFonts w:cs="Arial"/>
          <w:szCs w:val="20"/>
        </w:rPr>
        <w:t xml:space="preserve">modelem založeným na administrativních zdrojích dat. Výsledky reprezentují údaje za populaci aktivních podnikatelských subjektů, tzn. právnických osob nebo fyzických osob, které mají postavení podnikatele. </w:t>
      </w:r>
    </w:p>
    <w:p w:rsidR="00B252DC" w:rsidRPr="001104EE" w:rsidRDefault="00B252DC" w:rsidP="00B252DC">
      <w:pPr>
        <w:spacing w:after="120"/>
        <w:jc w:val="both"/>
        <w:rPr>
          <w:rFonts w:cs="Arial"/>
          <w:i/>
          <w:szCs w:val="20"/>
        </w:rPr>
      </w:pPr>
      <w:r w:rsidRPr="001104EE">
        <w:rPr>
          <w:rFonts w:cs="Arial"/>
          <w:i/>
          <w:szCs w:val="20"/>
          <w:u w:val="single"/>
        </w:rPr>
        <w:t>Poznámka:</w:t>
      </w:r>
      <w:r w:rsidRPr="001104EE">
        <w:rPr>
          <w:rFonts w:cs="Arial"/>
          <w:i/>
          <w:szCs w:val="20"/>
        </w:rPr>
        <w:t xml:space="preserve"> Budu-li data uvedená na těchto stránkách (což platí i pro metodicky shodné ukazatele) porovnávána s daty z jiných šetření s rozdílnou periodicitou</w:t>
      </w:r>
      <w:r>
        <w:rPr>
          <w:rFonts w:cs="Arial"/>
          <w:i/>
          <w:szCs w:val="20"/>
        </w:rPr>
        <w:t xml:space="preserve"> </w:t>
      </w:r>
      <w:r w:rsidRPr="001104EE">
        <w:rPr>
          <w:rFonts w:cs="Arial"/>
          <w:i/>
          <w:szCs w:val="20"/>
        </w:rPr>
        <w:t xml:space="preserve">(měsíční či čtvrtletní), budou se kvantitativně </w:t>
      </w:r>
      <w:r w:rsidRPr="001104EE">
        <w:rPr>
          <w:rFonts w:cs="Arial"/>
          <w:b/>
          <w:i/>
          <w:szCs w:val="20"/>
        </w:rPr>
        <w:t>lišit.</w:t>
      </w:r>
      <w:r w:rsidRPr="001104EE">
        <w:rPr>
          <w:rFonts w:cs="Arial"/>
          <w:i/>
          <w:szCs w:val="20"/>
        </w:rPr>
        <w:t xml:space="preserve"> Rozdíly jsou zapříčiněny odlišným stavem Registru ekonomických subjektů k datu generování šetřeného souboru, různým výběrovým souborem, metodou dopočtů na základní soubor a v případě ročních dat i</w:t>
      </w:r>
      <w:r>
        <w:rPr>
          <w:rFonts w:cs="Arial"/>
          <w:i/>
          <w:szCs w:val="20"/>
        </w:rPr>
        <w:t> </w:t>
      </w:r>
      <w:r w:rsidRPr="001104EE">
        <w:rPr>
          <w:rFonts w:cs="Arial"/>
          <w:i/>
          <w:szCs w:val="20"/>
        </w:rPr>
        <w:t>uzávěrkovými operacemi</w:t>
      </w:r>
      <w:r>
        <w:rPr>
          <w:rFonts w:cs="Arial"/>
          <w:i/>
          <w:szCs w:val="20"/>
        </w:rPr>
        <w:t xml:space="preserve">, které </w:t>
      </w:r>
      <w:r w:rsidRPr="001104EE">
        <w:rPr>
          <w:rFonts w:cs="Arial"/>
          <w:i/>
          <w:szCs w:val="20"/>
        </w:rPr>
        <w:t>nejsou zachyceny v měsíčních či čtvrtletních datech</w:t>
      </w:r>
      <w:r>
        <w:rPr>
          <w:rFonts w:cs="Arial"/>
          <w:i/>
          <w:szCs w:val="20"/>
        </w:rPr>
        <w:t xml:space="preserve">. </w:t>
      </w:r>
      <w:r w:rsidRPr="001104EE">
        <w:rPr>
          <w:rFonts w:cs="Arial"/>
          <w:i/>
          <w:szCs w:val="20"/>
        </w:rPr>
        <w:t>Stejně tak se tato data z metodických důvodů liší od údajů Ročních národních účtů.</w:t>
      </w:r>
    </w:p>
    <w:p w:rsidR="00B252DC" w:rsidRPr="00BE579D" w:rsidRDefault="00B252DC" w:rsidP="00B252DC">
      <w:pPr>
        <w:spacing w:after="120"/>
        <w:jc w:val="both"/>
        <w:rPr>
          <w:rFonts w:cs="Arial"/>
          <w:b/>
          <w:color w:val="4BACC6"/>
          <w:szCs w:val="20"/>
        </w:rPr>
      </w:pPr>
      <w:r w:rsidRPr="00BE579D">
        <w:rPr>
          <w:rFonts w:cs="Arial"/>
          <w:b/>
          <w:color w:val="4BACC6"/>
          <w:szCs w:val="20"/>
        </w:rPr>
        <w:t xml:space="preserve">Mezinárodní srovnání </w:t>
      </w:r>
    </w:p>
    <w:p w:rsidR="00F96C6F" w:rsidRDefault="00B252DC" w:rsidP="00982AA4">
      <w:pPr>
        <w:spacing w:after="120"/>
        <w:jc w:val="both"/>
        <w:rPr>
          <w:rFonts w:cs="Arial"/>
          <w:szCs w:val="20"/>
        </w:rPr>
      </w:pPr>
      <w:r w:rsidRPr="00294495">
        <w:rPr>
          <w:rFonts w:cs="Arial"/>
          <w:szCs w:val="20"/>
        </w:rPr>
        <w:t xml:space="preserve">Údaje pro </w:t>
      </w:r>
      <w:r w:rsidRPr="00294495">
        <w:rPr>
          <w:rFonts w:cs="Arial"/>
          <w:b/>
          <w:szCs w:val="20"/>
        </w:rPr>
        <w:t>mezinárodní srovnání</w:t>
      </w:r>
      <w:r>
        <w:rPr>
          <w:rFonts w:cs="Arial"/>
          <w:b/>
          <w:szCs w:val="20"/>
        </w:rPr>
        <w:t xml:space="preserve">, </w:t>
      </w:r>
      <w:r w:rsidR="00B2432D">
        <w:rPr>
          <w:rFonts w:cs="Arial"/>
          <w:i/>
          <w:szCs w:val="20"/>
        </w:rPr>
        <w:t>kromě údajů za výzkum</w:t>
      </w:r>
      <w:r w:rsidRPr="00294495">
        <w:rPr>
          <w:rFonts w:cs="Arial"/>
          <w:i/>
          <w:szCs w:val="20"/>
        </w:rPr>
        <w:t xml:space="preserve"> a vývoj,</w:t>
      </w:r>
      <w:r w:rsidRPr="00294495">
        <w:rPr>
          <w:rFonts w:cs="Arial"/>
          <w:szCs w:val="20"/>
        </w:rPr>
        <w:t xml:space="preserve"> </w:t>
      </w:r>
      <w:r>
        <w:rPr>
          <w:rFonts w:cs="Arial"/>
          <w:szCs w:val="20"/>
        </w:rPr>
        <w:t xml:space="preserve">byly zpracovány ČSÚ z volně dostupných údajů </w:t>
      </w:r>
      <w:r w:rsidRPr="00294495">
        <w:rPr>
          <w:rFonts w:cs="Arial"/>
          <w:szCs w:val="20"/>
        </w:rPr>
        <w:t>pocházejí</w:t>
      </w:r>
      <w:r>
        <w:rPr>
          <w:rFonts w:cs="Arial"/>
          <w:szCs w:val="20"/>
        </w:rPr>
        <w:t xml:space="preserve">cích </w:t>
      </w:r>
      <w:r w:rsidRPr="00294495">
        <w:rPr>
          <w:rFonts w:cs="Arial"/>
          <w:szCs w:val="20"/>
        </w:rPr>
        <w:t>z</w:t>
      </w:r>
      <w:r w:rsidR="00E96428">
        <w:rPr>
          <w:rFonts w:cs="Arial"/>
          <w:szCs w:val="20"/>
        </w:rPr>
        <w:t xml:space="preserve"> SBS databáze </w:t>
      </w:r>
      <w:r w:rsidRPr="00294495">
        <w:rPr>
          <w:rFonts w:cs="Arial"/>
          <w:szCs w:val="20"/>
        </w:rPr>
        <w:t>Eurostatu</w:t>
      </w:r>
      <w:r>
        <w:rPr>
          <w:rFonts w:cs="Arial"/>
          <w:szCs w:val="20"/>
        </w:rPr>
        <w:t>. Podrobně</w:t>
      </w:r>
      <w:r w:rsidR="00215644">
        <w:rPr>
          <w:rFonts w:cs="Arial"/>
          <w:szCs w:val="20"/>
        </w:rPr>
        <w:t>j</w:t>
      </w:r>
      <w:r w:rsidR="005757EE">
        <w:rPr>
          <w:rFonts w:cs="Arial"/>
          <w:szCs w:val="20"/>
        </w:rPr>
        <w:t xml:space="preserve">ší informace jsou k nalezení pod </w:t>
      </w:r>
      <w:r>
        <w:rPr>
          <w:rFonts w:cs="Arial"/>
          <w:szCs w:val="20"/>
        </w:rPr>
        <w:t>následující</w:t>
      </w:r>
      <w:r w:rsidR="005757EE">
        <w:rPr>
          <w:rFonts w:cs="Arial"/>
          <w:szCs w:val="20"/>
        </w:rPr>
        <w:t>m</w:t>
      </w:r>
      <w:r>
        <w:rPr>
          <w:rFonts w:cs="Arial"/>
          <w:szCs w:val="20"/>
        </w:rPr>
        <w:t xml:space="preserve"> odkaz</w:t>
      </w:r>
      <w:r w:rsidR="005757EE">
        <w:rPr>
          <w:rFonts w:cs="Arial"/>
          <w:szCs w:val="20"/>
        </w:rPr>
        <w:t>em</w:t>
      </w:r>
      <w:r w:rsidRPr="00294495">
        <w:rPr>
          <w:rFonts w:cs="Arial"/>
          <w:szCs w:val="20"/>
        </w:rPr>
        <w:t>:</w:t>
      </w:r>
      <w:bookmarkStart w:id="1" w:name="_GoBack"/>
      <w:bookmarkEnd w:id="1"/>
    </w:p>
    <w:p w:rsidR="00B252DC" w:rsidRDefault="00B2432D" w:rsidP="00B252DC">
      <w:pPr>
        <w:spacing w:after="120"/>
        <w:jc w:val="both"/>
        <w:rPr>
          <w:rFonts w:cs="Arial"/>
          <w:szCs w:val="20"/>
        </w:rPr>
      </w:pPr>
      <w:hyperlink r:id="rId8" w:history="1">
        <w:r w:rsidR="00B252DC" w:rsidRPr="00AF2543">
          <w:rPr>
            <w:rStyle w:val="Hypertextovodkaz"/>
            <w:rFonts w:eastAsia="MS Gothic" w:cs="Arial"/>
            <w:szCs w:val="20"/>
          </w:rPr>
          <w:t>http://ec.europa.eu/eurostat/web/structural-business-statistics/overview</w:t>
        </w:r>
      </w:hyperlink>
      <w:r w:rsidR="00B252DC">
        <w:rPr>
          <w:rFonts w:cs="Arial"/>
          <w:szCs w:val="20"/>
        </w:rPr>
        <w:t xml:space="preserve"> </w:t>
      </w:r>
    </w:p>
    <w:p w:rsidR="00B252DC" w:rsidRDefault="00B252DC" w:rsidP="00B252DC">
      <w:pPr>
        <w:spacing w:after="120"/>
        <w:jc w:val="both"/>
        <w:rPr>
          <w:rFonts w:cs="Arial"/>
          <w:i/>
          <w:szCs w:val="20"/>
        </w:rPr>
      </w:pPr>
    </w:p>
    <w:p w:rsidR="00B252DC" w:rsidRDefault="00B252DC" w:rsidP="00B252DC">
      <w:pPr>
        <w:spacing w:after="120"/>
        <w:jc w:val="both"/>
        <w:rPr>
          <w:rFonts w:cs="Arial"/>
          <w:i/>
          <w:szCs w:val="20"/>
        </w:rPr>
      </w:pPr>
    </w:p>
    <w:p w:rsidR="00B252DC" w:rsidRDefault="00B252DC" w:rsidP="00B252DC">
      <w:pPr>
        <w:spacing w:after="120"/>
        <w:jc w:val="both"/>
        <w:rPr>
          <w:rFonts w:cs="Arial"/>
          <w:i/>
          <w:szCs w:val="20"/>
        </w:rPr>
      </w:pPr>
    </w:p>
    <w:p w:rsidR="00B252DC" w:rsidRPr="00C3187A" w:rsidRDefault="00B252DC" w:rsidP="00B252DC">
      <w:pPr>
        <w:pStyle w:val="Default"/>
        <w:pageBreakBefore/>
        <w:numPr>
          <w:ilvl w:val="0"/>
          <w:numId w:val="21"/>
        </w:numPr>
        <w:spacing w:after="160" w:line="288" w:lineRule="auto"/>
        <w:ind w:left="425" w:hanging="425"/>
        <w:jc w:val="both"/>
        <w:rPr>
          <w:rFonts w:ascii="Arial" w:hAnsi="Arial" w:cs="Arial"/>
          <w:b/>
          <w:bCs/>
          <w:color w:val="009BB4"/>
          <w:sz w:val="28"/>
          <w:szCs w:val="22"/>
        </w:rPr>
      </w:pPr>
      <w:r w:rsidRPr="00C3187A">
        <w:rPr>
          <w:rFonts w:ascii="Arial" w:hAnsi="Arial" w:cs="Arial"/>
          <w:b/>
          <w:bCs/>
          <w:color w:val="009BB4"/>
          <w:sz w:val="28"/>
          <w:szCs w:val="22"/>
        </w:rPr>
        <w:lastRenderedPageBreak/>
        <w:t>Roční šetření o výzkumu a vývoji VTR 5-01</w:t>
      </w:r>
    </w:p>
    <w:p w:rsidR="00B252DC" w:rsidRPr="00BE579D" w:rsidRDefault="00B252DC" w:rsidP="00B252DC">
      <w:pPr>
        <w:spacing w:after="120"/>
        <w:jc w:val="both"/>
        <w:rPr>
          <w:rFonts w:cs="Arial"/>
          <w:b/>
          <w:color w:val="4BACC6"/>
          <w:szCs w:val="20"/>
        </w:rPr>
      </w:pPr>
      <w:r w:rsidRPr="00BE579D">
        <w:rPr>
          <w:rFonts w:cs="Arial"/>
          <w:b/>
          <w:color w:val="4BACC6"/>
          <w:szCs w:val="20"/>
        </w:rPr>
        <w:t xml:space="preserve">Údaje za Českou republiku </w:t>
      </w:r>
    </w:p>
    <w:p w:rsidR="00B252DC" w:rsidRDefault="00B252DC" w:rsidP="00B252DC">
      <w:pPr>
        <w:spacing w:after="120"/>
        <w:jc w:val="both"/>
        <w:rPr>
          <w:rFonts w:cs="Arial"/>
          <w:szCs w:val="20"/>
        </w:rPr>
      </w:pPr>
      <w:r>
        <w:rPr>
          <w:rFonts w:cs="Arial"/>
          <w:szCs w:val="20"/>
        </w:rPr>
        <w:t xml:space="preserve">Sledované ukazatele za </w:t>
      </w:r>
      <w:r w:rsidRPr="00D5048E">
        <w:rPr>
          <w:rFonts w:cs="Arial"/>
          <w:b/>
          <w:szCs w:val="20"/>
        </w:rPr>
        <w:t>výzkum a vývoj</w:t>
      </w:r>
      <w:r>
        <w:rPr>
          <w:rFonts w:cs="Arial"/>
          <w:szCs w:val="20"/>
        </w:rPr>
        <w:t xml:space="preserve"> (výdaje za provedený VaV a počet </w:t>
      </w:r>
      <w:r w:rsidRPr="005D6A5C">
        <w:rPr>
          <w:rFonts w:cs="Arial"/>
          <w:szCs w:val="20"/>
        </w:rPr>
        <w:t>zaměstnanc</w:t>
      </w:r>
      <w:r>
        <w:rPr>
          <w:rFonts w:cs="Arial"/>
          <w:szCs w:val="20"/>
        </w:rPr>
        <w:t>ů</w:t>
      </w:r>
      <w:r w:rsidRPr="005D6A5C">
        <w:rPr>
          <w:rFonts w:cs="Arial"/>
          <w:szCs w:val="20"/>
        </w:rPr>
        <w:t xml:space="preserve"> provádějící</w:t>
      </w:r>
      <w:r>
        <w:rPr>
          <w:rFonts w:cs="Arial"/>
          <w:szCs w:val="20"/>
        </w:rPr>
        <w:t>ch</w:t>
      </w:r>
      <w:r w:rsidRPr="005D6A5C">
        <w:rPr>
          <w:rFonts w:cs="Arial"/>
          <w:szCs w:val="20"/>
        </w:rPr>
        <w:t xml:space="preserve"> výzkum a vývoj</w:t>
      </w:r>
      <w:r>
        <w:rPr>
          <w:rFonts w:cs="Arial"/>
          <w:szCs w:val="20"/>
        </w:rPr>
        <w:t>) byl</w:t>
      </w:r>
      <w:r w:rsidR="00084529">
        <w:rPr>
          <w:rFonts w:cs="Arial"/>
          <w:szCs w:val="20"/>
        </w:rPr>
        <w:t>y</w:t>
      </w:r>
      <w:r>
        <w:rPr>
          <w:rFonts w:cs="Arial"/>
          <w:szCs w:val="20"/>
        </w:rPr>
        <w:t xml:space="preserve"> získány z </w:t>
      </w:r>
      <w:r w:rsidRPr="00D5048E">
        <w:rPr>
          <w:rFonts w:cs="Arial"/>
          <w:b/>
          <w:szCs w:val="20"/>
        </w:rPr>
        <w:t>Ročního šetření výzkumu a vývoje</w:t>
      </w:r>
      <w:r w:rsidR="00215B40" w:rsidRPr="00982AA4">
        <w:rPr>
          <w:rFonts w:cs="Arial"/>
          <w:szCs w:val="20"/>
        </w:rPr>
        <w:t xml:space="preserve"> (VTR 5-01)</w:t>
      </w:r>
      <w:r w:rsidRPr="00C4127B">
        <w:rPr>
          <w:rFonts w:cs="Arial"/>
          <w:szCs w:val="20"/>
        </w:rPr>
        <w:t xml:space="preserve">. </w:t>
      </w:r>
      <w:r w:rsidR="00C4127B">
        <w:rPr>
          <w:rFonts w:cs="Arial"/>
          <w:szCs w:val="20"/>
        </w:rPr>
        <w:t xml:space="preserve">Data jsou v rámci šetření sbírána </w:t>
      </w:r>
      <w:r w:rsidRPr="00237300">
        <w:rPr>
          <w:rFonts w:cs="Arial"/>
          <w:szCs w:val="20"/>
        </w:rPr>
        <w:t xml:space="preserve">prostřednictvím vyplněných formulářů </w:t>
      </w:r>
      <w:r w:rsidRPr="00D5048E">
        <w:rPr>
          <w:rFonts w:cs="Arial"/>
          <w:szCs w:val="20"/>
        </w:rPr>
        <w:t>v souladu s</w:t>
      </w:r>
      <w:r w:rsidR="000D2C0B">
        <w:rPr>
          <w:rFonts w:cs="Arial"/>
          <w:szCs w:val="20"/>
        </w:rPr>
        <w:t> </w:t>
      </w:r>
      <w:r w:rsidRPr="00D5048E">
        <w:rPr>
          <w:rFonts w:cs="Arial"/>
          <w:szCs w:val="20"/>
        </w:rPr>
        <w:t>mezinárodn</w:t>
      </w:r>
      <w:r w:rsidR="000D2C0B">
        <w:rPr>
          <w:rFonts w:cs="Arial"/>
          <w:szCs w:val="20"/>
        </w:rPr>
        <w:t>ě uznávanými</w:t>
      </w:r>
      <w:r w:rsidRPr="00D5048E">
        <w:rPr>
          <w:rFonts w:cs="Arial"/>
          <w:szCs w:val="20"/>
        </w:rPr>
        <w:t xml:space="preserve"> standardy</w:t>
      </w:r>
      <w:r w:rsidR="005326B8">
        <w:rPr>
          <w:rFonts w:cs="Arial"/>
          <w:szCs w:val="20"/>
        </w:rPr>
        <w:t>, definicemi</w:t>
      </w:r>
      <w:r w:rsidRPr="00D5048E">
        <w:rPr>
          <w:rFonts w:cs="Arial"/>
          <w:szCs w:val="20"/>
        </w:rPr>
        <w:t xml:space="preserve"> a doporučeními uvedenými v</w:t>
      </w:r>
      <w:r>
        <w:rPr>
          <w:rFonts w:cs="Arial"/>
          <w:szCs w:val="20"/>
        </w:rPr>
        <w:t>e</w:t>
      </w:r>
      <w:r w:rsidRPr="00D5048E">
        <w:rPr>
          <w:rFonts w:cs="Arial"/>
          <w:szCs w:val="20"/>
        </w:rPr>
        <w:t xml:space="preserve"> Frascati manuálu (OECD 2015)</w:t>
      </w:r>
      <w:r>
        <w:rPr>
          <w:rFonts w:cs="Arial"/>
          <w:szCs w:val="20"/>
        </w:rPr>
        <w:t xml:space="preserve">. </w:t>
      </w:r>
      <w:r w:rsidRPr="00D5048E">
        <w:rPr>
          <w:rFonts w:cs="Arial"/>
          <w:szCs w:val="20"/>
        </w:rPr>
        <w:t xml:space="preserve">Více viz: </w:t>
      </w:r>
      <w:hyperlink r:id="rId9" w:history="1">
        <w:r w:rsidR="004969D5">
          <w:rPr>
            <w:rStyle w:val="Hypertextovodkaz"/>
            <w:rFonts w:eastAsia="MS Gothic" w:cs="Arial"/>
            <w:szCs w:val="20"/>
          </w:rPr>
          <w:t>https://www.oecd.org/sti/inno/frascati-manual.htm</w:t>
        </w:r>
      </w:hyperlink>
    </w:p>
    <w:p w:rsidR="00B252DC" w:rsidRDefault="00B252DC" w:rsidP="00B252DC">
      <w:pPr>
        <w:spacing w:after="120"/>
        <w:jc w:val="both"/>
        <w:rPr>
          <w:rFonts w:cs="Arial"/>
          <w:szCs w:val="20"/>
        </w:rPr>
      </w:pPr>
      <w:r>
        <w:rPr>
          <w:rFonts w:cs="Arial"/>
          <w:szCs w:val="20"/>
        </w:rPr>
        <w:t xml:space="preserve">Formulářem </w:t>
      </w:r>
      <w:r w:rsidR="0015783B">
        <w:rPr>
          <w:rFonts w:cs="Arial"/>
          <w:szCs w:val="20"/>
        </w:rPr>
        <w:t xml:space="preserve">šetření </w:t>
      </w:r>
      <w:r w:rsidRPr="00D5048E">
        <w:rPr>
          <w:rFonts w:cs="Arial"/>
          <w:szCs w:val="20"/>
        </w:rPr>
        <w:t xml:space="preserve">VTR 5-01 </w:t>
      </w:r>
      <w:r>
        <w:rPr>
          <w:rFonts w:cs="Arial"/>
          <w:szCs w:val="20"/>
        </w:rPr>
        <w:t xml:space="preserve">jsou každoročně </w:t>
      </w:r>
      <w:r w:rsidRPr="00D5048E">
        <w:rPr>
          <w:rFonts w:cs="Arial"/>
          <w:szCs w:val="20"/>
        </w:rPr>
        <w:t xml:space="preserve">obeslány všechny právnické a fyzické osoby, které na území České republiky provádějí VaV (tj. systematickou tvůrčí práci konanou za účelem získání nových znalostí nebo jejich využití v praxi), ať již jako svoji hlavní ekonomickou činnost (CZ-NACE 72), nebo vedlejší ekonomickou činnost. </w:t>
      </w:r>
    </w:p>
    <w:p w:rsidR="00B252DC" w:rsidRDefault="00B252DC" w:rsidP="00B252DC">
      <w:pPr>
        <w:spacing w:after="120"/>
        <w:jc w:val="both"/>
        <w:rPr>
          <w:rFonts w:cs="Arial"/>
          <w:szCs w:val="20"/>
        </w:rPr>
      </w:pPr>
      <w:r>
        <w:rPr>
          <w:rFonts w:cs="Arial"/>
          <w:szCs w:val="20"/>
        </w:rPr>
        <w:t xml:space="preserve">Sběr ukazatelů VaV se provádí na základě </w:t>
      </w:r>
      <w:r w:rsidRPr="000442C0">
        <w:rPr>
          <w:rFonts w:cs="Arial"/>
          <w:b/>
          <w:szCs w:val="20"/>
        </w:rPr>
        <w:t>Rozhodnutí Evropského parlamentu a Rady č.1608/2003/ES</w:t>
      </w:r>
      <w:r w:rsidRPr="00D5048E">
        <w:rPr>
          <w:rFonts w:cs="Arial"/>
          <w:szCs w:val="20"/>
        </w:rPr>
        <w:t xml:space="preserve">, upravující statistiku oblasti vědy, technologií a inovací. Výše uvedené rozhodnutí Evropského parlamentu a Rady je pak dále rozvedeno na základě </w:t>
      </w:r>
      <w:r w:rsidRPr="000442C0">
        <w:rPr>
          <w:rFonts w:cs="Arial"/>
          <w:b/>
          <w:szCs w:val="20"/>
        </w:rPr>
        <w:t>Prováděcího nařízení Komise (EU) č. 995/2012</w:t>
      </w:r>
      <w:r w:rsidRPr="00D5048E">
        <w:rPr>
          <w:rFonts w:cs="Arial"/>
          <w:szCs w:val="20"/>
        </w:rPr>
        <w:t>, které stanovuje konkrétní ukazatele a jejich charakteristiky a třídění, jenž musí členské státy EU sbírat v oblasti výzkumu, vývoje inovací.</w:t>
      </w:r>
    </w:p>
    <w:p w:rsidR="00B252DC" w:rsidRDefault="00B252DC" w:rsidP="00B252DC">
      <w:pPr>
        <w:spacing w:after="120"/>
        <w:jc w:val="both"/>
        <w:rPr>
          <w:rFonts w:cs="Arial"/>
          <w:szCs w:val="20"/>
        </w:rPr>
      </w:pPr>
      <w:r w:rsidRPr="00776ADD">
        <w:rPr>
          <w:rFonts w:cs="Arial"/>
          <w:szCs w:val="20"/>
        </w:rPr>
        <w:t>Ukazatele VaV jsou v České republice i na mezinárodní úrovni standardně publikovány v dělení dle sektoru, v</w:t>
      </w:r>
      <w:r w:rsidR="0036679C">
        <w:rPr>
          <w:rFonts w:cs="Arial"/>
          <w:szCs w:val="20"/>
        </w:rPr>
        <w:t xml:space="preserve"> němž </w:t>
      </w:r>
      <w:r w:rsidRPr="00776ADD">
        <w:rPr>
          <w:rFonts w:cs="Arial"/>
          <w:szCs w:val="20"/>
        </w:rPr>
        <w:t>se VaV provádí (tj. podnikatelský, vládní, vysokoškolský a soukromý neziskový sektor). ČSÚ navíc sleduje základní charakteristiky VaV v rámci těchto sektorů i podle druhu pracoviště, kde se VaV ve sledovaných subjektech provádí.</w:t>
      </w:r>
    </w:p>
    <w:p w:rsidR="00B252DC" w:rsidRDefault="00B252DC" w:rsidP="00B252DC">
      <w:pPr>
        <w:spacing w:after="120"/>
        <w:jc w:val="both"/>
        <w:rPr>
          <w:rFonts w:cs="Arial"/>
          <w:szCs w:val="20"/>
        </w:rPr>
      </w:pPr>
      <w:r>
        <w:rPr>
          <w:rFonts w:cs="Arial"/>
          <w:szCs w:val="20"/>
        </w:rPr>
        <w:t xml:space="preserve">Ukazatele VaV za </w:t>
      </w:r>
      <w:r w:rsidR="00AE7C9A">
        <w:rPr>
          <w:rFonts w:cs="Arial"/>
          <w:szCs w:val="20"/>
        </w:rPr>
        <w:t xml:space="preserve">odvětví informační ekonomiky </w:t>
      </w:r>
      <w:r>
        <w:rPr>
          <w:rFonts w:cs="Arial"/>
          <w:szCs w:val="20"/>
        </w:rPr>
        <w:t xml:space="preserve">byly zpracovány za soukromý podnikatelský sektor zahrnující </w:t>
      </w:r>
      <w:r w:rsidRPr="00776ADD">
        <w:rPr>
          <w:rFonts w:cs="Arial"/>
          <w:szCs w:val="20"/>
        </w:rPr>
        <w:t xml:space="preserve">všechny ekonomické subjekty, jejichž hlavní činností je tržní výroba zboží nebo služeb pro prodej široké veřejnosti za ekonomicky významnou cenu. Podnikatelský sektor je zaměřený především na aplikovaný výzkum a experimentální vývoj. Výsledky těchto činností souvisí především s inovacemi, tj. vývojem nových či zlepšením stávajících výrobků nebo poskytovaných služeb. </w:t>
      </w:r>
    </w:p>
    <w:p w:rsidR="006B7A04" w:rsidRPr="006B7A04" w:rsidRDefault="006B7A04" w:rsidP="00B252DC">
      <w:pPr>
        <w:spacing w:after="0"/>
        <w:jc w:val="both"/>
        <w:rPr>
          <w:rFonts w:cs="Arial"/>
          <w:i/>
          <w:szCs w:val="20"/>
        </w:rPr>
      </w:pPr>
      <w:r w:rsidRPr="006B7A04">
        <w:rPr>
          <w:rFonts w:cs="Arial"/>
          <w:i/>
          <w:szCs w:val="20"/>
          <w:u w:val="single"/>
        </w:rPr>
        <w:t>Poznámka:</w:t>
      </w:r>
      <w:r w:rsidRPr="006B7A04">
        <w:rPr>
          <w:rFonts w:cs="Arial"/>
          <w:i/>
          <w:szCs w:val="20"/>
        </w:rPr>
        <w:t xml:space="preserve"> Údaje o výdajích na VaV a počty zaměstnanců VaV v podnicích spadajících podle jejich převažující ekonomické činnosti do odvětví informační ekonomiky, ICT sektoru nebo Informačního a mediálního sektoru sice umožňují mezinárodní srovnání, ale mají nižší vypovídající hodnotu, než údaje o celkových výdajích na VaV v oblasti ICT. Podniky spadající do ICT sektoru mohou svoji VaV činnost vykonávat i v jiné než ICT oblasti a naopak subjekty mimo ICT sektor mohou svoji VaV činnost v oblasti ICT vykonávat. Z výše uvedeného důvodu ČSÚ sleduje od roku 2008 v rámci speciálního oddílu 427 Výdaje na VaV ve vybraných oblastech výše uvedeného šetření VTR 5-01, tj. včetně údajů za výdaje na VaV v oblasti ICT</w:t>
      </w:r>
      <w:r>
        <w:rPr>
          <w:rFonts w:cs="Arial"/>
          <w:i/>
          <w:szCs w:val="20"/>
        </w:rPr>
        <w:t xml:space="preserve"> definované podle klasifikace produkce CZ CPA</w:t>
      </w:r>
      <w:r w:rsidRPr="006B7A04">
        <w:rPr>
          <w:rFonts w:cs="Arial"/>
          <w:i/>
          <w:szCs w:val="20"/>
        </w:rPr>
        <w:t xml:space="preserve">, a to bez ohledu na převažující ekonomickou činnost sledovaných subjektů. Mezinárodní srovnání ovšem není v tomto případě k dispozici. </w:t>
      </w:r>
    </w:p>
    <w:p w:rsidR="006B7A04" w:rsidRDefault="006B7A04" w:rsidP="00B252DC">
      <w:pPr>
        <w:spacing w:after="0"/>
        <w:jc w:val="both"/>
        <w:rPr>
          <w:rFonts w:cs="Arial"/>
          <w:szCs w:val="20"/>
        </w:rPr>
      </w:pPr>
    </w:p>
    <w:p w:rsidR="00B252DC" w:rsidRDefault="00B252DC" w:rsidP="00B252DC">
      <w:pPr>
        <w:spacing w:after="0"/>
        <w:jc w:val="both"/>
        <w:rPr>
          <w:rFonts w:cs="Arial"/>
          <w:szCs w:val="20"/>
        </w:rPr>
      </w:pPr>
      <w:r w:rsidRPr="00FE01BF">
        <w:rPr>
          <w:rFonts w:cs="Arial"/>
          <w:szCs w:val="20"/>
        </w:rPr>
        <w:t>Podrobné informace ke statistice VaV naleznete na následujících stránkách:</w:t>
      </w:r>
    </w:p>
    <w:p w:rsidR="00B252DC" w:rsidRDefault="00B2432D" w:rsidP="00B252DC">
      <w:pPr>
        <w:spacing w:after="120"/>
        <w:jc w:val="both"/>
        <w:rPr>
          <w:rFonts w:cs="Arial"/>
          <w:szCs w:val="20"/>
        </w:rPr>
      </w:pPr>
      <w:hyperlink r:id="rId10" w:history="1">
        <w:r w:rsidR="00B05DF3">
          <w:rPr>
            <w:rStyle w:val="Hypertextovodkaz"/>
            <w:rFonts w:eastAsia="MS Gothic" w:cs="Arial"/>
            <w:szCs w:val="20"/>
          </w:rPr>
          <w:t>https://csu.gov.cz/vyzkum-a-vyvoj</w:t>
        </w:r>
      </w:hyperlink>
      <w:r w:rsidR="00B252DC">
        <w:rPr>
          <w:rFonts w:cs="Arial"/>
          <w:szCs w:val="20"/>
        </w:rPr>
        <w:t xml:space="preserve"> </w:t>
      </w:r>
    </w:p>
    <w:p w:rsidR="00B252DC" w:rsidRPr="00BE579D" w:rsidRDefault="00B252DC" w:rsidP="00B252DC">
      <w:pPr>
        <w:spacing w:after="120"/>
        <w:jc w:val="both"/>
        <w:rPr>
          <w:rFonts w:cs="Arial"/>
          <w:b/>
          <w:color w:val="4BACC6"/>
          <w:szCs w:val="20"/>
        </w:rPr>
      </w:pPr>
      <w:r w:rsidRPr="00BE579D">
        <w:rPr>
          <w:rFonts w:cs="Arial"/>
          <w:b/>
          <w:color w:val="4BACC6"/>
          <w:szCs w:val="20"/>
        </w:rPr>
        <w:t xml:space="preserve">Mezinárodní srovnání </w:t>
      </w:r>
    </w:p>
    <w:p w:rsidR="00B252DC" w:rsidRDefault="00B252DC" w:rsidP="00B252DC">
      <w:pPr>
        <w:spacing w:after="120"/>
        <w:jc w:val="both"/>
      </w:pPr>
      <w:r w:rsidRPr="00294495">
        <w:rPr>
          <w:rFonts w:cs="Arial"/>
          <w:szCs w:val="20"/>
        </w:rPr>
        <w:t xml:space="preserve">Údaje pro </w:t>
      </w:r>
      <w:r w:rsidRPr="00F04EAF">
        <w:rPr>
          <w:rFonts w:cs="Arial"/>
          <w:b/>
          <w:szCs w:val="20"/>
        </w:rPr>
        <w:t>mezinárodní srovnání</w:t>
      </w:r>
      <w:r w:rsidR="00215B40" w:rsidRPr="00982AA4">
        <w:rPr>
          <w:rFonts w:cs="Arial"/>
          <w:szCs w:val="20"/>
        </w:rPr>
        <w:t xml:space="preserve"> statistických </w:t>
      </w:r>
      <w:r w:rsidRPr="00776ADD">
        <w:rPr>
          <w:rFonts w:cs="Arial"/>
          <w:szCs w:val="20"/>
        </w:rPr>
        <w:t>ukazatel</w:t>
      </w:r>
      <w:r w:rsidR="00F04EAF">
        <w:rPr>
          <w:rFonts w:cs="Arial"/>
          <w:szCs w:val="20"/>
        </w:rPr>
        <w:t>ů v oblasti</w:t>
      </w:r>
      <w:r w:rsidRPr="00776ADD">
        <w:rPr>
          <w:rFonts w:cs="Arial"/>
          <w:szCs w:val="20"/>
        </w:rPr>
        <w:t xml:space="preserve"> výzkumu a vývoje</w:t>
      </w:r>
      <w:r>
        <w:rPr>
          <w:rFonts w:cs="Arial"/>
          <w:b/>
          <w:szCs w:val="20"/>
        </w:rPr>
        <w:t xml:space="preserve"> </w:t>
      </w:r>
      <w:r>
        <w:rPr>
          <w:rFonts w:cs="Arial"/>
          <w:szCs w:val="20"/>
        </w:rPr>
        <w:t xml:space="preserve">byly zpracovány ČSÚ z volně dostupných údajů </w:t>
      </w:r>
      <w:r w:rsidRPr="00294495">
        <w:rPr>
          <w:rFonts w:cs="Arial"/>
          <w:szCs w:val="20"/>
        </w:rPr>
        <w:t>pocházejí</w:t>
      </w:r>
      <w:r>
        <w:rPr>
          <w:rFonts w:cs="Arial"/>
          <w:szCs w:val="20"/>
        </w:rPr>
        <w:t xml:space="preserve">cích </w:t>
      </w:r>
      <w:r w:rsidRPr="00294495">
        <w:rPr>
          <w:rFonts w:cs="Arial"/>
          <w:szCs w:val="20"/>
        </w:rPr>
        <w:t>z</w:t>
      </w:r>
      <w:r w:rsidR="00D54AF8">
        <w:rPr>
          <w:rFonts w:cs="Arial"/>
          <w:szCs w:val="20"/>
        </w:rPr>
        <w:t xml:space="preserve"> databáze </w:t>
      </w:r>
      <w:r w:rsidRPr="00294495">
        <w:rPr>
          <w:rFonts w:cs="Arial"/>
          <w:szCs w:val="20"/>
        </w:rPr>
        <w:t xml:space="preserve">Eurostatu </w:t>
      </w:r>
      <w:r w:rsidRPr="00776ADD">
        <w:rPr>
          <w:rFonts w:cs="Arial"/>
          <w:i/>
          <w:szCs w:val="20"/>
        </w:rPr>
        <w:t>Science, Technology and Innovation</w:t>
      </w:r>
      <w:r>
        <w:rPr>
          <w:rFonts w:cs="Arial"/>
          <w:szCs w:val="20"/>
        </w:rPr>
        <w:t>. Podrobněji viz následující odkaz</w:t>
      </w:r>
      <w:r w:rsidRPr="00294495">
        <w:rPr>
          <w:rFonts w:cs="Arial"/>
          <w:szCs w:val="20"/>
        </w:rPr>
        <w:t>:</w:t>
      </w:r>
      <w:r w:rsidRPr="00776ADD">
        <w:rPr>
          <w:rFonts w:cs="Arial"/>
          <w:szCs w:val="20"/>
        </w:rPr>
        <w:t xml:space="preserve"> </w:t>
      </w:r>
      <w:hyperlink r:id="rId11" w:history="1">
        <w:r w:rsidRPr="00776ADD">
          <w:rPr>
            <w:rStyle w:val="Hypertextovodkaz"/>
            <w:rFonts w:eastAsia="MS Gothic" w:cs="Arial"/>
            <w:szCs w:val="20"/>
          </w:rPr>
          <w:t>http://ec.europa.eu/eurostat/web/science-technology-innovation/overview</w:t>
        </w:r>
      </w:hyperlink>
    </w:p>
    <w:p w:rsidR="00B252DC" w:rsidRDefault="00B252DC" w:rsidP="00B252DC">
      <w:pPr>
        <w:spacing w:after="120"/>
        <w:jc w:val="both"/>
        <w:rPr>
          <w:rFonts w:cs="Arial"/>
          <w:i/>
          <w:szCs w:val="20"/>
        </w:rPr>
      </w:pPr>
      <w:r w:rsidRPr="0078270C">
        <w:rPr>
          <w:rFonts w:cs="Arial"/>
          <w:i/>
          <w:szCs w:val="20"/>
          <w:u w:val="single"/>
        </w:rPr>
        <w:t>Poznámka:</w:t>
      </w:r>
      <w:r w:rsidRPr="0078270C">
        <w:rPr>
          <w:rFonts w:cs="Arial"/>
          <w:i/>
          <w:szCs w:val="20"/>
        </w:rPr>
        <w:t xml:space="preserve"> Na rozdíl od databáze Eurostatu, podrobné údaje za Českou republiku zpracované ČSÚ za </w:t>
      </w:r>
      <w:r w:rsidR="00AE7C9A" w:rsidRPr="00AE7C9A">
        <w:rPr>
          <w:rFonts w:cs="Arial"/>
          <w:i/>
          <w:szCs w:val="20"/>
        </w:rPr>
        <w:t>odvětví informační ekonomiky</w:t>
      </w:r>
      <w:r w:rsidRPr="0078270C">
        <w:rPr>
          <w:rFonts w:cs="Arial"/>
          <w:i/>
          <w:szCs w:val="20"/>
        </w:rPr>
        <w:t xml:space="preserve"> i v tomto případě obsahují data pouze za soukromé podnikatelské subjekty. Údaje z databáze Eurostatu obsahují data i za veřejné podniky, které ovšem v sledovaných odvětvích hrají ve většině případů spíše zanedbatelnou roli.</w:t>
      </w:r>
    </w:p>
    <w:p w:rsidR="00B252DC" w:rsidRDefault="00B252DC" w:rsidP="00B252DC">
      <w:pPr>
        <w:spacing w:after="120"/>
        <w:jc w:val="both"/>
        <w:rPr>
          <w:rFonts w:cs="Arial"/>
          <w:szCs w:val="20"/>
        </w:rPr>
      </w:pPr>
    </w:p>
    <w:p w:rsidR="00B252DC" w:rsidRPr="00241325" w:rsidRDefault="00272200" w:rsidP="00B252DC">
      <w:pPr>
        <w:pStyle w:val="Default"/>
        <w:pageBreakBefore/>
        <w:spacing w:before="240" w:after="160" w:line="288" w:lineRule="auto"/>
        <w:rPr>
          <w:rFonts w:ascii="Arial" w:hAnsi="Arial" w:cs="Arial"/>
          <w:b/>
          <w:color w:val="009BB4"/>
          <w:sz w:val="28"/>
          <w:szCs w:val="32"/>
        </w:rPr>
      </w:pPr>
      <w:r>
        <w:rPr>
          <w:rFonts w:ascii="Arial" w:hAnsi="Arial" w:cs="Arial"/>
          <w:b/>
          <w:color w:val="009BB4"/>
          <w:sz w:val="28"/>
          <w:szCs w:val="32"/>
        </w:rPr>
        <w:lastRenderedPageBreak/>
        <w:t xml:space="preserve">POUŽITÉ </w:t>
      </w:r>
      <w:r w:rsidR="00B252DC" w:rsidRPr="00241325">
        <w:rPr>
          <w:rFonts w:ascii="Arial" w:hAnsi="Arial" w:cs="Arial"/>
          <w:b/>
          <w:color w:val="009BB4"/>
          <w:sz w:val="28"/>
          <w:szCs w:val="32"/>
        </w:rPr>
        <w:t xml:space="preserve">TŘÍDĚNÍ </w:t>
      </w:r>
      <w:r>
        <w:rPr>
          <w:rFonts w:ascii="Arial" w:hAnsi="Arial" w:cs="Arial"/>
          <w:b/>
          <w:color w:val="009BB4"/>
          <w:sz w:val="28"/>
          <w:szCs w:val="32"/>
        </w:rPr>
        <w:t xml:space="preserve">SLEDOVANÝCH </w:t>
      </w:r>
      <w:r w:rsidR="00B252DC" w:rsidRPr="00241325">
        <w:rPr>
          <w:rFonts w:ascii="Arial" w:hAnsi="Arial" w:cs="Arial"/>
          <w:b/>
          <w:color w:val="009BB4"/>
          <w:sz w:val="28"/>
          <w:szCs w:val="32"/>
        </w:rPr>
        <w:t>UKAZATELŮ</w:t>
      </w:r>
    </w:p>
    <w:p w:rsidR="00B252DC" w:rsidRPr="00A807EA" w:rsidRDefault="00B252DC" w:rsidP="00B252DC">
      <w:pPr>
        <w:spacing w:after="120"/>
        <w:jc w:val="both"/>
        <w:rPr>
          <w:rFonts w:cs="Arial"/>
          <w:szCs w:val="20"/>
        </w:rPr>
      </w:pPr>
      <w:r>
        <w:rPr>
          <w:rFonts w:cs="Arial"/>
          <w:szCs w:val="20"/>
        </w:rPr>
        <w:t xml:space="preserve">Údaje za </w:t>
      </w:r>
      <w:r w:rsidR="00AE7C9A">
        <w:rPr>
          <w:rFonts w:cs="Arial"/>
          <w:szCs w:val="20"/>
        </w:rPr>
        <w:t xml:space="preserve">odvětví informační ekonomiky </w:t>
      </w:r>
      <w:r w:rsidRPr="00241325">
        <w:rPr>
          <w:rFonts w:cs="Arial"/>
          <w:szCs w:val="20"/>
        </w:rPr>
        <w:t xml:space="preserve">jsou </w:t>
      </w:r>
      <w:r>
        <w:rPr>
          <w:rFonts w:cs="Arial"/>
          <w:szCs w:val="20"/>
        </w:rPr>
        <w:t>k dispozici v </w:t>
      </w:r>
      <w:r w:rsidRPr="00241325">
        <w:rPr>
          <w:rFonts w:cs="Arial"/>
          <w:szCs w:val="20"/>
        </w:rPr>
        <w:t>tříděn</w:t>
      </w:r>
      <w:r>
        <w:rPr>
          <w:rFonts w:cs="Arial"/>
          <w:szCs w:val="20"/>
        </w:rPr>
        <w:t xml:space="preserve">í podle: </w:t>
      </w:r>
      <w:r w:rsidRPr="00A807EA">
        <w:rPr>
          <w:rFonts w:cs="Arial"/>
          <w:b/>
          <w:szCs w:val="20"/>
        </w:rPr>
        <w:t>i</w:t>
      </w:r>
      <w:r w:rsidR="00481604">
        <w:rPr>
          <w:rFonts w:cs="Arial"/>
          <w:b/>
          <w:szCs w:val="20"/>
        </w:rPr>
        <w:t>.</w:t>
      </w:r>
      <w:r w:rsidRPr="00A807EA">
        <w:rPr>
          <w:rFonts w:cs="Arial"/>
          <w:b/>
          <w:szCs w:val="20"/>
        </w:rPr>
        <w:t>)</w:t>
      </w:r>
      <w:r w:rsidRPr="00241325">
        <w:rPr>
          <w:rFonts w:cs="Arial"/>
          <w:szCs w:val="20"/>
        </w:rPr>
        <w:t xml:space="preserve"> </w:t>
      </w:r>
      <w:r w:rsidRPr="00A807EA">
        <w:rPr>
          <w:rFonts w:cs="Arial"/>
          <w:b/>
          <w:szCs w:val="20"/>
        </w:rPr>
        <w:t>převažující ekonomické činnosti</w:t>
      </w:r>
      <w:r>
        <w:rPr>
          <w:rFonts w:cs="Arial"/>
          <w:szCs w:val="20"/>
        </w:rPr>
        <w:t xml:space="preserve"> sledovaných subjektů na základě klasifikace CZ NACE a</w:t>
      </w:r>
      <w:r w:rsidRPr="00241325">
        <w:rPr>
          <w:rFonts w:cs="Arial"/>
          <w:szCs w:val="20"/>
        </w:rPr>
        <w:t xml:space="preserve"> </w:t>
      </w:r>
      <w:r w:rsidRPr="00A807EA">
        <w:rPr>
          <w:rFonts w:cs="Arial"/>
          <w:b/>
          <w:szCs w:val="20"/>
        </w:rPr>
        <w:t>ii</w:t>
      </w:r>
      <w:r w:rsidR="00481604">
        <w:rPr>
          <w:rFonts w:cs="Arial"/>
          <w:b/>
          <w:szCs w:val="20"/>
        </w:rPr>
        <w:t>.</w:t>
      </w:r>
      <w:r w:rsidRPr="00A807EA">
        <w:rPr>
          <w:rFonts w:cs="Arial"/>
          <w:b/>
          <w:szCs w:val="20"/>
        </w:rPr>
        <w:t>) velikosti</w:t>
      </w:r>
      <w:r>
        <w:rPr>
          <w:rFonts w:cs="Arial"/>
          <w:b/>
          <w:szCs w:val="20"/>
        </w:rPr>
        <w:t xml:space="preserve"> sledovaných subjektů </w:t>
      </w:r>
      <w:r w:rsidRPr="00A807EA">
        <w:rPr>
          <w:rFonts w:cs="Arial"/>
          <w:szCs w:val="20"/>
        </w:rPr>
        <w:t xml:space="preserve">na základě počtu jejich zaměstnanců. </w:t>
      </w:r>
    </w:p>
    <w:p w:rsidR="00B252DC" w:rsidRPr="00C3187A" w:rsidRDefault="00A12CAD" w:rsidP="00B252DC">
      <w:pPr>
        <w:pStyle w:val="Default"/>
        <w:numPr>
          <w:ilvl w:val="0"/>
          <w:numId w:val="22"/>
        </w:numPr>
        <w:spacing w:after="160" w:line="288" w:lineRule="auto"/>
        <w:ind w:left="284" w:hanging="283"/>
        <w:jc w:val="both"/>
        <w:rPr>
          <w:rFonts w:ascii="Arial" w:hAnsi="Arial" w:cs="Arial"/>
          <w:b/>
          <w:bCs/>
          <w:color w:val="009BB4"/>
          <w:sz w:val="22"/>
          <w:szCs w:val="22"/>
        </w:rPr>
      </w:pPr>
      <w:r>
        <w:rPr>
          <w:rFonts w:ascii="Arial" w:hAnsi="Arial" w:cs="Arial"/>
          <w:b/>
          <w:bCs/>
          <w:color w:val="009BB4"/>
          <w:sz w:val="22"/>
          <w:szCs w:val="22"/>
        </w:rPr>
        <w:t xml:space="preserve">  </w:t>
      </w:r>
      <w:r w:rsidR="00B252DC" w:rsidRPr="00C3187A">
        <w:rPr>
          <w:rFonts w:ascii="Arial" w:hAnsi="Arial" w:cs="Arial"/>
          <w:b/>
          <w:bCs/>
          <w:color w:val="009BB4"/>
          <w:sz w:val="22"/>
          <w:szCs w:val="22"/>
        </w:rPr>
        <w:t>Třídění podle převažující ekonomické činn</w:t>
      </w:r>
      <w:r w:rsidR="00272200">
        <w:rPr>
          <w:rFonts w:ascii="Arial" w:hAnsi="Arial" w:cs="Arial"/>
          <w:b/>
          <w:bCs/>
          <w:color w:val="009BB4"/>
          <w:sz w:val="22"/>
          <w:szCs w:val="22"/>
        </w:rPr>
        <w:t>.</w:t>
      </w:r>
      <w:r w:rsidR="00B252DC" w:rsidRPr="00C3187A">
        <w:rPr>
          <w:rFonts w:ascii="Arial" w:hAnsi="Arial" w:cs="Arial"/>
          <w:b/>
          <w:bCs/>
          <w:color w:val="009BB4"/>
          <w:sz w:val="22"/>
          <w:szCs w:val="22"/>
        </w:rPr>
        <w:t xml:space="preserve"> </w:t>
      </w:r>
      <w:r w:rsidR="00B252DC">
        <w:rPr>
          <w:rFonts w:ascii="Arial" w:hAnsi="Arial" w:cs="Arial"/>
          <w:b/>
          <w:bCs/>
          <w:color w:val="009BB4"/>
          <w:sz w:val="22"/>
          <w:szCs w:val="22"/>
        </w:rPr>
        <w:t xml:space="preserve">sledovaných subjektů </w:t>
      </w:r>
      <w:r w:rsidR="00B252DC" w:rsidRPr="00C3187A">
        <w:rPr>
          <w:rFonts w:ascii="Arial" w:hAnsi="Arial" w:cs="Arial"/>
          <w:b/>
          <w:bCs/>
          <w:color w:val="009BB4"/>
          <w:sz w:val="22"/>
          <w:szCs w:val="22"/>
        </w:rPr>
        <w:t>(klasifikace CZ</w:t>
      </w:r>
      <w:r w:rsidR="00481604">
        <w:rPr>
          <w:rFonts w:ascii="Arial" w:hAnsi="Arial" w:cs="Arial"/>
          <w:b/>
          <w:bCs/>
          <w:color w:val="009BB4"/>
          <w:sz w:val="22"/>
          <w:szCs w:val="22"/>
        </w:rPr>
        <w:t>-</w:t>
      </w:r>
      <w:r w:rsidR="00B252DC" w:rsidRPr="00C3187A">
        <w:rPr>
          <w:rFonts w:ascii="Arial" w:hAnsi="Arial" w:cs="Arial"/>
          <w:b/>
          <w:bCs/>
          <w:color w:val="009BB4"/>
          <w:sz w:val="22"/>
          <w:szCs w:val="22"/>
        </w:rPr>
        <w:t>NACE)</w:t>
      </w:r>
    </w:p>
    <w:p w:rsidR="00B252DC" w:rsidRPr="0087663E" w:rsidRDefault="00272200" w:rsidP="00B252DC">
      <w:pPr>
        <w:pStyle w:val="Default"/>
        <w:spacing w:after="120" w:line="288" w:lineRule="auto"/>
        <w:ind w:left="284"/>
        <w:jc w:val="both"/>
        <w:rPr>
          <w:rFonts w:ascii="Arial" w:hAnsi="Arial" w:cs="Arial"/>
          <w:b/>
          <w:i/>
          <w:sz w:val="20"/>
          <w:szCs w:val="20"/>
        </w:rPr>
      </w:pPr>
      <w:r w:rsidRPr="00972BD0">
        <w:rPr>
          <w:rFonts w:ascii="Arial" w:hAnsi="Arial" w:cs="Arial"/>
          <w:b/>
          <w:i/>
          <w:sz w:val="20"/>
          <w:szCs w:val="20"/>
        </w:rPr>
        <w:t xml:space="preserve">Poznámka: </w:t>
      </w:r>
      <w:r w:rsidR="00A10524" w:rsidRPr="0087663E">
        <w:rPr>
          <w:rFonts w:ascii="Arial" w:hAnsi="Arial" w:cs="Arial"/>
          <w:b/>
          <w:i/>
          <w:sz w:val="20"/>
          <w:szCs w:val="20"/>
        </w:rPr>
        <w:t xml:space="preserve">Použité třídění </w:t>
      </w:r>
      <w:r w:rsidR="00E1390B">
        <w:rPr>
          <w:rFonts w:ascii="Arial" w:hAnsi="Arial" w:cs="Arial"/>
          <w:b/>
          <w:i/>
          <w:sz w:val="20"/>
          <w:szCs w:val="20"/>
        </w:rPr>
        <w:t xml:space="preserve">pro </w:t>
      </w:r>
      <w:r w:rsidR="00AE7C9A" w:rsidRPr="0087663E">
        <w:rPr>
          <w:rFonts w:ascii="Arial" w:hAnsi="Arial" w:cs="Arial"/>
          <w:b/>
          <w:i/>
          <w:sz w:val="20"/>
          <w:szCs w:val="20"/>
        </w:rPr>
        <w:t>odvětví informační ekonomiky</w:t>
      </w:r>
      <w:r w:rsidR="0087663E">
        <w:rPr>
          <w:rFonts w:ascii="Arial" w:hAnsi="Arial" w:cs="Arial"/>
          <w:b/>
          <w:i/>
          <w:sz w:val="20"/>
          <w:szCs w:val="20"/>
        </w:rPr>
        <w:t xml:space="preserve"> (</w:t>
      </w:r>
      <w:r w:rsidR="0087663E" w:rsidRPr="0087663E">
        <w:rPr>
          <w:rFonts w:ascii="Arial" w:hAnsi="Arial" w:cs="Arial"/>
          <w:b/>
          <w:i/>
          <w:sz w:val="20"/>
          <w:szCs w:val="20"/>
        </w:rPr>
        <w:t>ICT sektoru</w:t>
      </w:r>
      <w:r w:rsidR="0087663E">
        <w:rPr>
          <w:rFonts w:ascii="Arial" w:hAnsi="Arial" w:cs="Arial"/>
          <w:b/>
          <w:i/>
          <w:sz w:val="20"/>
          <w:szCs w:val="20"/>
        </w:rPr>
        <w:t xml:space="preserve"> a</w:t>
      </w:r>
      <w:r w:rsidR="0087663E" w:rsidRPr="0087663E">
        <w:rPr>
          <w:rFonts w:ascii="Arial" w:hAnsi="Arial" w:cs="Arial"/>
          <w:b/>
          <w:i/>
          <w:sz w:val="20"/>
          <w:szCs w:val="20"/>
        </w:rPr>
        <w:t xml:space="preserve"> Informačního a mediálního sektoru</w:t>
      </w:r>
      <w:r w:rsidR="0087663E">
        <w:rPr>
          <w:rFonts w:ascii="Arial" w:hAnsi="Arial" w:cs="Arial"/>
          <w:b/>
          <w:i/>
          <w:sz w:val="20"/>
          <w:szCs w:val="20"/>
        </w:rPr>
        <w:t xml:space="preserve">) </w:t>
      </w:r>
      <w:r w:rsidR="00F123F7" w:rsidRPr="0087663E">
        <w:rPr>
          <w:rFonts w:ascii="Arial" w:hAnsi="Arial" w:cs="Arial"/>
          <w:b/>
          <w:i/>
          <w:sz w:val="20"/>
          <w:szCs w:val="20"/>
        </w:rPr>
        <w:t>podle klasifikace CZ-</w:t>
      </w:r>
      <w:r w:rsidR="00B252DC" w:rsidRPr="0087663E">
        <w:rPr>
          <w:rFonts w:ascii="Arial" w:hAnsi="Arial" w:cs="Arial"/>
          <w:b/>
          <w:i/>
          <w:sz w:val="20"/>
          <w:szCs w:val="20"/>
        </w:rPr>
        <w:t>NACE j</w:t>
      </w:r>
      <w:r w:rsidR="0087663E" w:rsidRPr="0087663E">
        <w:rPr>
          <w:rFonts w:ascii="Arial" w:hAnsi="Arial" w:cs="Arial"/>
          <w:b/>
          <w:i/>
          <w:sz w:val="20"/>
          <w:szCs w:val="20"/>
        </w:rPr>
        <w:t>sou</w:t>
      </w:r>
      <w:r w:rsidR="00B252DC" w:rsidRPr="0087663E">
        <w:rPr>
          <w:rFonts w:ascii="Arial" w:hAnsi="Arial" w:cs="Arial"/>
          <w:b/>
          <w:i/>
          <w:sz w:val="20"/>
          <w:szCs w:val="20"/>
        </w:rPr>
        <w:t xml:space="preserve"> uveden</w:t>
      </w:r>
      <w:r w:rsidR="0087663E">
        <w:rPr>
          <w:rFonts w:ascii="Arial" w:hAnsi="Arial" w:cs="Arial"/>
          <w:b/>
          <w:i/>
          <w:sz w:val="20"/>
          <w:szCs w:val="20"/>
        </w:rPr>
        <w:t>a</w:t>
      </w:r>
      <w:r w:rsidR="00B252DC" w:rsidRPr="0087663E">
        <w:rPr>
          <w:rFonts w:ascii="Arial" w:hAnsi="Arial" w:cs="Arial"/>
          <w:b/>
          <w:i/>
          <w:sz w:val="20"/>
          <w:szCs w:val="20"/>
        </w:rPr>
        <w:t xml:space="preserve"> v samostatn</w:t>
      </w:r>
      <w:r w:rsidR="0087663E">
        <w:rPr>
          <w:rFonts w:ascii="Arial" w:hAnsi="Arial" w:cs="Arial"/>
          <w:b/>
          <w:i/>
          <w:sz w:val="20"/>
          <w:szCs w:val="20"/>
        </w:rPr>
        <w:t>ých</w:t>
      </w:r>
      <w:r w:rsidR="00B252DC" w:rsidRPr="0087663E">
        <w:rPr>
          <w:rFonts w:ascii="Arial" w:hAnsi="Arial" w:cs="Arial"/>
          <w:b/>
          <w:i/>
          <w:sz w:val="20"/>
          <w:szCs w:val="20"/>
        </w:rPr>
        <w:t xml:space="preserve"> soubor</w:t>
      </w:r>
      <w:r w:rsidR="0087663E">
        <w:rPr>
          <w:rFonts w:ascii="Arial" w:hAnsi="Arial" w:cs="Arial"/>
          <w:b/>
          <w:i/>
          <w:sz w:val="20"/>
          <w:szCs w:val="20"/>
        </w:rPr>
        <w:t>ech</w:t>
      </w:r>
      <w:r w:rsidR="00B252DC" w:rsidRPr="0087663E">
        <w:rPr>
          <w:rFonts w:ascii="Arial" w:hAnsi="Arial" w:cs="Arial"/>
          <w:b/>
          <w:i/>
          <w:sz w:val="20"/>
          <w:szCs w:val="20"/>
        </w:rPr>
        <w:t xml:space="preserve">. </w:t>
      </w:r>
    </w:p>
    <w:p w:rsidR="00AB448E" w:rsidRPr="00C3187A" w:rsidRDefault="00AB448E" w:rsidP="00AB448E">
      <w:pPr>
        <w:pStyle w:val="Default"/>
        <w:numPr>
          <w:ilvl w:val="0"/>
          <w:numId w:val="22"/>
        </w:numPr>
        <w:spacing w:after="120" w:line="288" w:lineRule="auto"/>
        <w:ind w:left="425" w:hanging="425"/>
        <w:jc w:val="both"/>
        <w:rPr>
          <w:rFonts w:ascii="Arial" w:hAnsi="Arial" w:cs="Arial"/>
          <w:b/>
          <w:bCs/>
          <w:color w:val="009BB4"/>
          <w:sz w:val="22"/>
          <w:szCs w:val="22"/>
        </w:rPr>
      </w:pPr>
      <w:r w:rsidRPr="00681D05">
        <w:rPr>
          <w:rFonts w:ascii="Arial" w:hAnsi="Arial" w:cs="Arial"/>
          <w:b/>
          <w:bCs/>
          <w:color w:val="009BB4"/>
          <w:sz w:val="22"/>
          <w:szCs w:val="22"/>
        </w:rPr>
        <w:t xml:space="preserve">Třídění jednotek podle velikosti </w:t>
      </w:r>
      <w:r>
        <w:rPr>
          <w:rFonts w:ascii="Arial" w:hAnsi="Arial" w:cs="Arial"/>
          <w:b/>
          <w:bCs/>
          <w:color w:val="009BB4"/>
          <w:sz w:val="22"/>
          <w:szCs w:val="22"/>
        </w:rPr>
        <w:t xml:space="preserve">subjektů </w:t>
      </w:r>
      <w:r w:rsidRPr="00681D05">
        <w:rPr>
          <w:rFonts w:ascii="Arial" w:hAnsi="Arial" w:cs="Arial"/>
          <w:b/>
          <w:bCs/>
          <w:color w:val="009BB4"/>
          <w:sz w:val="22"/>
          <w:szCs w:val="22"/>
        </w:rPr>
        <w:t>dle počtu zaměstnanců</w:t>
      </w:r>
    </w:p>
    <w:p w:rsidR="00AB448E" w:rsidRDefault="00AB448E" w:rsidP="00AB448E">
      <w:pPr>
        <w:pStyle w:val="Default"/>
        <w:numPr>
          <w:ilvl w:val="0"/>
          <w:numId w:val="20"/>
        </w:numPr>
        <w:spacing w:line="288" w:lineRule="auto"/>
        <w:ind w:left="714" w:hanging="357"/>
        <w:jc w:val="both"/>
        <w:rPr>
          <w:rFonts w:ascii="Arial" w:hAnsi="Arial" w:cs="Arial"/>
          <w:color w:val="auto"/>
          <w:sz w:val="20"/>
          <w:szCs w:val="20"/>
        </w:rPr>
      </w:pPr>
      <w:r w:rsidRPr="00A54B4D">
        <w:rPr>
          <w:rFonts w:ascii="Arial" w:hAnsi="Arial" w:cs="Arial"/>
          <w:color w:val="auto"/>
          <w:sz w:val="20"/>
          <w:szCs w:val="20"/>
        </w:rPr>
        <w:t xml:space="preserve">mikro podniky (0-9 zaměstnanců) </w:t>
      </w:r>
    </w:p>
    <w:p w:rsidR="00AB448E" w:rsidRDefault="00AB448E" w:rsidP="00AB448E">
      <w:pPr>
        <w:pStyle w:val="Default"/>
        <w:numPr>
          <w:ilvl w:val="0"/>
          <w:numId w:val="20"/>
        </w:numPr>
        <w:spacing w:line="288" w:lineRule="auto"/>
        <w:ind w:left="714" w:hanging="357"/>
        <w:jc w:val="both"/>
        <w:rPr>
          <w:rFonts w:ascii="Arial" w:hAnsi="Arial" w:cs="Arial"/>
          <w:color w:val="auto"/>
          <w:sz w:val="20"/>
          <w:szCs w:val="20"/>
        </w:rPr>
      </w:pPr>
      <w:r w:rsidRPr="00A54B4D">
        <w:rPr>
          <w:rFonts w:ascii="Arial" w:hAnsi="Arial" w:cs="Arial"/>
          <w:color w:val="auto"/>
          <w:sz w:val="20"/>
          <w:szCs w:val="20"/>
        </w:rPr>
        <w:t>malé podniky: (10-49 zaměstnanců)</w:t>
      </w:r>
    </w:p>
    <w:p w:rsidR="00AB448E" w:rsidRDefault="00AB448E" w:rsidP="00AB448E">
      <w:pPr>
        <w:pStyle w:val="Default"/>
        <w:numPr>
          <w:ilvl w:val="0"/>
          <w:numId w:val="20"/>
        </w:numPr>
        <w:spacing w:line="288" w:lineRule="auto"/>
        <w:ind w:left="714" w:hanging="357"/>
        <w:jc w:val="both"/>
        <w:rPr>
          <w:rFonts w:ascii="Arial" w:hAnsi="Arial" w:cs="Arial"/>
          <w:color w:val="auto"/>
          <w:sz w:val="20"/>
          <w:szCs w:val="20"/>
        </w:rPr>
      </w:pPr>
      <w:r w:rsidRPr="00A54B4D">
        <w:rPr>
          <w:rFonts w:ascii="Arial" w:hAnsi="Arial" w:cs="Arial"/>
          <w:color w:val="auto"/>
          <w:sz w:val="20"/>
          <w:szCs w:val="20"/>
        </w:rPr>
        <w:t>střední podniky: (50-249 zaměstnanců)</w:t>
      </w:r>
    </w:p>
    <w:p w:rsidR="00AB448E" w:rsidRDefault="00AB448E" w:rsidP="00AB448E">
      <w:pPr>
        <w:pStyle w:val="Default"/>
        <w:numPr>
          <w:ilvl w:val="0"/>
          <w:numId w:val="20"/>
        </w:numPr>
        <w:spacing w:line="288" w:lineRule="auto"/>
        <w:ind w:left="714" w:hanging="357"/>
        <w:jc w:val="both"/>
        <w:rPr>
          <w:rFonts w:ascii="Arial" w:hAnsi="Arial" w:cs="Arial"/>
          <w:color w:val="auto"/>
          <w:sz w:val="20"/>
          <w:szCs w:val="20"/>
        </w:rPr>
      </w:pPr>
      <w:r w:rsidRPr="00A54B4D">
        <w:rPr>
          <w:rFonts w:ascii="Arial" w:hAnsi="Arial" w:cs="Arial"/>
          <w:color w:val="auto"/>
          <w:sz w:val="20"/>
          <w:szCs w:val="20"/>
        </w:rPr>
        <w:t>velké podniky: (250 a více zaměstnanců)</w:t>
      </w:r>
    </w:p>
    <w:p w:rsidR="008626DB" w:rsidRDefault="008626DB" w:rsidP="008626DB">
      <w:pPr>
        <w:pStyle w:val="Default"/>
        <w:spacing w:line="288" w:lineRule="auto"/>
        <w:jc w:val="both"/>
        <w:rPr>
          <w:rFonts w:ascii="Arial" w:hAnsi="Arial" w:cs="Arial"/>
          <w:color w:val="auto"/>
          <w:sz w:val="20"/>
          <w:szCs w:val="20"/>
        </w:rPr>
      </w:pPr>
    </w:p>
    <w:p w:rsidR="008626DB" w:rsidRPr="008626DB" w:rsidRDefault="008626DB" w:rsidP="003A298B">
      <w:pPr>
        <w:pStyle w:val="Default"/>
        <w:numPr>
          <w:ilvl w:val="0"/>
          <w:numId w:val="22"/>
        </w:numPr>
        <w:spacing w:after="120" w:line="288" w:lineRule="auto"/>
        <w:ind w:left="425" w:hanging="425"/>
        <w:jc w:val="both"/>
        <w:rPr>
          <w:rFonts w:ascii="Arial" w:hAnsi="Arial" w:cs="Arial"/>
          <w:b/>
          <w:bCs/>
          <w:color w:val="009BB4"/>
          <w:sz w:val="22"/>
          <w:szCs w:val="22"/>
        </w:rPr>
      </w:pPr>
      <w:r w:rsidRPr="008626DB">
        <w:rPr>
          <w:rFonts w:ascii="Arial" w:hAnsi="Arial" w:cs="Arial"/>
          <w:b/>
          <w:bCs/>
          <w:color w:val="009BB4"/>
          <w:sz w:val="22"/>
          <w:szCs w:val="22"/>
        </w:rPr>
        <w:t xml:space="preserve">Třídění jednotek podle </w:t>
      </w:r>
      <w:r>
        <w:rPr>
          <w:rFonts w:ascii="Arial" w:hAnsi="Arial" w:cs="Arial"/>
          <w:b/>
          <w:bCs/>
          <w:color w:val="009BB4"/>
          <w:sz w:val="22"/>
          <w:szCs w:val="22"/>
        </w:rPr>
        <w:t>i</w:t>
      </w:r>
      <w:r w:rsidRPr="008626DB">
        <w:rPr>
          <w:rFonts w:ascii="Arial" w:hAnsi="Arial" w:cs="Arial"/>
          <w:b/>
          <w:bCs/>
          <w:color w:val="009BB4"/>
          <w:sz w:val="22"/>
          <w:szCs w:val="22"/>
        </w:rPr>
        <w:t>nstitucionálního sektoru</w:t>
      </w:r>
    </w:p>
    <w:p w:rsidR="008626DB" w:rsidRDefault="008626DB" w:rsidP="008626DB">
      <w:pPr>
        <w:spacing w:after="120"/>
        <w:ind w:left="152"/>
        <w:jc w:val="both"/>
        <w:rPr>
          <w:rFonts w:cs="Arial"/>
          <w:szCs w:val="20"/>
        </w:rPr>
      </w:pPr>
      <w:r>
        <w:rPr>
          <w:rFonts w:cs="Arial"/>
          <w:szCs w:val="20"/>
        </w:rPr>
        <w:t>Institucionální</w:t>
      </w:r>
      <w:r w:rsidRPr="008626DB">
        <w:rPr>
          <w:rFonts w:cs="Arial"/>
          <w:szCs w:val="20"/>
        </w:rPr>
        <w:t xml:space="preserve"> sektor</w:t>
      </w:r>
      <w:r>
        <w:rPr>
          <w:rFonts w:cs="Arial"/>
          <w:szCs w:val="20"/>
        </w:rPr>
        <w:t xml:space="preserve"> je</w:t>
      </w:r>
      <w:r w:rsidRPr="008626DB">
        <w:rPr>
          <w:rFonts w:cs="Arial"/>
          <w:szCs w:val="20"/>
        </w:rPr>
        <w:t xml:space="preserve"> přiřazen</w:t>
      </w:r>
      <w:r>
        <w:rPr>
          <w:rFonts w:cs="Arial"/>
          <w:szCs w:val="20"/>
        </w:rPr>
        <w:t xml:space="preserve"> </w:t>
      </w:r>
      <w:r w:rsidRPr="008626DB">
        <w:rPr>
          <w:rFonts w:cs="Arial"/>
          <w:szCs w:val="20"/>
        </w:rPr>
        <w:t>subjektům v rámci Národních účtů ČSÚ, a to podle Číselníku institucionálních sektorů a subsektorů (S.XY) podle systému ESA 2010.</w:t>
      </w:r>
      <w:r w:rsidRPr="00A807EA">
        <w:rPr>
          <w:rFonts w:cs="Arial"/>
          <w:szCs w:val="20"/>
        </w:rPr>
        <w:t xml:space="preserve"> </w:t>
      </w:r>
    </w:p>
    <w:p w:rsidR="008626DB" w:rsidRPr="00E04E22" w:rsidRDefault="008626DB" w:rsidP="00E04E22">
      <w:pPr>
        <w:numPr>
          <w:ilvl w:val="0"/>
          <w:numId w:val="20"/>
        </w:numPr>
        <w:rPr>
          <w:rFonts w:eastAsia="Calibri" w:cs="Arial"/>
          <w:szCs w:val="20"/>
          <w:lang w:eastAsia="en-US"/>
        </w:rPr>
      </w:pPr>
      <w:r w:rsidRPr="00E04E22">
        <w:rPr>
          <w:rFonts w:cs="Arial"/>
          <w:b/>
          <w:szCs w:val="20"/>
        </w:rPr>
        <w:t xml:space="preserve">domácí podniky </w:t>
      </w:r>
      <w:r w:rsidR="00EE2D34" w:rsidRPr="00E04E22">
        <w:rPr>
          <w:rFonts w:cs="Arial"/>
          <w:b/>
          <w:szCs w:val="20"/>
        </w:rPr>
        <w:t xml:space="preserve">(S.11001 + </w:t>
      </w:r>
      <w:r w:rsidR="00EE2D34" w:rsidRPr="00E04E22">
        <w:rPr>
          <w:b/>
        </w:rPr>
        <w:t xml:space="preserve"> </w:t>
      </w:r>
      <w:r w:rsidR="00EE2D34" w:rsidRPr="00E04E22">
        <w:rPr>
          <w:rFonts w:cs="Arial"/>
          <w:b/>
          <w:szCs w:val="20"/>
        </w:rPr>
        <w:t>S.11002 + S.12X01</w:t>
      </w:r>
      <w:r w:rsidR="00EE2D34" w:rsidRPr="00E04E22">
        <w:rPr>
          <w:b/>
        </w:rPr>
        <w:t xml:space="preserve"> +</w:t>
      </w:r>
      <w:r w:rsidR="00EE2D34" w:rsidRPr="00E04E22">
        <w:rPr>
          <w:rFonts w:cs="Arial"/>
          <w:b/>
          <w:szCs w:val="20"/>
        </w:rPr>
        <w:t xml:space="preserve"> S.12X02 + S.141 + S.142)</w:t>
      </w:r>
      <w:r w:rsidR="00E04E22" w:rsidRPr="00E04E22">
        <w:t xml:space="preserve"> </w:t>
      </w:r>
      <w:r w:rsidR="00E04E22" w:rsidRPr="00E04E22">
        <w:rPr>
          <w:rFonts w:eastAsia="Calibri" w:cs="Arial"/>
          <w:szCs w:val="20"/>
          <w:lang w:eastAsia="en-US"/>
        </w:rPr>
        <w:t xml:space="preserve">zahrnující všechny nefinanční podniky, OSVČ, finanční instituce, kvazikorporace a neziskové instituce, které jsou uznány za nezávislé právnické nebo fyzické osoby a jsou tržními výrobci nebo poskytovateli služeb, jež nejsou pod kontrolou nerezidentských institucionálních jednotek. </w:t>
      </w:r>
    </w:p>
    <w:p w:rsidR="008626DB" w:rsidRPr="00EE2D34" w:rsidRDefault="00EE2D34" w:rsidP="00E04E22">
      <w:pPr>
        <w:pStyle w:val="Default"/>
        <w:numPr>
          <w:ilvl w:val="0"/>
          <w:numId w:val="20"/>
        </w:numPr>
        <w:spacing w:line="288" w:lineRule="auto"/>
        <w:jc w:val="both"/>
        <w:rPr>
          <w:rFonts w:ascii="Arial" w:hAnsi="Arial" w:cs="Arial"/>
          <w:color w:val="auto"/>
          <w:sz w:val="20"/>
          <w:szCs w:val="20"/>
        </w:rPr>
      </w:pPr>
      <w:r w:rsidRPr="00E04E22">
        <w:rPr>
          <w:rFonts w:ascii="Arial" w:hAnsi="Arial" w:cs="Arial"/>
          <w:b/>
          <w:color w:val="auto"/>
          <w:sz w:val="20"/>
          <w:szCs w:val="20"/>
        </w:rPr>
        <w:t>podniky pod zahraniční kontrolou (S.11003 + S.12X03)</w:t>
      </w:r>
      <w:r w:rsidR="00E04E22">
        <w:rPr>
          <w:rFonts w:ascii="Arial" w:hAnsi="Arial" w:cs="Arial"/>
          <w:color w:val="auto"/>
          <w:sz w:val="20"/>
          <w:szCs w:val="20"/>
        </w:rPr>
        <w:t xml:space="preserve"> </w:t>
      </w:r>
      <w:r w:rsidR="00E04E22" w:rsidRPr="00E04E22">
        <w:rPr>
          <w:rFonts w:ascii="Arial" w:hAnsi="Arial" w:cs="Arial"/>
          <w:color w:val="auto"/>
          <w:sz w:val="20"/>
          <w:szCs w:val="20"/>
        </w:rPr>
        <w:t>zahrnující všechny podniky, finanční instituce a kvazikorporace, které jsou ovládány nerezidentskými (zahraničními) jednotkami (zahraniční afilace). Nejčastěji jde o dceřiné společnosti nerezidentských (zahraničních) mateřských korporací.</w:t>
      </w:r>
    </w:p>
    <w:p w:rsidR="008626DB" w:rsidRPr="00A807EA" w:rsidRDefault="008626DB" w:rsidP="008626DB">
      <w:pPr>
        <w:spacing w:after="120"/>
        <w:ind w:left="152"/>
        <w:jc w:val="both"/>
        <w:rPr>
          <w:rFonts w:cs="Arial"/>
          <w:szCs w:val="20"/>
        </w:rPr>
      </w:pPr>
    </w:p>
    <w:p w:rsidR="00AB448E" w:rsidRDefault="00AB448E" w:rsidP="00AB448E">
      <w:pPr>
        <w:pStyle w:val="Default"/>
        <w:spacing w:line="288" w:lineRule="auto"/>
        <w:ind w:left="714"/>
        <w:jc w:val="both"/>
        <w:rPr>
          <w:rFonts w:ascii="Arial" w:hAnsi="Arial" w:cs="Arial"/>
          <w:color w:val="auto"/>
          <w:sz w:val="20"/>
          <w:szCs w:val="20"/>
        </w:rPr>
      </w:pPr>
    </w:p>
    <w:bookmarkEnd w:id="0"/>
    <w:p w:rsidR="007334D7" w:rsidRDefault="00B2432D" w:rsidP="00A16413">
      <w:r>
        <w:rPr>
          <w:noProof/>
        </w:rPr>
        <w:pict>
          <v:shapetype id="_x0000_t202" coordsize="21600,21600" o:spt="202" path="m,l,21600r21600,l21600,xe">
            <v:stroke joinstyle="miter"/>
            <v:path gradientshapeok="t" o:connecttype="rect"/>
          </v:shapetype>
          <v:shape id="Textové pole 2" o:spid="_x0000_s1042" type="#_x0000_t202" style="position:absolute;margin-left:52.5pt;margin-top:702.7pt;width:403.95pt;height:52.9pt;z-index:251657728;visibility:visible;mso-position-horizontal-relative:page;mso-position-vertical-relative:page;mso-width-relative:margin;mso-height-relative:margin" filled="f" stroked="f">
            <v:textbox style="mso-next-textbox:#Textové pole 2" inset="0,0,0,0">
              <w:txbxContent>
                <w:p w:rsidR="007334D7" w:rsidRPr="006C5577" w:rsidRDefault="007334D7" w:rsidP="00972BD0">
                  <w:pPr>
                    <w:spacing w:after="60"/>
                  </w:pPr>
                  <w:r>
                    <w:t>Z</w:t>
                  </w:r>
                  <w:r w:rsidRPr="006C5577">
                    <w:t xml:space="preserve">pracoval: Odbor </w:t>
                  </w:r>
                  <w:r w:rsidR="00272200">
                    <w:t>statistik rozvoje společnosti</w:t>
                  </w:r>
                </w:p>
                <w:p w:rsidR="007334D7" w:rsidRPr="006C5577" w:rsidRDefault="007334D7" w:rsidP="00972BD0">
                  <w:pPr>
                    <w:spacing w:after="60"/>
                  </w:pPr>
                  <w:r w:rsidRPr="006C5577">
                    <w:t xml:space="preserve">Ředitel odboru: </w:t>
                  </w:r>
                  <w:r w:rsidR="00272200">
                    <w:t>Martin Mana</w:t>
                  </w:r>
                </w:p>
                <w:p w:rsidR="007334D7" w:rsidRPr="006C5577" w:rsidRDefault="007334D7" w:rsidP="00972BD0">
                  <w:pPr>
                    <w:spacing w:after="60"/>
                  </w:pPr>
                  <w:r w:rsidRPr="006C5577">
                    <w:t xml:space="preserve">Kontaktní osoba: </w:t>
                  </w:r>
                  <w:r w:rsidR="00272200">
                    <w:t>Karel Eliáš</w:t>
                  </w:r>
                  <w:r w:rsidRPr="006C5577">
                    <w:t>,</w:t>
                  </w:r>
                  <w:r>
                    <w:t xml:space="preserve"> e-mail: </w:t>
                  </w:r>
                  <w:hyperlink r:id="rId12" w:history="1">
                    <w:r w:rsidR="00272200" w:rsidRPr="00D87FA4">
                      <w:rPr>
                        <w:rStyle w:val="Hypertextovodkaz"/>
                      </w:rPr>
                      <w:t>karel.elias@czso.cz</w:t>
                    </w:r>
                  </w:hyperlink>
                  <w:r w:rsidR="00272200">
                    <w:t xml:space="preserve"> </w:t>
                  </w:r>
                </w:p>
              </w:txbxContent>
            </v:textbox>
            <w10:wrap anchorx="page" anchory="page"/>
            <w10:anchorlock/>
          </v:shape>
        </w:pict>
      </w:r>
    </w:p>
    <w:sectPr w:rsidR="007334D7" w:rsidSect="00B252DC">
      <w:headerReference w:type="even" r:id="rId13"/>
      <w:headerReference w:type="default" r:id="rId14"/>
      <w:footerReference w:type="even" r:id="rId15"/>
      <w:footerReference w:type="default" r:id="rId16"/>
      <w:pgSz w:w="11906" w:h="16838" w:code="9"/>
      <w:pgMar w:top="1134" w:right="1134" w:bottom="1418"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327" w:rsidRDefault="00D92327" w:rsidP="00E71A58">
      <w:r>
        <w:separator/>
      </w:r>
    </w:p>
  </w:endnote>
  <w:endnote w:type="continuationSeparator" w:id="0">
    <w:p w:rsidR="00D92327" w:rsidRDefault="00D92327"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1E9" w:rsidRPr="00932443" w:rsidRDefault="00B2432D" w:rsidP="00A418BC">
    <w:pPr>
      <w:pStyle w:val="Zpat"/>
      <w:rPr>
        <w:szCs w:val="16"/>
      </w:rPr>
    </w:pPr>
    <w:r>
      <w:rPr>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margin-left:-296.9pt;margin-top:-5.1pt;width:33.75pt;height:15.85pt;z-index:251658240;mso-position-horizontal:right">
          <v:imagedata r:id="rId1" o:title="CSU RGB CZ logo-01"/>
        </v:shape>
      </w:pict>
    </w:r>
    <w:r w:rsidR="00C8166E" w:rsidRPr="00932443">
      <w:rPr>
        <w:szCs w:val="16"/>
      </w:rPr>
      <w:fldChar w:fldCharType="begin"/>
    </w:r>
    <w:r w:rsidR="005647BF" w:rsidRPr="00932443">
      <w:rPr>
        <w:szCs w:val="16"/>
      </w:rPr>
      <w:instrText>PAGE   \* MERGEFORMAT</w:instrText>
    </w:r>
    <w:r w:rsidR="00C8166E" w:rsidRPr="00932443">
      <w:rPr>
        <w:szCs w:val="16"/>
      </w:rPr>
      <w:fldChar w:fldCharType="separate"/>
    </w:r>
    <w:r>
      <w:rPr>
        <w:szCs w:val="16"/>
      </w:rPr>
      <w:t>4</w:t>
    </w:r>
    <w:r w:rsidR="00C8166E" w:rsidRPr="00932443">
      <w:rPr>
        <w:szCs w:val="16"/>
      </w:rPr>
      <w:fldChar w:fldCharType="end"/>
    </w:r>
    <w:r w:rsidR="005647BF" w:rsidRPr="00932443">
      <w:rPr>
        <w:szCs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EC6" w:rsidRPr="00932443" w:rsidRDefault="00B2432D" w:rsidP="00A418BC">
    <w:pPr>
      <w:pStyle w:val="Zpat"/>
      <w:rPr>
        <w:szCs w:val="16"/>
      </w:rPr>
    </w:pPr>
    <w:r>
      <w:rPr>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margin-left:0;margin-top:-9.65pt;width:40.2pt;height:21.45pt;z-index:251657216;mso-position-horizontal:left">
          <v:imagedata r:id="rId1" o:title="CSU RGB CZ logo-02"/>
        </v:shape>
      </w:pict>
    </w:r>
    <w:r w:rsidR="005647BF" w:rsidRPr="00932443">
      <w:rPr>
        <w:szCs w:val="16"/>
      </w:rPr>
      <w:tab/>
    </w:r>
    <w:r w:rsidR="005647BF" w:rsidRPr="00932443">
      <w:rPr>
        <w:szCs w:val="16"/>
      </w:rPr>
      <w:tab/>
    </w:r>
    <w:r w:rsidR="00C8166E" w:rsidRPr="00932443">
      <w:rPr>
        <w:rStyle w:val="ZpatChar"/>
        <w:szCs w:val="16"/>
      </w:rPr>
      <w:fldChar w:fldCharType="begin"/>
    </w:r>
    <w:r w:rsidR="005647BF" w:rsidRPr="00932443">
      <w:rPr>
        <w:rStyle w:val="ZpatChar"/>
        <w:szCs w:val="16"/>
      </w:rPr>
      <w:instrText>PAGE   \* MERGEFORMAT</w:instrText>
    </w:r>
    <w:r w:rsidR="00C8166E" w:rsidRPr="00932443">
      <w:rPr>
        <w:rStyle w:val="ZpatChar"/>
        <w:szCs w:val="16"/>
      </w:rPr>
      <w:fldChar w:fldCharType="separate"/>
    </w:r>
    <w:r>
      <w:rPr>
        <w:rStyle w:val="ZpatChar"/>
        <w:szCs w:val="16"/>
      </w:rPr>
      <w:t>1</w:t>
    </w:r>
    <w:r w:rsidR="00C8166E" w:rsidRPr="00932443">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327" w:rsidRDefault="00D92327" w:rsidP="00E71A58">
      <w:r>
        <w:separator/>
      </w:r>
    </w:p>
  </w:footnote>
  <w:footnote w:type="continuationSeparator" w:id="0">
    <w:p w:rsidR="00D92327" w:rsidRDefault="00D92327" w:rsidP="00E71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2DC" w:rsidRPr="006F5416" w:rsidRDefault="006B7A04" w:rsidP="00B252DC">
    <w:pPr>
      <w:pStyle w:val="Zhlav"/>
    </w:pPr>
    <w:r>
      <w:t>Ukazatele a datové zdroje k statistikám odvětví informační ekonomiky, tj. ICT sektoru a Informačního a mediálního sektoru</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52E" w:rsidRPr="006F5416" w:rsidRDefault="00B252DC" w:rsidP="00937AE2">
    <w:pPr>
      <w:pStyle w:val="Zhlav"/>
    </w:pPr>
    <w:r>
      <w:t>Ukazatele a datové zdroje k</w:t>
    </w:r>
    <w:r w:rsidR="006B7A04">
      <w:t> </w:t>
    </w:r>
    <w:r>
      <w:t>statisti</w:t>
    </w:r>
    <w:r w:rsidR="006B7A04">
      <w:t>kám odvětví informační ekonomiky, tj. ICT sektoru a Informačního a mediálního sektoru</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752F1B"/>
    <w:multiLevelType w:val="hybridMultilevel"/>
    <w:tmpl w:val="284655AA"/>
    <w:lvl w:ilvl="0" w:tplc="EA625130">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252223"/>
    <w:multiLevelType w:val="hybridMultilevel"/>
    <w:tmpl w:val="98A0C764"/>
    <w:lvl w:ilvl="0" w:tplc="95CAE63E">
      <w:numFmt w:val="bullet"/>
      <w:lvlText w:val="-"/>
      <w:lvlJc w:val="left"/>
      <w:pPr>
        <w:ind w:left="872" w:hanging="360"/>
      </w:pPr>
      <w:rPr>
        <w:rFonts w:ascii="Times New Roman" w:eastAsia="Times New Roman" w:hAnsi="Times New Roman" w:cs="Times New Roman" w:hint="default"/>
      </w:rPr>
    </w:lvl>
    <w:lvl w:ilvl="1" w:tplc="04050003" w:tentative="1">
      <w:start w:val="1"/>
      <w:numFmt w:val="bullet"/>
      <w:lvlText w:val="o"/>
      <w:lvlJc w:val="left"/>
      <w:pPr>
        <w:ind w:left="1592" w:hanging="360"/>
      </w:pPr>
      <w:rPr>
        <w:rFonts w:ascii="Courier New" w:hAnsi="Courier New" w:cs="Courier New" w:hint="default"/>
      </w:rPr>
    </w:lvl>
    <w:lvl w:ilvl="2" w:tplc="04050005" w:tentative="1">
      <w:start w:val="1"/>
      <w:numFmt w:val="bullet"/>
      <w:lvlText w:val=""/>
      <w:lvlJc w:val="left"/>
      <w:pPr>
        <w:ind w:left="2312" w:hanging="360"/>
      </w:pPr>
      <w:rPr>
        <w:rFonts w:ascii="Wingdings" w:hAnsi="Wingdings" w:hint="default"/>
      </w:rPr>
    </w:lvl>
    <w:lvl w:ilvl="3" w:tplc="04050001" w:tentative="1">
      <w:start w:val="1"/>
      <w:numFmt w:val="bullet"/>
      <w:lvlText w:val=""/>
      <w:lvlJc w:val="left"/>
      <w:pPr>
        <w:ind w:left="3032" w:hanging="360"/>
      </w:pPr>
      <w:rPr>
        <w:rFonts w:ascii="Symbol" w:hAnsi="Symbol" w:hint="default"/>
      </w:rPr>
    </w:lvl>
    <w:lvl w:ilvl="4" w:tplc="04050003" w:tentative="1">
      <w:start w:val="1"/>
      <w:numFmt w:val="bullet"/>
      <w:lvlText w:val="o"/>
      <w:lvlJc w:val="left"/>
      <w:pPr>
        <w:ind w:left="3752" w:hanging="360"/>
      </w:pPr>
      <w:rPr>
        <w:rFonts w:ascii="Courier New" w:hAnsi="Courier New" w:cs="Courier New" w:hint="default"/>
      </w:rPr>
    </w:lvl>
    <w:lvl w:ilvl="5" w:tplc="04050005" w:tentative="1">
      <w:start w:val="1"/>
      <w:numFmt w:val="bullet"/>
      <w:lvlText w:val=""/>
      <w:lvlJc w:val="left"/>
      <w:pPr>
        <w:ind w:left="4472" w:hanging="360"/>
      </w:pPr>
      <w:rPr>
        <w:rFonts w:ascii="Wingdings" w:hAnsi="Wingdings" w:hint="default"/>
      </w:rPr>
    </w:lvl>
    <w:lvl w:ilvl="6" w:tplc="04050001" w:tentative="1">
      <w:start w:val="1"/>
      <w:numFmt w:val="bullet"/>
      <w:lvlText w:val=""/>
      <w:lvlJc w:val="left"/>
      <w:pPr>
        <w:ind w:left="5192" w:hanging="360"/>
      </w:pPr>
      <w:rPr>
        <w:rFonts w:ascii="Symbol" w:hAnsi="Symbol" w:hint="default"/>
      </w:rPr>
    </w:lvl>
    <w:lvl w:ilvl="7" w:tplc="04050003" w:tentative="1">
      <w:start w:val="1"/>
      <w:numFmt w:val="bullet"/>
      <w:lvlText w:val="o"/>
      <w:lvlJc w:val="left"/>
      <w:pPr>
        <w:ind w:left="5912" w:hanging="360"/>
      </w:pPr>
      <w:rPr>
        <w:rFonts w:ascii="Courier New" w:hAnsi="Courier New" w:cs="Courier New" w:hint="default"/>
      </w:rPr>
    </w:lvl>
    <w:lvl w:ilvl="8" w:tplc="04050005" w:tentative="1">
      <w:start w:val="1"/>
      <w:numFmt w:val="bullet"/>
      <w:lvlText w:val=""/>
      <w:lvlJc w:val="left"/>
      <w:pPr>
        <w:ind w:left="6632" w:hanging="360"/>
      </w:pPr>
      <w:rPr>
        <w:rFonts w:ascii="Wingdings" w:hAnsi="Wingdings" w:hint="default"/>
      </w:rPr>
    </w:lvl>
  </w:abstractNum>
  <w:abstractNum w:abstractNumId="12" w15:restartNumberingAfterBreak="0">
    <w:nsid w:val="1769441D"/>
    <w:multiLevelType w:val="hybridMultilevel"/>
    <w:tmpl w:val="AFAE368E"/>
    <w:lvl w:ilvl="0" w:tplc="04050015">
      <w:start w:val="1"/>
      <w:numFmt w:val="upperLetter"/>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D386B0A"/>
    <w:multiLevelType w:val="hybridMultilevel"/>
    <w:tmpl w:val="6A825A2E"/>
    <w:lvl w:ilvl="0" w:tplc="25BE4CB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14F6F7A"/>
    <w:multiLevelType w:val="hybridMultilevel"/>
    <w:tmpl w:val="F7BC9BB2"/>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31E12F12"/>
    <w:multiLevelType w:val="hybridMultilevel"/>
    <w:tmpl w:val="F6A49642"/>
    <w:lvl w:ilvl="0" w:tplc="1C880FCA">
      <w:start w:val="1"/>
      <w:numFmt w:val="lowerRoman"/>
      <w:lvlText w:val="%1)"/>
      <w:lvlJc w:val="left"/>
      <w:pPr>
        <w:ind w:left="152" w:hanging="720"/>
      </w:pPr>
      <w:rPr>
        <w:rFonts w:hint="default"/>
      </w:rPr>
    </w:lvl>
    <w:lvl w:ilvl="1" w:tplc="04050019" w:tentative="1">
      <w:start w:val="1"/>
      <w:numFmt w:val="lowerLetter"/>
      <w:lvlText w:val="%2."/>
      <w:lvlJc w:val="left"/>
      <w:pPr>
        <w:ind w:left="512" w:hanging="360"/>
      </w:pPr>
    </w:lvl>
    <w:lvl w:ilvl="2" w:tplc="0405001B" w:tentative="1">
      <w:start w:val="1"/>
      <w:numFmt w:val="lowerRoman"/>
      <w:lvlText w:val="%3."/>
      <w:lvlJc w:val="right"/>
      <w:pPr>
        <w:ind w:left="1232" w:hanging="180"/>
      </w:pPr>
    </w:lvl>
    <w:lvl w:ilvl="3" w:tplc="0405000F" w:tentative="1">
      <w:start w:val="1"/>
      <w:numFmt w:val="decimal"/>
      <w:lvlText w:val="%4."/>
      <w:lvlJc w:val="left"/>
      <w:pPr>
        <w:ind w:left="1952" w:hanging="360"/>
      </w:pPr>
    </w:lvl>
    <w:lvl w:ilvl="4" w:tplc="04050019" w:tentative="1">
      <w:start w:val="1"/>
      <w:numFmt w:val="lowerLetter"/>
      <w:lvlText w:val="%5."/>
      <w:lvlJc w:val="left"/>
      <w:pPr>
        <w:ind w:left="2672" w:hanging="360"/>
      </w:pPr>
    </w:lvl>
    <w:lvl w:ilvl="5" w:tplc="0405001B" w:tentative="1">
      <w:start w:val="1"/>
      <w:numFmt w:val="lowerRoman"/>
      <w:lvlText w:val="%6."/>
      <w:lvlJc w:val="right"/>
      <w:pPr>
        <w:ind w:left="3392" w:hanging="180"/>
      </w:pPr>
    </w:lvl>
    <w:lvl w:ilvl="6" w:tplc="0405000F" w:tentative="1">
      <w:start w:val="1"/>
      <w:numFmt w:val="decimal"/>
      <w:lvlText w:val="%7."/>
      <w:lvlJc w:val="left"/>
      <w:pPr>
        <w:ind w:left="4112" w:hanging="360"/>
      </w:pPr>
    </w:lvl>
    <w:lvl w:ilvl="7" w:tplc="04050019" w:tentative="1">
      <w:start w:val="1"/>
      <w:numFmt w:val="lowerLetter"/>
      <w:lvlText w:val="%8."/>
      <w:lvlJc w:val="left"/>
      <w:pPr>
        <w:ind w:left="4832" w:hanging="360"/>
      </w:pPr>
    </w:lvl>
    <w:lvl w:ilvl="8" w:tplc="0405001B" w:tentative="1">
      <w:start w:val="1"/>
      <w:numFmt w:val="lowerRoman"/>
      <w:lvlText w:val="%9."/>
      <w:lvlJc w:val="right"/>
      <w:pPr>
        <w:ind w:left="5552" w:hanging="180"/>
      </w:pPr>
    </w:lvl>
  </w:abstractNum>
  <w:abstractNum w:abstractNumId="17" w15:restartNumberingAfterBreak="0">
    <w:nsid w:val="461F6308"/>
    <w:multiLevelType w:val="hybridMultilevel"/>
    <w:tmpl w:val="105873E6"/>
    <w:lvl w:ilvl="0" w:tplc="39D4FD2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19C1B16"/>
    <w:multiLevelType w:val="hybridMultilevel"/>
    <w:tmpl w:val="A2902170"/>
    <w:lvl w:ilvl="0" w:tplc="313AD16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83F39C1"/>
    <w:multiLevelType w:val="hybridMultilevel"/>
    <w:tmpl w:val="E2FC5A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F440D90"/>
    <w:multiLevelType w:val="hybridMultilevel"/>
    <w:tmpl w:val="F350FB1E"/>
    <w:lvl w:ilvl="0" w:tplc="CB70FDD0">
      <w:start w:val="1"/>
      <w:numFmt w:val="bullet"/>
      <w:lvlText w:val="−"/>
      <w:lvlJc w:val="left"/>
      <w:pPr>
        <w:ind w:left="644" w:hanging="360"/>
      </w:pPr>
      <w:rPr>
        <w:rFonts w:ascii="Arial" w:hAnsi="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3" w15:restartNumberingAfterBreak="0">
    <w:nsid w:val="6746242A"/>
    <w:multiLevelType w:val="hybridMultilevel"/>
    <w:tmpl w:val="1C5A0A3C"/>
    <w:lvl w:ilvl="0" w:tplc="39D4FD2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227777"/>
    <w:multiLevelType w:val="hybridMultilevel"/>
    <w:tmpl w:val="C748883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5" w15:restartNumberingAfterBreak="0">
    <w:nsid w:val="77DB70E0"/>
    <w:multiLevelType w:val="hybridMultilevel"/>
    <w:tmpl w:val="23C6EAAE"/>
    <w:lvl w:ilvl="0" w:tplc="CB70FDD0">
      <w:start w:val="1"/>
      <w:numFmt w:val="bullet"/>
      <w:lvlText w:val="−"/>
      <w:lvlJc w:val="left"/>
      <w:pPr>
        <w:ind w:left="1004" w:hanging="360"/>
      </w:pPr>
      <w:rPr>
        <w:rFonts w:ascii="Arial" w:hAnsi="Aria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6" w15:restartNumberingAfterBreak="0">
    <w:nsid w:val="7D4F25C8"/>
    <w:multiLevelType w:val="hybridMultilevel"/>
    <w:tmpl w:val="4B764A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3"/>
  </w:num>
  <w:num w:numId="13">
    <w:abstractNumId w:val="19"/>
  </w:num>
  <w:num w:numId="14">
    <w:abstractNumId w:val="15"/>
  </w:num>
  <w:num w:numId="15">
    <w:abstractNumId w:val="10"/>
  </w:num>
  <w:num w:numId="16">
    <w:abstractNumId w:val="20"/>
  </w:num>
  <w:num w:numId="17">
    <w:abstractNumId w:val="14"/>
  </w:num>
  <w:num w:numId="18">
    <w:abstractNumId w:val="23"/>
  </w:num>
  <w:num w:numId="19">
    <w:abstractNumId w:val="17"/>
  </w:num>
  <w:num w:numId="20">
    <w:abstractNumId w:val="21"/>
  </w:num>
  <w:num w:numId="21">
    <w:abstractNumId w:val="12"/>
  </w:num>
  <w:num w:numId="22">
    <w:abstractNumId w:val="16"/>
  </w:num>
  <w:num w:numId="23">
    <w:abstractNumId w:val="11"/>
  </w:num>
  <w:num w:numId="24">
    <w:abstractNumId w:val="26"/>
  </w:num>
  <w:num w:numId="25">
    <w:abstractNumId w:val="25"/>
  </w:num>
  <w:num w:numId="26">
    <w:abstractNumId w:val="22"/>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oNotTrackMoves/>
  <w:defaultTabStop w:val="708"/>
  <w:hyphenationZone w:val="425"/>
  <w:evenAndOddHeaders/>
  <w:drawingGridHorizontalSpacing w:val="110"/>
  <w:displayHorizontalDrawingGridEvery w:val="2"/>
  <w:characterSpacingControl w:val="doNotCompress"/>
  <w:hdrShapeDefaults>
    <o:shapedefaults v:ext="edit" spidmax="2060">
      <o:colormru v:ext="edit" colors="#ecf4dd,#eaecee,#fcec0a,#fcecdb,#f1daf5"/>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3A9A"/>
    <w:rsid w:val="0000209D"/>
    <w:rsid w:val="00004D5A"/>
    <w:rsid w:val="000056D5"/>
    <w:rsid w:val="0000767A"/>
    <w:rsid w:val="00010702"/>
    <w:rsid w:val="000234D6"/>
    <w:rsid w:val="00023D29"/>
    <w:rsid w:val="0002637B"/>
    <w:rsid w:val="00026389"/>
    <w:rsid w:val="00031AE0"/>
    <w:rsid w:val="000322EF"/>
    <w:rsid w:val="00033FCD"/>
    <w:rsid w:val="00041CEC"/>
    <w:rsid w:val="00043DE3"/>
    <w:rsid w:val="0004694F"/>
    <w:rsid w:val="0005218B"/>
    <w:rsid w:val="000522E4"/>
    <w:rsid w:val="00060E9B"/>
    <w:rsid w:val="000610E1"/>
    <w:rsid w:val="00062EC5"/>
    <w:rsid w:val="00062F22"/>
    <w:rsid w:val="00067FBE"/>
    <w:rsid w:val="000712B3"/>
    <w:rsid w:val="00074574"/>
    <w:rsid w:val="0008263E"/>
    <w:rsid w:val="00082C19"/>
    <w:rsid w:val="00084529"/>
    <w:rsid w:val="00085395"/>
    <w:rsid w:val="00087634"/>
    <w:rsid w:val="00087F2B"/>
    <w:rsid w:val="000974D1"/>
    <w:rsid w:val="0009799E"/>
    <w:rsid w:val="000A1183"/>
    <w:rsid w:val="000A256D"/>
    <w:rsid w:val="000A3511"/>
    <w:rsid w:val="000A3A2C"/>
    <w:rsid w:val="000C3408"/>
    <w:rsid w:val="000C6AFD"/>
    <w:rsid w:val="000D2C0B"/>
    <w:rsid w:val="000D5637"/>
    <w:rsid w:val="000D5CA5"/>
    <w:rsid w:val="000E6FBD"/>
    <w:rsid w:val="000F3A9A"/>
    <w:rsid w:val="00100F5C"/>
    <w:rsid w:val="00104C4C"/>
    <w:rsid w:val="001142F3"/>
    <w:rsid w:val="0012192F"/>
    <w:rsid w:val="00125D69"/>
    <w:rsid w:val="00136B4F"/>
    <w:rsid w:val="001405FA"/>
    <w:rsid w:val="001425C3"/>
    <w:rsid w:val="00144099"/>
    <w:rsid w:val="0015783B"/>
    <w:rsid w:val="00157EB2"/>
    <w:rsid w:val="0016256B"/>
    <w:rsid w:val="00163793"/>
    <w:rsid w:val="001706D6"/>
    <w:rsid w:val="001714F2"/>
    <w:rsid w:val="00183516"/>
    <w:rsid w:val="00184B08"/>
    <w:rsid w:val="00185010"/>
    <w:rsid w:val="001A552F"/>
    <w:rsid w:val="001B2CA9"/>
    <w:rsid w:val="001B3110"/>
    <w:rsid w:val="001B4729"/>
    <w:rsid w:val="001B6C09"/>
    <w:rsid w:val="001C05CD"/>
    <w:rsid w:val="001D37CD"/>
    <w:rsid w:val="001D68B2"/>
    <w:rsid w:val="001F4597"/>
    <w:rsid w:val="001F5A1B"/>
    <w:rsid w:val="002118B9"/>
    <w:rsid w:val="00215644"/>
    <w:rsid w:val="00215A95"/>
    <w:rsid w:val="00215B40"/>
    <w:rsid w:val="00217C5B"/>
    <w:rsid w:val="0022139E"/>
    <w:rsid w:val="002252E0"/>
    <w:rsid w:val="002255F6"/>
    <w:rsid w:val="00227850"/>
    <w:rsid w:val="00227A53"/>
    <w:rsid w:val="00230C6E"/>
    <w:rsid w:val="00236443"/>
    <w:rsid w:val="002436BA"/>
    <w:rsid w:val="00244A15"/>
    <w:rsid w:val="00247319"/>
    <w:rsid w:val="0024799E"/>
    <w:rsid w:val="00253C0F"/>
    <w:rsid w:val="00271465"/>
    <w:rsid w:val="00271928"/>
    <w:rsid w:val="00272200"/>
    <w:rsid w:val="00284256"/>
    <w:rsid w:val="002849C5"/>
    <w:rsid w:val="00285412"/>
    <w:rsid w:val="002A16D4"/>
    <w:rsid w:val="002A230C"/>
    <w:rsid w:val="002C43BD"/>
    <w:rsid w:val="002D0E59"/>
    <w:rsid w:val="002E02A1"/>
    <w:rsid w:val="002E4E4C"/>
    <w:rsid w:val="002F0478"/>
    <w:rsid w:val="00304771"/>
    <w:rsid w:val="003052D4"/>
    <w:rsid w:val="00305AEA"/>
    <w:rsid w:val="00306C5B"/>
    <w:rsid w:val="003209D6"/>
    <w:rsid w:val="00321924"/>
    <w:rsid w:val="0032656E"/>
    <w:rsid w:val="00332190"/>
    <w:rsid w:val="003366CE"/>
    <w:rsid w:val="00344668"/>
    <w:rsid w:val="00344DFA"/>
    <w:rsid w:val="003462D9"/>
    <w:rsid w:val="00360C86"/>
    <w:rsid w:val="003657F3"/>
    <w:rsid w:val="0036679C"/>
    <w:rsid w:val="00377134"/>
    <w:rsid w:val="00377F8F"/>
    <w:rsid w:val="003818DC"/>
    <w:rsid w:val="003830D2"/>
    <w:rsid w:val="00384327"/>
    <w:rsid w:val="00385D98"/>
    <w:rsid w:val="003929B6"/>
    <w:rsid w:val="003A2B4D"/>
    <w:rsid w:val="003A478C"/>
    <w:rsid w:val="003A5525"/>
    <w:rsid w:val="003A6B38"/>
    <w:rsid w:val="003B33D8"/>
    <w:rsid w:val="003B5A32"/>
    <w:rsid w:val="003C3490"/>
    <w:rsid w:val="003C4889"/>
    <w:rsid w:val="003C5C4C"/>
    <w:rsid w:val="003D6920"/>
    <w:rsid w:val="003E4C91"/>
    <w:rsid w:val="003F313C"/>
    <w:rsid w:val="003F4B2C"/>
    <w:rsid w:val="003F551C"/>
    <w:rsid w:val="003F5DF4"/>
    <w:rsid w:val="003F7D23"/>
    <w:rsid w:val="00400F92"/>
    <w:rsid w:val="00407C13"/>
    <w:rsid w:val="00410638"/>
    <w:rsid w:val="0042096B"/>
    <w:rsid w:val="00432A58"/>
    <w:rsid w:val="00434617"/>
    <w:rsid w:val="00440900"/>
    <w:rsid w:val="004441A0"/>
    <w:rsid w:val="004544A8"/>
    <w:rsid w:val="00456FC3"/>
    <w:rsid w:val="00460FB3"/>
    <w:rsid w:val="00476240"/>
    <w:rsid w:val="00476439"/>
    <w:rsid w:val="0047735C"/>
    <w:rsid w:val="004776BC"/>
    <w:rsid w:val="0048139F"/>
    <w:rsid w:val="00481604"/>
    <w:rsid w:val="00481E40"/>
    <w:rsid w:val="00484ECE"/>
    <w:rsid w:val="004915CB"/>
    <w:rsid w:val="004924DC"/>
    <w:rsid w:val="004969D5"/>
    <w:rsid w:val="004A14E4"/>
    <w:rsid w:val="004A3212"/>
    <w:rsid w:val="004A61C5"/>
    <w:rsid w:val="004A77DF"/>
    <w:rsid w:val="004B1417"/>
    <w:rsid w:val="004B55B7"/>
    <w:rsid w:val="004B6468"/>
    <w:rsid w:val="004B77B1"/>
    <w:rsid w:val="004C17F9"/>
    <w:rsid w:val="004C384C"/>
    <w:rsid w:val="004C3867"/>
    <w:rsid w:val="004C4CD0"/>
    <w:rsid w:val="004C70DC"/>
    <w:rsid w:val="004D0211"/>
    <w:rsid w:val="004D0794"/>
    <w:rsid w:val="004F06F5"/>
    <w:rsid w:val="004F33A0"/>
    <w:rsid w:val="004F3EBB"/>
    <w:rsid w:val="004F4D93"/>
    <w:rsid w:val="004F5F86"/>
    <w:rsid w:val="00507B46"/>
    <w:rsid w:val="005108C0"/>
    <w:rsid w:val="00511679"/>
    <w:rsid w:val="00511873"/>
    <w:rsid w:val="00512A2F"/>
    <w:rsid w:val="00513B7E"/>
    <w:rsid w:val="00515C74"/>
    <w:rsid w:val="0052007E"/>
    <w:rsid w:val="0052337A"/>
    <w:rsid w:val="00525137"/>
    <w:rsid w:val="005251DD"/>
    <w:rsid w:val="005326B8"/>
    <w:rsid w:val="00532CE7"/>
    <w:rsid w:val="0053324C"/>
    <w:rsid w:val="00534A28"/>
    <w:rsid w:val="00541508"/>
    <w:rsid w:val="00547D9F"/>
    <w:rsid w:val="005549D6"/>
    <w:rsid w:val="0055599F"/>
    <w:rsid w:val="00556D68"/>
    <w:rsid w:val="005647BF"/>
    <w:rsid w:val="00566CBB"/>
    <w:rsid w:val="0057364B"/>
    <w:rsid w:val="00574773"/>
    <w:rsid w:val="005757EE"/>
    <w:rsid w:val="0058165E"/>
    <w:rsid w:val="00583C08"/>
    <w:rsid w:val="00583FFD"/>
    <w:rsid w:val="005911BE"/>
    <w:rsid w:val="00593152"/>
    <w:rsid w:val="00594DEE"/>
    <w:rsid w:val="005A10F2"/>
    <w:rsid w:val="005A21E0"/>
    <w:rsid w:val="005A28FF"/>
    <w:rsid w:val="005A3DF8"/>
    <w:rsid w:val="005A5549"/>
    <w:rsid w:val="005A72D7"/>
    <w:rsid w:val="005B1019"/>
    <w:rsid w:val="005B121D"/>
    <w:rsid w:val="005C06ED"/>
    <w:rsid w:val="005C3C1C"/>
    <w:rsid w:val="005C4BA6"/>
    <w:rsid w:val="005D4878"/>
    <w:rsid w:val="005D5802"/>
    <w:rsid w:val="005D7890"/>
    <w:rsid w:val="005E7C78"/>
    <w:rsid w:val="005F2764"/>
    <w:rsid w:val="005F3EB1"/>
    <w:rsid w:val="005F5469"/>
    <w:rsid w:val="00603C9E"/>
    <w:rsid w:val="00604307"/>
    <w:rsid w:val="0060487F"/>
    <w:rsid w:val="00604EAD"/>
    <w:rsid w:val="00607228"/>
    <w:rsid w:val="006104FB"/>
    <w:rsid w:val="00612A2F"/>
    <w:rsid w:val="0061368F"/>
    <w:rsid w:val="00616E05"/>
    <w:rsid w:val="00620672"/>
    <w:rsid w:val="00624093"/>
    <w:rsid w:val="006404A7"/>
    <w:rsid w:val="006451E4"/>
    <w:rsid w:val="00645B33"/>
    <w:rsid w:val="006516CB"/>
    <w:rsid w:val="006552BD"/>
    <w:rsid w:val="00657E87"/>
    <w:rsid w:val="00664803"/>
    <w:rsid w:val="00665BA4"/>
    <w:rsid w:val="00667AF2"/>
    <w:rsid w:val="00667C23"/>
    <w:rsid w:val="006710C9"/>
    <w:rsid w:val="0067248D"/>
    <w:rsid w:val="00674D89"/>
    <w:rsid w:val="00675E37"/>
    <w:rsid w:val="0068174E"/>
    <w:rsid w:val="00681DCE"/>
    <w:rsid w:val="00682507"/>
    <w:rsid w:val="0068260E"/>
    <w:rsid w:val="006934E1"/>
    <w:rsid w:val="00695BEF"/>
    <w:rsid w:val="006977F6"/>
    <w:rsid w:val="00697A13"/>
    <w:rsid w:val="006A109C"/>
    <w:rsid w:val="006B344A"/>
    <w:rsid w:val="006B78D8"/>
    <w:rsid w:val="006B7A04"/>
    <w:rsid w:val="006C113F"/>
    <w:rsid w:val="006C123E"/>
    <w:rsid w:val="006C338F"/>
    <w:rsid w:val="006C56D4"/>
    <w:rsid w:val="006C6924"/>
    <w:rsid w:val="006C7CA6"/>
    <w:rsid w:val="006D3E8A"/>
    <w:rsid w:val="006D61F6"/>
    <w:rsid w:val="006E279A"/>
    <w:rsid w:val="006E313B"/>
    <w:rsid w:val="006F5416"/>
    <w:rsid w:val="00703765"/>
    <w:rsid w:val="00706AD4"/>
    <w:rsid w:val="007140BE"/>
    <w:rsid w:val="007211F5"/>
    <w:rsid w:val="00725BB5"/>
    <w:rsid w:val="00730AE8"/>
    <w:rsid w:val="007334D7"/>
    <w:rsid w:val="007358C5"/>
    <w:rsid w:val="00741493"/>
    <w:rsid w:val="00747081"/>
    <w:rsid w:val="0075192B"/>
    <w:rsid w:val="00752180"/>
    <w:rsid w:val="00755202"/>
    <w:rsid w:val="00755D3A"/>
    <w:rsid w:val="007578D3"/>
    <w:rsid w:val="007609C6"/>
    <w:rsid w:val="0076175D"/>
    <w:rsid w:val="0076521E"/>
    <w:rsid w:val="007661E9"/>
    <w:rsid w:val="00776169"/>
    <w:rsid w:val="00776527"/>
    <w:rsid w:val="00780EF1"/>
    <w:rsid w:val="0078270C"/>
    <w:rsid w:val="00790764"/>
    <w:rsid w:val="0079453C"/>
    <w:rsid w:val="00794677"/>
    <w:rsid w:val="00794A32"/>
    <w:rsid w:val="007A222A"/>
    <w:rsid w:val="007A6109"/>
    <w:rsid w:val="007B6689"/>
    <w:rsid w:val="007D40DF"/>
    <w:rsid w:val="007D46BF"/>
    <w:rsid w:val="007E5CB2"/>
    <w:rsid w:val="007E7E61"/>
    <w:rsid w:val="007F0845"/>
    <w:rsid w:val="00807C82"/>
    <w:rsid w:val="00816905"/>
    <w:rsid w:val="00817984"/>
    <w:rsid w:val="00821FF6"/>
    <w:rsid w:val="00825C4D"/>
    <w:rsid w:val="0083143E"/>
    <w:rsid w:val="00831CDE"/>
    <w:rsid w:val="00834304"/>
    <w:rsid w:val="00834FAA"/>
    <w:rsid w:val="00836086"/>
    <w:rsid w:val="0084708F"/>
    <w:rsid w:val="008477C8"/>
    <w:rsid w:val="0085105C"/>
    <w:rsid w:val="0085114D"/>
    <w:rsid w:val="00852217"/>
    <w:rsid w:val="00854361"/>
    <w:rsid w:val="00855408"/>
    <w:rsid w:val="00856D65"/>
    <w:rsid w:val="00861B41"/>
    <w:rsid w:val="008626DB"/>
    <w:rsid w:val="00863434"/>
    <w:rsid w:val="00865330"/>
    <w:rsid w:val="00865E4C"/>
    <w:rsid w:val="00866C54"/>
    <w:rsid w:val="008701E4"/>
    <w:rsid w:val="00875A32"/>
    <w:rsid w:val="00876086"/>
    <w:rsid w:val="0087663E"/>
    <w:rsid w:val="008873D4"/>
    <w:rsid w:val="00893E85"/>
    <w:rsid w:val="00894031"/>
    <w:rsid w:val="008961D3"/>
    <w:rsid w:val="008B7C02"/>
    <w:rsid w:val="008B7D2B"/>
    <w:rsid w:val="008C0049"/>
    <w:rsid w:val="008C0E88"/>
    <w:rsid w:val="008D1E6A"/>
    <w:rsid w:val="008D2A16"/>
    <w:rsid w:val="008E2C57"/>
    <w:rsid w:val="008E31FF"/>
    <w:rsid w:val="008E6F06"/>
    <w:rsid w:val="008F029B"/>
    <w:rsid w:val="008F3FC9"/>
    <w:rsid w:val="008F585B"/>
    <w:rsid w:val="008F7447"/>
    <w:rsid w:val="009003A8"/>
    <w:rsid w:val="00902500"/>
    <w:rsid w:val="00902EFF"/>
    <w:rsid w:val="00906401"/>
    <w:rsid w:val="0091155E"/>
    <w:rsid w:val="00912A92"/>
    <w:rsid w:val="009170B9"/>
    <w:rsid w:val="0091728D"/>
    <w:rsid w:val="0092180B"/>
    <w:rsid w:val="00921F14"/>
    <w:rsid w:val="00924AC8"/>
    <w:rsid w:val="00925511"/>
    <w:rsid w:val="0092597A"/>
    <w:rsid w:val="00932443"/>
    <w:rsid w:val="00937AE2"/>
    <w:rsid w:val="009427FC"/>
    <w:rsid w:val="0094427A"/>
    <w:rsid w:val="00951005"/>
    <w:rsid w:val="00956E1C"/>
    <w:rsid w:val="0096311F"/>
    <w:rsid w:val="00972BD0"/>
    <w:rsid w:val="00974923"/>
    <w:rsid w:val="00980D3D"/>
    <w:rsid w:val="00982AA4"/>
    <w:rsid w:val="00987A30"/>
    <w:rsid w:val="00990FAB"/>
    <w:rsid w:val="00992CF3"/>
    <w:rsid w:val="009968D6"/>
    <w:rsid w:val="009A1CAB"/>
    <w:rsid w:val="009A21E8"/>
    <w:rsid w:val="009A60D1"/>
    <w:rsid w:val="009B6FD3"/>
    <w:rsid w:val="009B7916"/>
    <w:rsid w:val="009C1750"/>
    <w:rsid w:val="009C2E29"/>
    <w:rsid w:val="009C554B"/>
    <w:rsid w:val="009C5C97"/>
    <w:rsid w:val="009C719E"/>
    <w:rsid w:val="009D3ACD"/>
    <w:rsid w:val="009E5273"/>
    <w:rsid w:val="009E5DDB"/>
    <w:rsid w:val="009F4CA7"/>
    <w:rsid w:val="00A072FF"/>
    <w:rsid w:val="00A10524"/>
    <w:rsid w:val="00A10D66"/>
    <w:rsid w:val="00A12CAD"/>
    <w:rsid w:val="00A14114"/>
    <w:rsid w:val="00A16413"/>
    <w:rsid w:val="00A23E43"/>
    <w:rsid w:val="00A30F65"/>
    <w:rsid w:val="00A418BC"/>
    <w:rsid w:val="00A43D79"/>
    <w:rsid w:val="00A46C44"/>
    <w:rsid w:val="00A46DE0"/>
    <w:rsid w:val="00A50D73"/>
    <w:rsid w:val="00A52CAD"/>
    <w:rsid w:val="00A53FC7"/>
    <w:rsid w:val="00A56AC6"/>
    <w:rsid w:val="00A62CE1"/>
    <w:rsid w:val="00A6741E"/>
    <w:rsid w:val="00A75E40"/>
    <w:rsid w:val="00A77D1D"/>
    <w:rsid w:val="00A857C0"/>
    <w:rsid w:val="00AA2659"/>
    <w:rsid w:val="00AA2996"/>
    <w:rsid w:val="00AA52BF"/>
    <w:rsid w:val="00AA559A"/>
    <w:rsid w:val="00AB2AF1"/>
    <w:rsid w:val="00AB448E"/>
    <w:rsid w:val="00AC27D8"/>
    <w:rsid w:val="00AC3B96"/>
    <w:rsid w:val="00AD2FDC"/>
    <w:rsid w:val="00AD306C"/>
    <w:rsid w:val="00AD71E5"/>
    <w:rsid w:val="00AE09B3"/>
    <w:rsid w:val="00AE1A83"/>
    <w:rsid w:val="00AE1CC5"/>
    <w:rsid w:val="00AE3A94"/>
    <w:rsid w:val="00AE7C9A"/>
    <w:rsid w:val="00B00913"/>
    <w:rsid w:val="00B01593"/>
    <w:rsid w:val="00B05DF3"/>
    <w:rsid w:val="00B06492"/>
    <w:rsid w:val="00B10A4D"/>
    <w:rsid w:val="00B17E71"/>
    <w:rsid w:val="00B17FDE"/>
    <w:rsid w:val="00B2379C"/>
    <w:rsid w:val="00B2432D"/>
    <w:rsid w:val="00B252DC"/>
    <w:rsid w:val="00B2687D"/>
    <w:rsid w:val="00B32DDB"/>
    <w:rsid w:val="00B34528"/>
    <w:rsid w:val="00B402FC"/>
    <w:rsid w:val="00B4340B"/>
    <w:rsid w:val="00B46604"/>
    <w:rsid w:val="00B530CD"/>
    <w:rsid w:val="00B55F5E"/>
    <w:rsid w:val="00B562DC"/>
    <w:rsid w:val="00B5752E"/>
    <w:rsid w:val="00B63A11"/>
    <w:rsid w:val="00B64C24"/>
    <w:rsid w:val="00B6608F"/>
    <w:rsid w:val="00B679FB"/>
    <w:rsid w:val="00B71810"/>
    <w:rsid w:val="00B76D1E"/>
    <w:rsid w:val="00B80EC6"/>
    <w:rsid w:val="00B92D1D"/>
    <w:rsid w:val="00B93649"/>
    <w:rsid w:val="00B938C5"/>
    <w:rsid w:val="00B95940"/>
    <w:rsid w:val="00BB46F3"/>
    <w:rsid w:val="00BB4CB1"/>
    <w:rsid w:val="00BB4F98"/>
    <w:rsid w:val="00BC7154"/>
    <w:rsid w:val="00BD262D"/>
    <w:rsid w:val="00BD27B4"/>
    <w:rsid w:val="00BD366B"/>
    <w:rsid w:val="00BD6D50"/>
    <w:rsid w:val="00BE18B9"/>
    <w:rsid w:val="00BE2495"/>
    <w:rsid w:val="00BE3F12"/>
    <w:rsid w:val="00BF0CCE"/>
    <w:rsid w:val="00BF1578"/>
    <w:rsid w:val="00BF3E31"/>
    <w:rsid w:val="00C21F94"/>
    <w:rsid w:val="00C25B02"/>
    <w:rsid w:val="00C27913"/>
    <w:rsid w:val="00C33B68"/>
    <w:rsid w:val="00C36A79"/>
    <w:rsid w:val="00C405D4"/>
    <w:rsid w:val="00C4127B"/>
    <w:rsid w:val="00C4513B"/>
    <w:rsid w:val="00C521CF"/>
    <w:rsid w:val="00C54697"/>
    <w:rsid w:val="00C73885"/>
    <w:rsid w:val="00C747B1"/>
    <w:rsid w:val="00C74BCD"/>
    <w:rsid w:val="00C778C3"/>
    <w:rsid w:val="00C8166E"/>
    <w:rsid w:val="00C82191"/>
    <w:rsid w:val="00C90CF4"/>
    <w:rsid w:val="00C92EB6"/>
    <w:rsid w:val="00C93389"/>
    <w:rsid w:val="00CA321C"/>
    <w:rsid w:val="00CB4930"/>
    <w:rsid w:val="00CC2E7D"/>
    <w:rsid w:val="00CD10A5"/>
    <w:rsid w:val="00CD2076"/>
    <w:rsid w:val="00CE670B"/>
    <w:rsid w:val="00CF51EC"/>
    <w:rsid w:val="00CF73AE"/>
    <w:rsid w:val="00D040DD"/>
    <w:rsid w:val="00D13986"/>
    <w:rsid w:val="00D163A7"/>
    <w:rsid w:val="00D235B7"/>
    <w:rsid w:val="00D25F28"/>
    <w:rsid w:val="00D27973"/>
    <w:rsid w:val="00D44200"/>
    <w:rsid w:val="00D4535B"/>
    <w:rsid w:val="00D50A9B"/>
    <w:rsid w:val="00D50F46"/>
    <w:rsid w:val="00D54AF8"/>
    <w:rsid w:val="00D66223"/>
    <w:rsid w:val="00D8084C"/>
    <w:rsid w:val="00D8203A"/>
    <w:rsid w:val="00D92327"/>
    <w:rsid w:val="00D97350"/>
    <w:rsid w:val="00DA15E6"/>
    <w:rsid w:val="00DA7C0C"/>
    <w:rsid w:val="00DB2EC8"/>
    <w:rsid w:val="00DB6AD0"/>
    <w:rsid w:val="00DC113C"/>
    <w:rsid w:val="00DC2378"/>
    <w:rsid w:val="00DC3C78"/>
    <w:rsid w:val="00DC5B3B"/>
    <w:rsid w:val="00DD129F"/>
    <w:rsid w:val="00DF42FF"/>
    <w:rsid w:val="00E0094C"/>
    <w:rsid w:val="00E010B3"/>
    <w:rsid w:val="00E01C0E"/>
    <w:rsid w:val="00E02EF7"/>
    <w:rsid w:val="00E03F9A"/>
    <w:rsid w:val="00E04694"/>
    <w:rsid w:val="00E04E22"/>
    <w:rsid w:val="00E12B1E"/>
    <w:rsid w:val="00E1390B"/>
    <w:rsid w:val="00E17262"/>
    <w:rsid w:val="00E253A2"/>
    <w:rsid w:val="00E27FD2"/>
    <w:rsid w:val="00E3309D"/>
    <w:rsid w:val="00E46FF3"/>
    <w:rsid w:val="00E50156"/>
    <w:rsid w:val="00E53470"/>
    <w:rsid w:val="00E539F6"/>
    <w:rsid w:val="00E64DA0"/>
    <w:rsid w:val="00E6519D"/>
    <w:rsid w:val="00E67696"/>
    <w:rsid w:val="00E71A58"/>
    <w:rsid w:val="00E72A7A"/>
    <w:rsid w:val="00E75C94"/>
    <w:rsid w:val="00E93820"/>
    <w:rsid w:val="00E96428"/>
    <w:rsid w:val="00E9651D"/>
    <w:rsid w:val="00EA0C68"/>
    <w:rsid w:val="00EA0E40"/>
    <w:rsid w:val="00EA32BC"/>
    <w:rsid w:val="00EA4831"/>
    <w:rsid w:val="00EB3E6B"/>
    <w:rsid w:val="00EB4511"/>
    <w:rsid w:val="00EB620D"/>
    <w:rsid w:val="00EC03D7"/>
    <w:rsid w:val="00EC245A"/>
    <w:rsid w:val="00ED62C6"/>
    <w:rsid w:val="00ED64C1"/>
    <w:rsid w:val="00EE2D34"/>
    <w:rsid w:val="00EE3446"/>
    <w:rsid w:val="00EE3E78"/>
    <w:rsid w:val="00EE4B1B"/>
    <w:rsid w:val="00EF150D"/>
    <w:rsid w:val="00EF1F5A"/>
    <w:rsid w:val="00EF47BF"/>
    <w:rsid w:val="00EF7028"/>
    <w:rsid w:val="00F04811"/>
    <w:rsid w:val="00F0488C"/>
    <w:rsid w:val="00F04EAF"/>
    <w:rsid w:val="00F10F11"/>
    <w:rsid w:val="00F123F7"/>
    <w:rsid w:val="00F15AAA"/>
    <w:rsid w:val="00F15BEF"/>
    <w:rsid w:val="00F24407"/>
    <w:rsid w:val="00F24FAA"/>
    <w:rsid w:val="00F3315D"/>
    <w:rsid w:val="00F3364D"/>
    <w:rsid w:val="00F437CC"/>
    <w:rsid w:val="00F47067"/>
    <w:rsid w:val="00F525EB"/>
    <w:rsid w:val="00F5272B"/>
    <w:rsid w:val="00F63DDE"/>
    <w:rsid w:val="00F63FB7"/>
    <w:rsid w:val="00F649D2"/>
    <w:rsid w:val="00F6602B"/>
    <w:rsid w:val="00F702FA"/>
    <w:rsid w:val="00F73A0C"/>
    <w:rsid w:val="00F756DB"/>
    <w:rsid w:val="00F85066"/>
    <w:rsid w:val="00F96C6F"/>
    <w:rsid w:val="00FA15E4"/>
    <w:rsid w:val="00FA4E8A"/>
    <w:rsid w:val="00FA5D4D"/>
    <w:rsid w:val="00FB0EE2"/>
    <w:rsid w:val="00FB542E"/>
    <w:rsid w:val="00FC0E5F"/>
    <w:rsid w:val="00FC1A95"/>
    <w:rsid w:val="00FC30BA"/>
    <w:rsid w:val="00FC56DE"/>
    <w:rsid w:val="00FC684B"/>
    <w:rsid w:val="00FC7C63"/>
    <w:rsid w:val="00FD3265"/>
    <w:rsid w:val="00FD7DE4"/>
    <w:rsid w:val="00FE2F78"/>
    <w:rsid w:val="00FF0C12"/>
    <w:rsid w:val="00FF3517"/>
    <w:rsid w:val="00FF40F5"/>
    <w:rsid w:val="00FF4B49"/>
    <w:rsid w:val="00FF7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colormru v:ext="edit" colors="#ecf4dd,#eaecee,#fcec0a,#fcecdb,#f1daf5"/>
    </o:shapedefaults>
    <o:shapelayout v:ext="edit">
      <o:idmap v:ext="edit" data="1"/>
    </o:shapelayout>
  </w:shapeDefaults>
  <w:decimalSymbol w:val=","/>
  <w:listSeparator w:val=";"/>
  <w14:docId w14:val="5EF9200D"/>
  <w15:docId w15:val="{D68EB972-06FE-4CA1-8FF3-DF40BB06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szCs w:val="24"/>
    </w:rPr>
  </w:style>
  <w:style w:type="paragraph" w:styleId="Nadpis1">
    <w:name w:val="heading 1"/>
    <w:next w:val="Normln"/>
    <w:link w:val="Nadpis1Char"/>
    <w:uiPriority w:val="9"/>
    <w:qFormat/>
    <w:rsid w:val="00865330"/>
    <w:pPr>
      <w:keepNext/>
      <w:keepLines/>
      <w:spacing w:after="100" w:line="288" w:lineRule="auto"/>
      <w:contextualSpacing/>
      <w:outlineLvl w:val="0"/>
    </w:pPr>
    <w:rPr>
      <w:rFonts w:ascii="Arial" w:eastAsia="MS Gothic" w:hAnsi="Arial"/>
      <w:b/>
      <w:bCs/>
      <w:color w:val="009BB4"/>
      <w:sz w:val="32"/>
      <w:szCs w:val="28"/>
    </w:rPr>
  </w:style>
  <w:style w:type="paragraph" w:styleId="Nadpis2">
    <w:name w:val="heading 2"/>
    <w:next w:val="Normln"/>
    <w:link w:val="Nadpis2Char"/>
    <w:uiPriority w:val="9"/>
    <w:qFormat/>
    <w:rsid w:val="00865330"/>
    <w:pPr>
      <w:keepNext/>
      <w:keepLines/>
      <w:spacing w:line="288" w:lineRule="auto"/>
      <w:outlineLvl w:val="1"/>
    </w:pPr>
    <w:rPr>
      <w:rFonts w:ascii="Arial" w:eastAsia="MS Gothic" w:hAnsi="Arial"/>
      <w:b/>
      <w:bCs/>
      <w:color w:val="009BB4"/>
      <w:sz w:val="28"/>
      <w:szCs w:val="26"/>
    </w:rPr>
  </w:style>
  <w:style w:type="paragraph" w:styleId="Nadpis3">
    <w:name w:val="heading 3"/>
    <w:next w:val="Normln"/>
    <w:link w:val="Nadpis3Char"/>
    <w:uiPriority w:val="9"/>
    <w:qFormat/>
    <w:rsid w:val="00865330"/>
    <w:pPr>
      <w:keepNext/>
      <w:keepLines/>
      <w:spacing w:line="288" w:lineRule="auto"/>
      <w:outlineLvl w:val="2"/>
    </w:pPr>
    <w:rPr>
      <w:rFonts w:ascii="Arial" w:eastAsia="MS Gothic" w:hAnsi="Arial"/>
      <w:b/>
      <w:bCs/>
      <w:color w:val="009BB4"/>
      <w:sz w:val="24"/>
      <w:szCs w:val="24"/>
    </w:rPr>
  </w:style>
  <w:style w:type="paragraph" w:styleId="Nadpis4">
    <w:name w:val="heading 4"/>
    <w:next w:val="Normln"/>
    <w:link w:val="Nadpis4Char"/>
    <w:uiPriority w:val="9"/>
    <w:qFormat/>
    <w:rsid w:val="00865330"/>
    <w:pPr>
      <w:keepNext/>
      <w:keepLines/>
      <w:spacing w:line="288" w:lineRule="auto"/>
      <w:outlineLvl w:val="3"/>
    </w:pPr>
    <w:rPr>
      <w:rFonts w:ascii="Arial" w:eastAsia="MS Gothic" w:hAnsi="Arial"/>
      <w:b/>
      <w:bCs/>
      <w:iCs/>
      <w:color w:val="009BB4"/>
      <w:szCs w:val="24"/>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865330"/>
    <w:rPr>
      <w:rFonts w:ascii="Arial" w:eastAsia="MS Gothic" w:hAnsi="Arial"/>
      <w:b/>
      <w:bCs/>
      <w:color w:val="009BB4"/>
      <w:sz w:val="32"/>
      <w:szCs w:val="28"/>
      <w:lang w:bidi="ar-SA"/>
    </w:rPr>
  </w:style>
  <w:style w:type="character" w:customStyle="1" w:styleId="Nadpis2Char">
    <w:name w:val="Nadpis 2 Char"/>
    <w:link w:val="Nadpis2"/>
    <w:uiPriority w:val="9"/>
    <w:rsid w:val="00865330"/>
    <w:rPr>
      <w:rFonts w:ascii="Arial" w:eastAsia="MS Gothic" w:hAnsi="Arial"/>
      <w:b/>
      <w:bCs/>
      <w:color w:val="009BB4"/>
      <w:sz w:val="28"/>
      <w:szCs w:val="26"/>
      <w:lang w:bidi="ar-SA"/>
    </w:rPr>
  </w:style>
  <w:style w:type="character" w:customStyle="1" w:styleId="Nadpis3Char">
    <w:name w:val="Nadpis 3 Char"/>
    <w:link w:val="Nadpis3"/>
    <w:uiPriority w:val="9"/>
    <w:rsid w:val="00865330"/>
    <w:rPr>
      <w:rFonts w:ascii="Arial" w:eastAsia="MS Gothic" w:hAnsi="Arial"/>
      <w:b/>
      <w:bCs/>
      <w:color w:val="009BB4"/>
      <w:sz w:val="24"/>
      <w:szCs w:val="24"/>
      <w:lang w:bidi="ar-SA"/>
    </w:rPr>
  </w:style>
  <w:style w:type="character" w:customStyle="1" w:styleId="Nadpis4Char">
    <w:name w:val="Nadpis 4 Char"/>
    <w:link w:val="Nadpis4"/>
    <w:uiPriority w:val="9"/>
    <w:rsid w:val="00865330"/>
    <w:rPr>
      <w:rFonts w:ascii="Arial" w:eastAsia="MS Gothic" w:hAnsi="Arial"/>
      <w:b/>
      <w:bCs/>
      <w:iCs/>
      <w:color w:val="009BB4"/>
      <w:szCs w:val="24"/>
      <w:lang w:bidi="ar-SA"/>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lang w:eastAsia="en-US"/>
    </w:rPr>
  </w:style>
  <w:style w:type="character" w:customStyle="1" w:styleId="ZhlavChar">
    <w:name w:val="Záhlaví Char"/>
    <w:link w:val="Zhlav"/>
    <w:uiPriority w:val="99"/>
    <w:rsid w:val="00A418BC"/>
    <w:rPr>
      <w:rFonts w:ascii="Arial" w:hAnsi="Arial"/>
      <w:sz w:val="16"/>
      <w:szCs w:val="22"/>
      <w:lang w:eastAsia="en-US" w:bidi="ar-SA"/>
    </w:rPr>
  </w:style>
  <w:style w:type="paragraph" w:styleId="Zpat">
    <w:name w:val="footer"/>
    <w:link w:val="ZpatChar"/>
    <w:uiPriority w:val="99"/>
    <w:unhideWhenUsed/>
    <w:qFormat/>
    <w:rsid w:val="00031AE0"/>
    <w:pPr>
      <w:tabs>
        <w:tab w:val="center" w:pos="4820"/>
        <w:tab w:val="right" w:pos="9639"/>
      </w:tabs>
    </w:pPr>
    <w:rPr>
      <w:rFonts w:ascii="Arial" w:hAnsi="Arial"/>
      <w:noProof/>
      <w:sz w:val="16"/>
      <w:lang w:eastAsia="en-US"/>
    </w:rPr>
  </w:style>
  <w:style w:type="character" w:customStyle="1" w:styleId="ZpatChar">
    <w:name w:val="Zápatí Char"/>
    <w:link w:val="Zpat"/>
    <w:uiPriority w:val="99"/>
    <w:rsid w:val="00031AE0"/>
    <w:rPr>
      <w:rFonts w:ascii="Arial" w:hAnsi="Arial"/>
      <w:noProof/>
      <w:sz w:val="16"/>
      <w:lang w:eastAsia="en-US" w:bidi="ar-SA"/>
    </w:rPr>
  </w:style>
  <w:style w:type="paragraph" w:styleId="Textbubliny">
    <w:name w:val="Balloon Text"/>
    <w:basedOn w:val="Normln"/>
    <w:link w:val="TextbublinyChar"/>
    <w:uiPriority w:val="99"/>
    <w:semiHidden/>
    <w:unhideWhenUsed/>
    <w:rsid w:val="00E71A58"/>
    <w:rPr>
      <w:rFonts w:ascii="Tahoma" w:eastAsia="Calibri" w:hAnsi="Tahoma"/>
      <w:sz w:val="16"/>
      <w:szCs w:val="16"/>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olor w:val="000000"/>
      <w:szCs w:val="24"/>
    </w:rPr>
  </w:style>
  <w:style w:type="character" w:customStyle="1" w:styleId="ZkladnodstavecChar">
    <w:name w:val="[Základní odstavec] Char"/>
    <w:link w:val="Zkladnodstavec"/>
    <w:uiPriority w:val="99"/>
    <w:rsid w:val="0008263E"/>
    <w:rPr>
      <w:rFonts w:ascii="Arial" w:hAnsi="Arial"/>
      <w:color w:val="000000"/>
      <w:szCs w:val="24"/>
      <w:lang w:bidi="ar-SA"/>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rPr>
  </w:style>
  <w:style w:type="paragraph" w:customStyle="1" w:styleId="Obsah">
    <w:name w:val="Obsah"/>
    <w:next w:val="Normln"/>
    <w:qFormat/>
    <w:rsid w:val="00865330"/>
    <w:pPr>
      <w:spacing w:after="80" w:line="288" w:lineRule="auto"/>
    </w:pPr>
    <w:rPr>
      <w:rFonts w:ascii="Arial" w:eastAsia="Times New Roman" w:hAnsi="Arial"/>
      <w:b/>
      <w:color w:val="009BB4"/>
      <w:sz w:val="32"/>
      <w:szCs w:val="24"/>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rPr>
  </w:style>
  <w:style w:type="paragraph" w:customStyle="1" w:styleId="Box1">
    <w:name w:val="Box 1"/>
    <w:next w:val="Normln"/>
    <w:qFormat/>
    <w:rsid w:val="00865330"/>
    <w:pPr>
      <w:shd w:val="clear" w:color="auto" w:fill="D9F0F4"/>
      <w:spacing w:before="240" w:after="240" w:line="288" w:lineRule="auto"/>
      <w:ind w:left="709"/>
      <w:contextualSpacing/>
    </w:pPr>
    <w:rPr>
      <w:rFonts w:ascii="Arial" w:hAnsi="Arial" w:cs="Arial"/>
    </w:rPr>
  </w:style>
  <w:style w:type="paragraph" w:customStyle="1" w:styleId="Box2">
    <w:name w:val="Box 2"/>
    <w:qFormat/>
    <w:rsid w:val="00865330"/>
    <w:pPr>
      <w:spacing w:before="240" w:after="240" w:line="288" w:lineRule="auto"/>
      <w:ind w:left="709"/>
      <w:contextualSpacing/>
    </w:pPr>
    <w:rPr>
      <w:rFonts w:ascii="Arial" w:hAnsi="Arial" w:cs="Arial"/>
      <w:color w:val="009BB4"/>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104C4C"/>
    <w:pPr>
      <w:spacing w:after="40"/>
      <w:contextualSpacing/>
    </w:pPr>
    <w:rPr>
      <w:b/>
      <w:caps/>
      <w:color w:val="BD1B21"/>
      <w:sz w:val="24"/>
    </w:rPr>
  </w:style>
  <w:style w:type="paragraph" w:customStyle="1" w:styleId="TLKontakty">
    <w:name w:val="TL Kontakty"/>
    <w:qFormat/>
    <w:rsid w:val="008E6F06"/>
    <w:pPr>
      <w:spacing w:after="160" w:line="259" w:lineRule="auto"/>
      <w:contextualSpacing/>
    </w:pPr>
    <w:rPr>
      <w:rFonts w:ascii="Arial" w:eastAsia="Times New Roman" w:hAnsi="Arial"/>
      <w:b/>
      <w:color w:val="0071BC"/>
    </w:rPr>
  </w:style>
  <w:style w:type="paragraph" w:styleId="Nzev">
    <w:name w:val="Title"/>
    <w:link w:val="NzevChar"/>
    <w:uiPriority w:val="10"/>
    <w:qFormat/>
    <w:rsid w:val="00865330"/>
    <w:pPr>
      <w:spacing w:line="288" w:lineRule="auto"/>
    </w:pPr>
    <w:rPr>
      <w:rFonts w:ascii="Arial" w:eastAsia="Times New Roman" w:hAnsi="Arial"/>
      <w:b/>
      <w:bCs/>
      <w:caps/>
      <w:color w:val="009BB4"/>
      <w:kern w:val="28"/>
      <w:sz w:val="56"/>
      <w:szCs w:val="32"/>
    </w:rPr>
  </w:style>
  <w:style w:type="character" w:customStyle="1" w:styleId="NzevChar">
    <w:name w:val="Název Char"/>
    <w:link w:val="Nzev"/>
    <w:uiPriority w:val="10"/>
    <w:rsid w:val="00865330"/>
    <w:rPr>
      <w:rFonts w:ascii="Arial" w:eastAsia="Times New Roman" w:hAnsi="Arial"/>
      <w:b/>
      <w:bCs/>
      <w:caps/>
      <w:color w:val="009BB4"/>
      <w:kern w:val="28"/>
      <w:sz w:val="56"/>
      <w:szCs w:val="32"/>
      <w:lang w:bidi="ar-SA"/>
    </w:rPr>
  </w:style>
  <w:style w:type="paragraph" w:styleId="Podnadpis">
    <w:name w:val="Subtitle"/>
    <w:link w:val="PodnadpisChar"/>
    <w:uiPriority w:val="11"/>
    <w:qFormat/>
    <w:rsid w:val="00865330"/>
    <w:pPr>
      <w:spacing w:line="288" w:lineRule="auto"/>
    </w:pPr>
    <w:rPr>
      <w:rFonts w:ascii="Arial" w:eastAsia="Times New Roman" w:hAnsi="Arial"/>
      <w:b/>
      <w:color w:val="009BB4"/>
      <w:sz w:val="28"/>
      <w:szCs w:val="24"/>
    </w:rPr>
  </w:style>
  <w:style w:type="character" w:customStyle="1" w:styleId="PodnadpisChar">
    <w:name w:val="Podnadpis Char"/>
    <w:link w:val="Podnadpis"/>
    <w:uiPriority w:val="11"/>
    <w:rsid w:val="00865330"/>
    <w:rPr>
      <w:rFonts w:ascii="Arial" w:eastAsia="Times New Roman" w:hAnsi="Arial"/>
      <w:b/>
      <w:color w:val="009BB4"/>
      <w:sz w:val="28"/>
      <w:szCs w:val="24"/>
      <w:lang w:bidi="ar-SA"/>
    </w:rPr>
  </w:style>
  <w:style w:type="paragraph" w:styleId="Textpoznpodarou">
    <w:name w:val="footnote text"/>
    <w:basedOn w:val="Normln"/>
    <w:link w:val="TextpoznpodarouChar"/>
    <w:uiPriority w:val="99"/>
    <w:semiHidden/>
    <w:unhideWhenUsed/>
    <w:rsid w:val="007334D7"/>
    <w:pPr>
      <w:spacing w:after="0" w:line="240" w:lineRule="auto"/>
    </w:pPr>
    <w:rPr>
      <w:rFonts w:ascii="Calibri" w:eastAsia="Calibri" w:hAnsi="Calibri"/>
      <w:szCs w:val="20"/>
      <w:lang w:eastAsia="en-US"/>
    </w:rPr>
  </w:style>
  <w:style w:type="character" w:customStyle="1" w:styleId="TextpoznpodarouChar">
    <w:name w:val="Text pozn. pod čarou Char"/>
    <w:link w:val="Textpoznpodarou"/>
    <w:uiPriority w:val="99"/>
    <w:semiHidden/>
    <w:rsid w:val="007334D7"/>
    <w:rPr>
      <w:lang w:eastAsia="en-US"/>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styleId="Znakapoznpodarou">
    <w:name w:val="footnote reference"/>
    <w:uiPriority w:val="99"/>
    <w:semiHidden/>
    <w:unhideWhenUsed/>
    <w:rsid w:val="007334D7"/>
    <w:rPr>
      <w:vertAlign w:val="superscript"/>
    </w:rPr>
  </w:style>
  <w:style w:type="paragraph" w:styleId="Odstavecseseznamem">
    <w:name w:val="List Paragraph"/>
    <w:basedOn w:val="Normln"/>
    <w:uiPriority w:val="34"/>
    <w:qFormat/>
    <w:rsid w:val="007334D7"/>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B252DC"/>
    <w:pPr>
      <w:autoSpaceDE w:val="0"/>
      <w:autoSpaceDN w:val="0"/>
      <w:adjustRightInd w:val="0"/>
    </w:pPr>
    <w:rPr>
      <w:rFonts w:cs="Calibri"/>
      <w:color w:val="000000"/>
      <w:sz w:val="24"/>
      <w:szCs w:val="24"/>
      <w:lang w:eastAsia="en-US"/>
    </w:rPr>
  </w:style>
  <w:style w:type="character" w:styleId="Sledovanodkaz">
    <w:name w:val="FollowedHyperlink"/>
    <w:uiPriority w:val="99"/>
    <w:semiHidden/>
    <w:unhideWhenUsed/>
    <w:rsid w:val="00507B46"/>
    <w:rPr>
      <w:color w:val="800080"/>
      <w:u w:val="single"/>
    </w:rPr>
  </w:style>
  <w:style w:type="paragraph" w:styleId="Textkomente">
    <w:name w:val="annotation text"/>
    <w:basedOn w:val="Normln"/>
    <w:link w:val="TextkomenteChar"/>
    <w:uiPriority w:val="99"/>
    <w:unhideWhenUsed/>
    <w:rsid w:val="00854361"/>
    <w:pPr>
      <w:spacing w:line="240" w:lineRule="auto"/>
    </w:pPr>
    <w:rPr>
      <w:szCs w:val="20"/>
    </w:rPr>
  </w:style>
  <w:style w:type="character" w:customStyle="1" w:styleId="TextkomenteChar">
    <w:name w:val="Text komentáře Char"/>
    <w:basedOn w:val="Standardnpsmoodstavce"/>
    <w:link w:val="Textkomente"/>
    <w:uiPriority w:val="99"/>
    <w:rsid w:val="00854361"/>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stat/web/structural-business-statistics/overview"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rel.elias@czso.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urostat/web/science-technology-innovation/overview"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su.gov.cz/vyzkum-a-vyvoj" TargetMode="External"/><Relationship Id="rId4" Type="http://schemas.openxmlformats.org/officeDocument/2006/relationships/settings" Target="settings.xml"/><Relationship Id="rId9" Type="http://schemas.openxmlformats.org/officeDocument/2006/relationships/hyperlink" Target="https://www.oecd.org/sti/inno/frascati-manual.htm"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2_Digitalni%20a%20HT%20ekonomika\Odvetvova%20statistika\Vystupy\web\ht_sektor\Verze%20cerven%202016\Publikace%20bar%20CZ_veda%20IT_2016-03-29.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FE5B7-DB9F-4C8E-BBB4-59C58EDCB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bar CZ_veda IT_2016-03-29.dot</Template>
  <TotalTime>104</TotalTime>
  <Pages>7</Pages>
  <Words>3250</Words>
  <Characters>19176</Characters>
  <Application>Microsoft Office Word</Application>
  <DocSecurity>0</DocSecurity>
  <Lines>159</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22382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Štampach Marek</cp:lastModifiedBy>
  <cp:revision>18</cp:revision>
  <cp:lastPrinted>2014-07-17T14:07:00Z</cp:lastPrinted>
  <dcterms:created xsi:type="dcterms:W3CDTF">2016-12-15T08:34:00Z</dcterms:created>
  <dcterms:modified xsi:type="dcterms:W3CDTF">2025-04-03T05:44:00Z</dcterms:modified>
</cp:coreProperties>
</file>