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F66D" w14:textId="77777777" w:rsidR="007036F2" w:rsidRDefault="007036F2" w:rsidP="002964B2">
      <w:pPr>
        <w:spacing w:before="120"/>
        <w:rPr>
          <w:rFonts w:eastAsia="MS Gothic"/>
          <w:b/>
          <w:bCs/>
          <w:sz w:val="28"/>
          <w:szCs w:val="26"/>
        </w:rPr>
      </w:pPr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14:paraId="76767CF3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Prezentace demografických údajů ve vybraných městech v dlouhé časové řadě navazuje na dříve vydávanou publikaci ČSÚ „Vývoj základních demografických ukazatelů ve vybraných městech ČR´“. Shrnuje dostupné údaje za města již od roku 1919 a poskytuje přehledný zdroj údajů k dalšímu všestrannému využití. Vybrána byla města, která byla zařazena k tabelizaci pro pramenná dí</w:t>
      </w:r>
      <w:r w:rsidR="005E3A20">
        <w:rPr>
          <w:rFonts w:cs="Arial"/>
        </w:rPr>
        <w:t>la, tj. Demografické ročenky za </w:t>
      </w:r>
      <w:r w:rsidRPr="001D7060">
        <w:rPr>
          <w:rFonts w:cs="Arial"/>
        </w:rPr>
        <w:t>příslušný rok (dříve nazývané Pohyb obyvatelstva ČR), a dále města, j</w:t>
      </w:r>
      <w:r w:rsidR="005E3A20">
        <w:rPr>
          <w:rFonts w:cs="Arial"/>
        </w:rPr>
        <w:t>ejichž počet obyvatel neklesl v </w:t>
      </w:r>
      <w:r w:rsidRPr="001D7060">
        <w:rPr>
          <w:rFonts w:cs="Arial"/>
        </w:rPr>
        <w:t xml:space="preserve">období let 1949-2015 pod 5 tis. Města jsou řazena abecedně podle nynějších názvů. Údaje za města jsou vždy v územním vymezení platném v příslušném roce. </w:t>
      </w:r>
    </w:p>
    <w:p w14:paraId="3AA46FD0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Základním zdrojem dat byly tabulky v pramenných dílech a Databáze demografických údajů za obce ČR obsahující údaje od roku 1971 (</w:t>
      </w:r>
      <w:hyperlink r:id="rId8" w:history="1">
        <w:r w:rsidRPr="005E3A20">
          <w:rPr>
            <w:rStyle w:val="Hypertextovodkaz"/>
            <w:rFonts w:cs="Arial"/>
          </w:rPr>
          <w:t>https://www.czso.cz/csu/czso/databaze-demografickych-udaju-za-obce-cr</w:t>
        </w:r>
      </w:hyperlink>
      <w:r w:rsidRPr="001D7060">
        <w:rPr>
          <w:rFonts w:cs="Arial"/>
        </w:rPr>
        <w:t xml:space="preserve">). Pramenná díla uváděla vždy tabulku základních demografických údajů nejen za celou republiku (protektorát Čechy a Morava), ale i za dílčí území (kraje, okresy (soudní, správní) a vybrané obce (města)). V letech 1919 až 1949 se jednalo hlavně o údaje přirozeného pohybu obyvatelstva označené jako Přehled přirozené měny obyvatelstva. Od roku 1950 byla tabulka označena jako Přehled pohybu obyvatelstva a zahrnovala navíc i údaje o mechanickém (migračním) pohybu obyvatelstva. </w:t>
      </w:r>
    </w:p>
    <w:p w14:paraId="51624A04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Od roku 1919 do roku 1927 nebyl výběr měst do pramenných děl blíže specifikován. Od roku 1928 do roku 1985 bylo většinou uvedeno, že se jedná o města nad 10 000 obyvatel (od roku 1960 jsou uvedena i okresní města s počtem obyvatel nižším). Od roku 1986 do roku 1991 nemají uvedená města žádné vysvětlující označení. Od roku 1992 jsou zařazována města, která mají k počátku dané</w:t>
      </w:r>
      <w:r w:rsidR="005E3A20">
        <w:rPr>
          <w:rFonts w:cs="Arial"/>
        </w:rPr>
        <w:t>ho roku statut města (působil v </w:t>
      </w:r>
      <w:r w:rsidRPr="001D7060">
        <w:rPr>
          <w:rFonts w:cs="Arial"/>
        </w:rPr>
        <w:t xml:space="preserve">nich městský nebo magistrátní úřad). </w:t>
      </w:r>
    </w:p>
    <w:p w14:paraId="42BE51EC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1919-1942 není v pramenných dílech uveden střední stav obyvatelstva. Uvedeny jsou však relativní údaje vypočtené z údajů o počtech sňatků, rozvodů, narozených, zemřelý</w:t>
      </w:r>
      <w:r w:rsidR="005E3A20">
        <w:rPr>
          <w:rFonts w:cs="Arial"/>
        </w:rPr>
        <w:t>ch a přirozeného přírůstku na 1 </w:t>
      </w:r>
      <w:r w:rsidRPr="001D7060">
        <w:rPr>
          <w:rFonts w:cs="Arial"/>
        </w:rPr>
        <w:t>000 obyvatel. Z jednotlivých relativních údajů byly vypočteny údaj</w:t>
      </w:r>
      <w:r w:rsidR="005E3A20">
        <w:rPr>
          <w:rFonts w:cs="Arial"/>
        </w:rPr>
        <w:t>e o přibližném počtu obyvatel a </w:t>
      </w:r>
      <w:r w:rsidRPr="001D7060">
        <w:rPr>
          <w:rFonts w:cs="Arial"/>
        </w:rPr>
        <w:t>následně byl vypočten průměr z těchto přibližných počtů obyvatel a to pro příslušné město a rok. Takto vypočtený průměrný střední stav je uveden jako střední stav. Mechanický pohyb byl v letech 1950 až 1952 sledován jen u tehdejších krajských měst, od roku 1953 u všech vybraných měst. Kromě údajů o přirozeném a migračním pohybu obyvatelstva jsou v pramenných dílech uváděny úd</w:t>
      </w:r>
      <w:r w:rsidR="005E3A20">
        <w:rPr>
          <w:rFonts w:cs="Arial"/>
        </w:rPr>
        <w:t>aje o počtech sňatků, rozvodů a </w:t>
      </w:r>
      <w:r w:rsidRPr="001D7060">
        <w:rPr>
          <w:rFonts w:cs="Arial"/>
        </w:rPr>
        <w:t>potratů. Údaje o počtu sňatků jsou za celé sledované období. Údaje o počtech rozvodů (a rozluk) jsou uváděny za období roků 1919-1940. Výběr měst, za která údaje o rozvodech uváděny jsou, není však totožný s výběrem měst, za která jsou uváděny jiné údaje. V dalších letech údaje o rozvodech uvedeny nejsou, znovu byly uváděny od roku 1950 (za Brno, Prahu, Ostravu a Plzeň jsou uvedeny údaje i za rok 1949 a to rozluky). Údaje o počtu potratů jsou v pramenných dílech publikovány od roku 1971.</w:t>
      </w:r>
    </w:p>
    <w:p w14:paraId="1A5995BD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1945 a 1946 jsou zde, shodně s pramennými díly, uvedeny</w:t>
      </w:r>
      <w:r w:rsidR="005E3A20">
        <w:rPr>
          <w:rFonts w:cs="Arial"/>
        </w:rPr>
        <w:t xml:space="preserve"> dvojí údaje a to samostatně za </w:t>
      </w:r>
      <w:r w:rsidRPr="001D7060">
        <w:rPr>
          <w:rFonts w:cs="Arial"/>
        </w:rPr>
        <w:t>obyvatelstvo bez obyvatel německé národnosti a samostatně za obyvatelstvo německé národnosti.</w:t>
      </w:r>
    </w:p>
    <w:p w14:paraId="79D246AD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Podrobnější metodické poznámky k jednotlivým ukazatelům jsou v příslušných pramenných dílech.</w:t>
      </w:r>
    </w:p>
    <w:p w14:paraId="12EE64F2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Databáze demografických údajů za obce ČR sloužila k doplnění prezentovaných údajů v období od roku 1971, které nebyly uvedeny v pramenných dílech. Vysvětlivky</w:t>
      </w:r>
      <w:r w:rsidR="005E3A20">
        <w:rPr>
          <w:rFonts w:cs="Arial"/>
        </w:rPr>
        <w:t xml:space="preserve"> k databázi jsou k dispozici na </w:t>
      </w:r>
      <w:hyperlink r:id="rId9" w:history="1">
        <w:r w:rsidRPr="005E3A20">
          <w:rPr>
            <w:rStyle w:val="Hypertextovodkaz"/>
            <w:rFonts w:cs="Arial"/>
          </w:rPr>
          <w:t>https://www.czso.cz/csu/czso/vysvetlivky-k-databazi</w:t>
        </w:r>
      </w:hyperlink>
      <w:r w:rsidRPr="001D7060">
        <w:rPr>
          <w:rFonts w:cs="Arial"/>
        </w:rPr>
        <w:t xml:space="preserve">.  </w:t>
      </w:r>
    </w:p>
    <w:p w14:paraId="5EA34266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Proloženým písmem (kurzívou) jsou označeny údaje, které nejsou přímo uvedeny v pramenných dílech, ale byly z jiných údajů pramenných děl vypočteny.</w:t>
      </w:r>
    </w:p>
    <w:p w14:paraId="38371C85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 xml:space="preserve">V následujících městech došlo ve sledovaném období k připojení dříve samostatně sledovaných obcí (měst) a tato připojená města jsou zde uváděna samostatně s údaji za město, do kterého byla začleněna. V případě Ostravy a Frýdku-Místku došlo při spojení dříve samostatně sledovaných obcí (měst) ke vzniku nově </w:t>
      </w:r>
      <w:r w:rsidRPr="001D7060">
        <w:rPr>
          <w:rFonts w:cs="Arial"/>
        </w:rPr>
        <w:lastRenderedPageBreak/>
        <w:t xml:space="preserve">pojmenovaného města (nejednalo se tedy o pouhou změnu názvu města). V případě Frýdku-Místku nebyl vznik nového názvu časové shodný se spojením měst. </w:t>
      </w:r>
    </w:p>
    <w:p w14:paraId="354DEF83" w14:textId="77777777"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Děčín</w:t>
      </w:r>
    </w:p>
    <w:p w14:paraId="09EA3C3A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1919 až 1937 jsou uvedeny údaje za Podmokly. Za roky 1945 až 1948 jsou Podmokly částí obce Děčín-Podmokly, od roku 1949 částí obce Děčín.</w:t>
      </w:r>
    </w:p>
    <w:p w14:paraId="7A15230E" w14:textId="77777777"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Frýdek-Místek</w:t>
      </w:r>
    </w:p>
    <w:p w14:paraId="17EED3D0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V pramenném díle za rok 1919 nejsou údaje ani za Frýdek, ani za Místek. V období roků 1920 až 1942 jsou uvedeny údaje jen za Frýdek. Od roku 1943 jsou již trvale uváděny souhrnné údaje za Frýdek a Místek a to za roky 1943 a 1944 pod názvem Frýdek, za roky 1945 až 1949 pod názvem Frýdek-Místek, za roky 1950 - 1954 pod názvem Místek a od roku 1955 do nynějška pod názvem Frýdek-Místek.</w:t>
      </w:r>
    </w:p>
    <w:p w14:paraId="404092A0" w14:textId="77777777"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Karlovy Vary</w:t>
      </w:r>
    </w:p>
    <w:p w14:paraId="0845E995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1919 až 1920 a 1931 až 1937 jsou uvedeny údaje za Rybáře. Za okupace byly Rybáře částí obce Karlovy Vary. Po válce byly samostatné, ale v pramenném díle údaje za ně uvedeny nebyly. Od roku 1948 jsou Rybáře částí obce Karlovy Vary, ale z údajů v pramenném díle není možné jednoznačně zjistit, zda byly zahrnuty do údajů za obec Karlovy Vary již za rok 1947 (pravděpodobně ano).</w:t>
      </w:r>
    </w:p>
    <w:p w14:paraId="7D1EAA5A" w14:textId="77777777"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Kladno</w:t>
      </w:r>
    </w:p>
    <w:p w14:paraId="1C7A4BDD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1919 až 1940 jsou uvedeny údaje za Kročehlavy. Od roku 1941 byly Kročehlavy částí obce Kladno. Po válce byly samostatné, ale v pramenném díle údaje za ně uvedeny nebyly. Od roku 1948 jsou Kročehlavy částí obce Kladno, ale z údajů v pramenném díle není možné jednoznačně zjistit, zda byly zahrnuty do údajů za obec Kladno již za rok 1947 (pravděpodobně ano).</w:t>
      </w:r>
    </w:p>
    <w:p w14:paraId="1ABD18DB" w14:textId="77777777"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Ostrava</w:t>
      </w:r>
    </w:p>
    <w:p w14:paraId="636F4C8B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 xml:space="preserve">Za roky 1919 až 1944 jsou uváděna jako samostatná města současné části Ostravy a to za roky 1919 až 1920 Mariánské Hory, Moravská Ostrava, Přívoz, Slezská Ostrava, Vítkovice, za roky 1921 až 1924 navíc ještě město Zábřeh nad Odrou, za roky 1925 až 1940 Moravská Ostrava a Slezská Ostrava, za roky 1941 až 1944 jen Moravská Ostrava. Teprve od roku 1945 je uveden dosavadní název města Ostrava. Za roky 1955 a 1956 jsou uvedeny údaje za Porubu. Od roku 1957 je Poruba částí obce Ostrava. </w:t>
      </w:r>
    </w:p>
    <w:p w14:paraId="3FD8592C" w14:textId="77777777"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Praha</w:t>
      </w:r>
    </w:p>
    <w:p w14:paraId="69E1BD4E" w14:textId="77777777"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 xml:space="preserve">Za roky 1960 až 1967 jsou uvedeny údaje za Modřany. Od roku 1968 jsou Modřany částí obce Praha. </w:t>
      </w:r>
    </w:p>
    <w:p w14:paraId="14284EC0" w14:textId="77777777" w:rsidR="001D7060" w:rsidRPr="001D7060" w:rsidRDefault="001D7060" w:rsidP="001D7060">
      <w:pPr>
        <w:contextualSpacing/>
        <w:rPr>
          <w:rFonts w:cs="Arial"/>
        </w:rPr>
      </w:pPr>
      <w:r w:rsidRPr="003C6E7D">
        <w:rPr>
          <w:rFonts w:cs="Arial"/>
          <w:b/>
        </w:rPr>
        <w:t>Teplice</w:t>
      </w:r>
      <w:r w:rsidRPr="001D7060">
        <w:rPr>
          <w:rFonts w:cs="Arial"/>
        </w:rPr>
        <w:t xml:space="preserve"> (za roky 1919-1948 Teplice-Šanov)</w:t>
      </w:r>
    </w:p>
    <w:p w14:paraId="6961E76D" w14:textId="77777777" w:rsidR="007036F2" w:rsidRPr="007036F2" w:rsidRDefault="001D7060" w:rsidP="006F5E16">
      <w:pPr>
        <w:rPr>
          <w:rFonts w:cs="Arial"/>
        </w:rPr>
      </w:pPr>
      <w:r w:rsidRPr="001D7060">
        <w:rPr>
          <w:rFonts w:cs="Arial"/>
        </w:rPr>
        <w:t>Za roky 1919 až 1937 a 1945 až 1947 jsou uvedeny údaje za Trnovany. Za okupace byly Trnovany částí obce Teplice-Šanov. Po válce byly samostatné a v pramenném díle byly za ně uvedeny údaje za roky 1945 a 1947. Od roku 1948 jsou Trnovany částí obce Teplice-Šanov.</w:t>
      </w:r>
    </w:p>
    <w:p w14:paraId="6BF82BF8" w14:textId="77777777" w:rsidR="007036F2" w:rsidRPr="007036F2" w:rsidRDefault="007036F2" w:rsidP="006F5E16">
      <w:pPr>
        <w:rPr>
          <w:rFonts w:cs="Arial"/>
        </w:rPr>
      </w:pPr>
      <w:r w:rsidRPr="007036F2">
        <w:rPr>
          <w:rFonts w:cs="Arial"/>
        </w:rPr>
        <w:t>Použité značky v tabulkách:</w:t>
      </w:r>
    </w:p>
    <w:p w14:paraId="2ABBAE19" w14:textId="77777777"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Pomlčka (-)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se jev nevyskytoval</w:t>
      </w:r>
    </w:p>
    <w:p w14:paraId="7D12C939" w14:textId="77777777"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Tečka (.)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údaj není k dispozici nebo je nespolehlivý</w:t>
      </w:r>
    </w:p>
    <w:p w14:paraId="54BE8F3C" w14:textId="77777777" w:rsidR="002964B2" w:rsidRPr="002964B2" w:rsidRDefault="007036F2" w:rsidP="00334E4B">
      <w:pPr>
        <w:ind w:left="357"/>
        <w:contextualSpacing/>
      </w:pPr>
      <w:r w:rsidRPr="007036F2">
        <w:rPr>
          <w:rFonts w:cs="Arial"/>
        </w:rPr>
        <w:t>Písmeno (x)</w:t>
      </w:r>
      <w:r w:rsidRPr="007036F2">
        <w:rPr>
          <w:rFonts w:cs="Arial"/>
        </w:rPr>
        <w:tab/>
        <w:t>ležatý křížek na místě čísla značí, že zápis není možný z logických důvodů</w:t>
      </w:r>
    </w:p>
    <w:sectPr w:rsidR="002964B2" w:rsidRPr="002964B2" w:rsidSect="00ED4AB9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6400" w14:textId="77777777" w:rsidR="004810B8" w:rsidRDefault="004810B8" w:rsidP="00E71A58">
      <w:r>
        <w:separator/>
      </w:r>
    </w:p>
  </w:endnote>
  <w:endnote w:type="continuationSeparator" w:id="0">
    <w:p w14:paraId="49688203" w14:textId="77777777" w:rsidR="004810B8" w:rsidRDefault="004810B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38D3" w14:textId="43A78CE3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AB9" w:rsidRPr="00ED4AB9">
      <w:rPr>
        <w:szCs w:val="16"/>
      </w:rPr>
      <w:fldChar w:fldCharType="begin"/>
    </w:r>
    <w:r w:rsidR="00ED4AB9" w:rsidRPr="00ED4AB9">
      <w:rPr>
        <w:szCs w:val="16"/>
      </w:rPr>
      <w:instrText>PAGE   \* MERGEFORMAT</w:instrText>
    </w:r>
    <w:r w:rsidR="00ED4AB9" w:rsidRPr="00ED4AB9">
      <w:rPr>
        <w:szCs w:val="16"/>
      </w:rPr>
      <w:fldChar w:fldCharType="separate"/>
    </w:r>
    <w:r w:rsidR="00CF0A28">
      <w:rPr>
        <w:szCs w:val="16"/>
      </w:rPr>
      <w:t>4</w:t>
    </w:r>
    <w:r w:rsidR="00ED4AB9" w:rsidRPr="00ED4AB9">
      <w:rPr>
        <w:szCs w:val="16"/>
      </w:rPr>
      <w:fldChar w:fldCharType="end"/>
    </w:r>
    <w:r w:rsidR="00284876" w:rsidRPr="00F1639F">
      <w:rPr>
        <w:szCs w:val="16"/>
      </w:rPr>
      <w:tab/>
    </w:r>
    <w:r w:rsidR="001D1885">
      <w:rPr>
        <w:rStyle w:val="ZpatChar"/>
        <w:szCs w:val="16"/>
      </w:rPr>
      <w:t>1919</w:t>
    </w:r>
    <w:r w:rsidR="000E6292">
      <w:rPr>
        <w:rStyle w:val="ZpatChar"/>
        <w:szCs w:val="16"/>
      </w:rPr>
      <w:t xml:space="preserve"> – 20</w:t>
    </w:r>
    <w:r w:rsidR="00C879E4">
      <w:rPr>
        <w:rStyle w:val="ZpatChar"/>
        <w:szCs w:val="16"/>
      </w:rPr>
      <w:t>2</w:t>
    </w:r>
    <w:r w:rsidR="0055299A">
      <w:rPr>
        <w:rStyle w:val="ZpatChar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9E9B" w14:textId="17A81C96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1D1885">
      <w:rPr>
        <w:rStyle w:val="ZpatChar"/>
        <w:szCs w:val="16"/>
      </w:rPr>
      <w:t>1919 – 20</w:t>
    </w:r>
    <w:r w:rsidR="00104B41">
      <w:rPr>
        <w:rStyle w:val="ZpatChar"/>
        <w:szCs w:val="16"/>
      </w:rPr>
      <w:t>2</w:t>
    </w:r>
    <w:r w:rsidR="0055299A">
      <w:rPr>
        <w:rStyle w:val="ZpatChar"/>
        <w:szCs w:val="16"/>
      </w:rPr>
      <w:t>5</w:t>
    </w:r>
    <w:r w:rsidR="00284876" w:rsidRPr="00F1639F">
      <w:rPr>
        <w:szCs w:val="16"/>
      </w:rPr>
      <w:tab/>
    </w:r>
    <w:r w:rsidR="00ED4AB9" w:rsidRPr="00ED4AB9">
      <w:rPr>
        <w:szCs w:val="16"/>
      </w:rPr>
      <w:fldChar w:fldCharType="begin"/>
    </w:r>
    <w:r w:rsidR="00ED4AB9" w:rsidRPr="00ED4AB9">
      <w:rPr>
        <w:szCs w:val="16"/>
      </w:rPr>
      <w:instrText>PAGE   \* MERGEFORMAT</w:instrText>
    </w:r>
    <w:r w:rsidR="00ED4AB9" w:rsidRPr="00ED4AB9">
      <w:rPr>
        <w:szCs w:val="16"/>
      </w:rPr>
      <w:fldChar w:fldCharType="separate"/>
    </w:r>
    <w:r w:rsidR="00CF0A28">
      <w:rPr>
        <w:szCs w:val="16"/>
      </w:rPr>
      <w:t>3</w:t>
    </w:r>
    <w:r w:rsidR="00ED4AB9" w:rsidRPr="00ED4AB9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5AD0" w14:textId="77777777" w:rsidR="004810B8" w:rsidRDefault="004810B8" w:rsidP="00E71A58">
      <w:r>
        <w:separator/>
      </w:r>
    </w:p>
  </w:footnote>
  <w:footnote w:type="continuationSeparator" w:id="0">
    <w:p w14:paraId="3720D0AB" w14:textId="77777777" w:rsidR="004810B8" w:rsidRDefault="004810B8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5E30" w14:textId="77777777" w:rsidR="001D1885" w:rsidRDefault="001D1885" w:rsidP="00DE6C8F">
    <w:pPr>
      <w:pStyle w:val="Zhlav"/>
    </w:pPr>
    <w:r w:rsidRPr="001D1885">
      <w:t>Databáze demografických údajů za vybraná města ČR</w:t>
    </w:r>
  </w:p>
  <w:p w14:paraId="6EA04162" w14:textId="77777777" w:rsidR="00284876" w:rsidRPr="00DE6C8F" w:rsidRDefault="001D1885" w:rsidP="00DE6C8F">
    <w:pPr>
      <w:pStyle w:val="Zhlav"/>
    </w:pPr>
    <w:r w:rsidRPr="001D1885">
      <w:rPr>
        <w:i/>
        <w:lang w:val="en-US"/>
      </w:rPr>
      <w:t>Database of Demographic Indicators for Selected Towns of the Czech Republic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9730" w14:textId="77777777" w:rsidR="001D1885" w:rsidRDefault="001D1885" w:rsidP="001D1885">
    <w:pPr>
      <w:pStyle w:val="Zhlav"/>
    </w:pPr>
    <w:r w:rsidRPr="001D1885">
      <w:t>Databáze demografických údajů za vybraná města ČR</w:t>
    </w:r>
  </w:p>
  <w:p w14:paraId="5C6CE573" w14:textId="77777777" w:rsidR="001D1885" w:rsidRPr="00DE6C8F" w:rsidRDefault="001D1885" w:rsidP="001D1885">
    <w:pPr>
      <w:pStyle w:val="Zhlav"/>
    </w:pPr>
    <w:r w:rsidRPr="001D1885">
      <w:rPr>
        <w:i/>
        <w:lang w:val="en-US"/>
      </w:rPr>
      <w:t>Database of Demographic Indicators for Selected Towns of the Czech Republic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768290">
    <w:abstractNumId w:val="17"/>
  </w:num>
  <w:num w:numId="2" w16cid:durableId="1488015435">
    <w:abstractNumId w:val="8"/>
  </w:num>
  <w:num w:numId="3" w16cid:durableId="848832810">
    <w:abstractNumId w:val="3"/>
  </w:num>
  <w:num w:numId="4" w16cid:durableId="950627078">
    <w:abstractNumId w:val="2"/>
  </w:num>
  <w:num w:numId="5" w16cid:durableId="1261328309">
    <w:abstractNumId w:val="1"/>
  </w:num>
  <w:num w:numId="6" w16cid:durableId="598637666">
    <w:abstractNumId w:val="0"/>
  </w:num>
  <w:num w:numId="7" w16cid:durableId="927542864">
    <w:abstractNumId w:val="9"/>
  </w:num>
  <w:num w:numId="8" w16cid:durableId="1651253018">
    <w:abstractNumId w:val="7"/>
  </w:num>
  <w:num w:numId="9" w16cid:durableId="681393068">
    <w:abstractNumId w:val="6"/>
  </w:num>
  <w:num w:numId="10" w16cid:durableId="250236903">
    <w:abstractNumId w:val="5"/>
  </w:num>
  <w:num w:numId="11" w16cid:durableId="259417952">
    <w:abstractNumId w:val="4"/>
  </w:num>
  <w:num w:numId="12" w16cid:durableId="1216508865">
    <w:abstractNumId w:val="11"/>
  </w:num>
  <w:num w:numId="13" w16cid:durableId="1065373140">
    <w:abstractNumId w:val="18"/>
  </w:num>
  <w:num w:numId="14" w16cid:durableId="2033846906">
    <w:abstractNumId w:val="13"/>
  </w:num>
  <w:num w:numId="15" w16cid:durableId="2069063474">
    <w:abstractNumId w:val="21"/>
  </w:num>
  <w:num w:numId="16" w16cid:durableId="698699643">
    <w:abstractNumId w:val="16"/>
  </w:num>
  <w:num w:numId="17" w16cid:durableId="1738630804">
    <w:abstractNumId w:val="22"/>
  </w:num>
  <w:num w:numId="18" w16cid:durableId="1669136814">
    <w:abstractNumId w:val="20"/>
  </w:num>
  <w:num w:numId="19" w16cid:durableId="141780687">
    <w:abstractNumId w:val="12"/>
  </w:num>
  <w:num w:numId="20" w16cid:durableId="1801025369">
    <w:abstractNumId w:val="14"/>
  </w:num>
  <w:num w:numId="21" w16cid:durableId="770130983">
    <w:abstractNumId w:val="10"/>
  </w:num>
  <w:num w:numId="22" w16cid:durableId="379327683">
    <w:abstractNumId w:val="15"/>
  </w:num>
  <w:num w:numId="23" w16cid:durableId="962269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07DEB"/>
    <w:rsid w:val="00010702"/>
    <w:rsid w:val="00011C0E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200"/>
    <w:rsid w:val="000522E4"/>
    <w:rsid w:val="00060C89"/>
    <w:rsid w:val="000610E1"/>
    <w:rsid w:val="000624BB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C0F8E"/>
    <w:rsid w:val="000C3408"/>
    <w:rsid w:val="000C6494"/>
    <w:rsid w:val="000C6AFD"/>
    <w:rsid w:val="000D5637"/>
    <w:rsid w:val="000E6292"/>
    <w:rsid w:val="000E6FBD"/>
    <w:rsid w:val="000E7AE9"/>
    <w:rsid w:val="00100F5C"/>
    <w:rsid w:val="00101B1E"/>
    <w:rsid w:val="00104B41"/>
    <w:rsid w:val="00104C4C"/>
    <w:rsid w:val="001071AC"/>
    <w:rsid w:val="0012192F"/>
    <w:rsid w:val="00125D69"/>
    <w:rsid w:val="001405FA"/>
    <w:rsid w:val="001410FA"/>
    <w:rsid w:val="001425C3"/>
    <w:rsid w:val="001440B9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552F"/>
    <w:rsid w:val="001A6BC7"/>
    <w:rsid w:val="001B2CA9"/>
    <w:rsid w:val="001B3110"/>
    <w:rsid w:val="001B4729"/>
    <w:rsid w:val="001B6C09"/>
    <w:rsid w:val="001C05CD"/>
    <w:rsid w:val="001D1885"/>
    <w:rsid w:val="001D231C"/>
    <w:rsid w:val="001D68B2"/>
    <w:rsid w:val="001D7060"/>
    <w:rsid w:val="001E7E48"/>
    <w:rsid w:val="001F4597"/>
    <w:rsid w:val="002118B9"/>
    <w:rsid w:val="00212BE2"/>
    <w:rsid w:val="00213C0A"/>
    <w:rsid w:val="00217C5B"/>
    <w:rsid w:val="0022139E"/>
    <w:rsid w:val="002252E0"/>
    <w:rsid w:val="002255F6"/>
    <w:rsid w:val="002276CE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34E4B"/>
    <w:rsid w:val="00344668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C6E7D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117E"/>
    <w:rsid w:val="004441A0"/>
    <w:rsid w:val="00462C5A"/>
    <w:rsid w:val="00476240"/>
    <w:rsid w:val="00476439"/>
    <w:rsid w:val="00477325"/>
    <w:rsid w:val="0047735C"/>
    <w:rsid w:val="004776BC"/>
    <w:rsid w:val="004810B8"/>
    <w:rsid w:val="0048139F"/>
    <w:rsid w:val="00481E40"/>
    <w:rsid w:val="00484ECE"/>
    <w:rsid w:val="004915CB"/>
    <w:rsid w:val="00492BEB"/>
    <w:rsid w:val="004A1719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0FCD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299A"/>
    <w:rsid w:val="0055599F"/>
    <w:rsid w:val="00556D68"/>
    <w:rsid w:val="005647BF"/>
    <w:rsid w:val="00572766"/>
    <w:rsid w:val="0057364B"/>
    <w:rsid w:val="00574773"/>
    <w:rsid w:val="005824F7"/>
    <w:rsid w:val="00583FFD"/>
    <w:rsid w:val="005911BE"/>
    <w:rsid w:val="00593152"/>
    <w:rsid w:val="00595B17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396F"/>
    <w:rsid w:val="005D5802"/>
    <w:rsid w:val="005D7890"/>
    <w:rsid w:val="005E0E2D"/>
    <w:rsid w:val="005E34D5"/>
    <w:rsid w:val="005E3A20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6F5E16"/>
    <w:rsid w:val="007036F2"/>
    <w:rsid w:val="00704A5B"/>
    <w:rsid w:val="00706AD4"/>
    <w:rsid w:val="007140BE"/>
    <w:rsid w:val="007211F5"/>
    <w:rsid w:val="007218D8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3AF2"/>
    <w:rsid w:val="007B6689"/>
    <w:rsid w:val="007D40DF"/>
    <w:rsid w:val="007E1227"/>
    <w:rsid w:val="007E18EC"/>
    <w:rsid w:val="007E7E61"/>
    <w:rsid w:val="007F0845"/>
    <w:rsid w:val="008027F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4FA8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3F28"/>
    <w:rsid w:val="00935A31"/>
    <w:rsid w:val="00937AE2"/>
    <w:rsid w:val="0094427A"/>
    <w:rsid w:val="00956240"/>
    <w:rsid w:val="00962B9D"/>
    <w:rsid w:val="00974923"/>
    <w:rsid w:val="00976884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3ACD"/>
    <w:rsid w:val="009E003B"/>
    <w:rsid w:val="009E3739"/>
    <w:rsid w:val="009E5DDB"/>
    <w:rsid w:val="009F4754"/>
    <w:rsid w:val="009F4CA7"/>
    <w:rsid w:val="00A02D97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996"/>
    <w:rsid w:val="00AA52BF"/>
    <w:rsid w:val="00AA559A"/>
    <w:rsid w:val="00AA5B3B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5E49"/>
    <w:rsid w:val="00B76D1E"/>
    <w:rsid w:val="00B80EC6"/>
    <w:rsid w:val="00B81AFE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2F3F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621D"/>
    <w:rsid w:val="00C879E4"/>
    <w:rsid w:val="00C90CF4"/>
    <w:rsid w:val="00C92EB6"/>
    <w:rsid w:val="00C93389"/>
    <w:rsid w:val="00C96CCE"/>
    <w:rsid w:val="00CB2C9B"/>
    <w:rsid w:val="00CB4930"/>
    <w:rsid w:val="00CC2E7D"/>
    <w:rsid w:val="00CD10A5"/>
    <w:rsid w:val="00CD2076"/>
    <w:rsid w:val="00CE670B"/>
    <w:rsid w:val="00CF0A28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9450E"/>
    <w:rsid w:val="00DA7C0C"/>
    <w:rsid w:val="00DB2EC8"/>
    <w:rsid w:val="00DB5695"/>
    <w:rsid w:val="00DC39F1"/>
    <w:rsid w:val="00DC5B3B"/>
    <w:rsid w:val="00DC75CB"/>
    <w:rsid w:val="00DD129F"/>
    <w:rsid w:val="00DD1FAB"/>
    <w:rsid w:val="00DD685B"/>
    <w:rsid w:val="00DE6C8F"/>
    <w:rsid w:val="00DF42FF"/>
    <w:rsid w:val="00DF5A03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53C6B"/>
    <w:rsid w:val="00E6519D"/>
    <w:rsid w:val="00E67696"/>
    <w:rsid w:val="00E71A58"/>
    <w:rsid w:val="00E72A7A"/>
    <w:rsid w:val="00E75C94"/>
    <w:rsid w:val="00E93820"/>
    <w:rsid w:val="00E96E34"/>
    <w:rsid w:val="00EA0C68"/>
    <w:rsid w:val="00EA6522"/>
    <w:rsid w:val="00EC03D7"/>
    <w:rsid w:val="00EC4A31"/>
    <w:rsid w:val="00ED4AB9"/>
    <w:rsid w:val="00ED62C6"/>
    <w:rsid w:val="00ED64C1"/>
    <w:rsid w:val="00ED675E"/>
    <w:rsid w:val="00EE3446"/>
    <w:rsid w:val="00EE3E78"/>
    <w:rsid w:val="00EE4B1B"/>
    <w:rsid w:val="00EF150D"/>
    <w:rsid w:val="00EF1F5A"/>
    <w:rsid w:val="00F03899"/>
    <w:rsid w:val="00F04811"/>
    <w:rsid w:val="00F0488C"/>
    <w:rsid w:val="00F0585C"/>
    <w:rsid w:val="00F107AB"/>
    <w:rsid w:val="00F11F46"/>
    <w:rsid w:val="00F15AAA"/>
    <w:rsid w:val="00F15BEF"/>
    <w:rsid w:val="00F1639F"/>
    <w:rsid w:val="00F24407"/>
    <w:rsid w:val="00F24D23"/>
    <w:rsid w:val="00F24FAA"/>
    <w:rsid w:val="00F3364D"/>
    <w:rsid w:val="00F378E4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D7440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C849F4E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5E3A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atabaze-demografickych-udaju-za-obce-c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vysvetlivky-k-databaz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8BEC-7B17-4DDC-A8DD-64C1B5D6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167</TotalTime>
  <Pages>2</Pages>
  <Words>981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Bílík Jan</cp:lastModifiedBy>
  <cp:revision>27</cp:revision>
  <cp:lastPrinted>2018-05-11T09:05:00Z</cp:lastPrinted>
  <dcterms:created xsi:type="dcterms:W3CDTF">2018-06-04T07:16:00Z</dcterms:created>
  <dcterms:modified xsi:type="dcterms:W3CDTF">2026-05-11T10:32:00Z</dcterms:modified>
</cp:coreProperties>
</file>