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6F2" w:rsidRDefault="007036F2" w:rsidP="002964B2">
      <w:pPr>
        <w:spacing w:before="120"/>
        <w:rPr>
          <w:rFonts w:eastAsia="MS Gothic"/>
          <w:b/>
          <w:bCs/>
          <w:sz w:val="28"/>
          <w:szCs w:val="26"/>
        </w:rPr>
      </w:pPr>
      <w:r w:rsidRPr="007036F2">
        <w:rPr>
          <w:rFonts w:eastAsia="MS Gothic"/>
          <w:b/>
          <w:bCs/>
          <w:sz w:val="28"/>
          <w:szCs w:val="26"/>
        </w:rPr>
        <w:t>Metodické poznámky</w:t>
      </w:r>
    </w:p>
    <w:p w:rsidR="001D7060" w:rsidRPr="001D7060" w:rsidRDefault="001D7060" w:rsidP="001D7060">
      <w:pPr>
        <w:rPr>
          <w:rFonts w:cs="Arial"/>
        </w:rPr>
      </w:pPr>
      <w:r w:rsidRPr="001D7060">
        <w:rPr>
          <w:rFonts w:cs="Arial"/>
        </w:rPr>
        <w:t>Prezentace demografických údajů ve vybraných městech v dlouhé časové řadě navazuje na dříve vydávanou publikaci ČSÚ „Vývoj základních demografických ukazatelů ve vybraných městech ČR´“. Shrnuje dostupné údaje za města již od roku 1919 a poskytuje přehledný zdroj údajů k dalšímu všestrannému využití. Vybrána byla města, která byla zařazena k tabelizaci pro pramenná dí</w:t>
      </w:r>
      <w:r w:rsidR="005E3A20">
        <w:rPr>
          <w:rFonts w:cs="Arial"/>
        </w:rPr>
        <w:t>la, tj. Demografické ročenky za </w:t>
      </w:r>
      <w:r w:rsidRPr="001D7060">
        <w:rPr>
          <w:rFonts w:cs="Arial"/>
        </w:rPr>
        <w:t>příslušný rok (dříve nazývané Pohyb obyvatelstva ČR), a dále města, j</w:t>
      </w:r>
      <w:r w:rsidR="005E3A20">
        <w:rPr>
          <w:rFonts w:cs="Arial"/>
        </w:rPr>
        <w:t>ejichž počet obyvatel neklesl v </w:t>
      </w:r>
      <w:r w:rsidRPr="001D7060">
        <w:rPr>
          <w:rFonts w:cs="Arial"/>
        </w:rPr>
        <w:t xml:space="preserve">období let 1949-2015 pod 5 tis. Města jsou řazena abecedně podle nynějších názvů. Údaje za města jsou vždy v územním vymezení platném v příslušném roce. </w:t>
      </w:r>
    </w:p>
    <w:p w:rsidR="001D7060" w:rsidRPr="001D7060" w:rsidRDefault="001D7060" w:rsidP="001D7060">
      <w:pPr>
        <w:rPr>
          <w:rFonts w:cs="Arial"/>
        </w:rPr>
      </w:pPr>
      <w:r w:rsidRPr="001D7060">
        <w:rPr>
          <w:rFonts w:cs="Arial"/>
        </w:rPr>
        <w:t>Základním zdrojem dat byly tabulky v pramenných dílech a Databáze demografických údajů za obce ČR obsahující údaje od roku 1971 (</w:t>
      </w:r>
      <w:hyperlink r:id="rId8" w:history="1">
        <w:r w:rsidRPr="005E3A20">
          <w:rPr>
            <w:rStyle w:val="Hypertextovodkaz"/>
            <w:rFonts w:cs="Arial"/>
          </w:rPr>
          <w:t>https://www.czso.cz/csu/czso/databaze-demografickych-udaju-za-obce-cr</w:t>
        </w:r>
      </w:hyperlink>
      <w:r w:rsidRPr="001D7060">
        <w:rPr>
          <w:rFonts w:cs="Arial"/>
        </w:rPr>
        <w:t>). Pramenná díla uváděla vždy tabulku základních demografických údajů nejen za celou republiku (protektorát Čechy a Morava), ale i za dílčí území (kraje, okresy (soudní, správní) a vybrané obce (města)). V letech 1919 až 1949 se jednalo hlavně</w:t>
      </w:r>
      <w:bookmarkStart w:id="0" w:name="_GoBack"/>
      <w:bookmarkEnd w:id="0"/>
      <w:r w:rsidRPr="001D7060">
        <w:rPr>
          <w:rFonts w:cs="Arial"/>
        </w:rPr>
        <w:t xml:space="preserve"> o údaje přirozeného pohybu obyvatelstva označené jako Přehled přirozené měny obyvatelstva. Od roku 1950 byla tabulka označena jako Přehled pohybu obyvatelstva a zahrnovala navíc i údaje o mechanickém (migračním) pohybu obyvatelstva. </w:t>
      </w:r>
    </w:p>
    <w:p w:rsidR="001D7060" w:rsidRPr="001D7060" w:rsidRDefault="001D7060" w:rsidP="001D7060">
      <w:pPr>
        <w:rPr>
          <w:rFonts w:cs="Arial"/>
        </w:rPr>
      </w:pPr>
      <w:r w:rsidRPr="001D7060">
        <w:rPr>
          <w:rFonts w:cs="Arial"/>
        </w:rPr>
        <w:t>Od roku 1919 do roku 1927 nebyl výběr měst do pramenných děl blíže specifikován. Od roku 1928 do roku 1985 bylo většinou uvedeno, že se jedná o města nad 10 000 obyvatel (od roku 1960 jsou uvedena i okresní města s počtem obyvatel nižším). Od roku 1986 do roku 1991 nemají uvedená města žádné vysvětlující označení. Od roku 1992 jsou zařazována města, která mají k počátku dané</w:t>
      </w:r>
      <w:r w:rsidR="005E3A20">
        <w:rPr>
          <w:rFonts w:cs="Arial"/>
        </w:rPr>
        <w:t>ho roku statut města (působil v </w:t>
      </w:r>
      <w:r w:rsidRPr="001D7060">
        <w:rPr>
          <w:rFonts w:cs="Arial"/>
        </w:rPr>
        <w:t xml:space="preserve">nich městský nebo magistrátní úřad). </w:t>
      </w:r>
    </w:p>
    <w:p w:rsidR="001D7060" w:rsidRPr="001D7060" w:rsidRDefault="001D7060" w:rsidP="001D7060">
      <w:pPr>
        <w:rPr>
          <w:rFonts w:cs="Arial"/>
        </w:rPr>
      </w:pPr>
      <w:r w:rsidRPr="001D7060">
        <w:rPr>
          <w:rFonts w:cs="Arial"/>
        </w:rPr>
        <w:t>Za roky 1919-1942 není v pramenných dílech uveden střední stav obyvatelstva. Uvedeny jsou však relativní údaje vypočtené z údajů o počtech sňatků, rozvodů, narozených, zemřelý</w:t>
      </w:r>
      <w:r w:rsidR="005E3A20">
        <w:rPr>
          <w:rFonts w:cs="Arial"/>
        </w:rPr>
        <w:t>ch a přirozeného přírůstku na 1 </w:t>
      </w:r>
      <w:r w:rsidRPr="001D7060">
        <w:rPr>
          <w:rFonts w:cs="Arial"/>
        </w:rPr>
        <w:t>000 obyvatel. Z jednotlivých relativních údajů byly vypočteny údaj</w:t>
      </w:r>
      <w:r w:rsidR="005E3A20">
        <w:rPr>
          <w:rFonts w:cs="Arial"/>
        </w:rPr>
        <w:t>e o přibližném počtu obyvatel a </w:t>
      </w:r>
      <w:r w:rsidRPr="001D7060">
        <w:rPr>
          <w:rFonts w:cs="Arial"/>
        </w:rPr>
        <w:t>následně byl vypočten průměr z těchto přibližných počtů obyvatel a to pro příslušné město a rok. Takto vypočtený průměrný střední stav je uveden jako střední stav. Mechanický pohyb byl v letech 1950 až 1952 sledován jen u tehdejších krajských měst, od roku 1953 u všech vybraných měst. Kromě údajů o přirozeném a migračním pohybu obyvatelstva jsou v pramenných dílech uváděny úd</w:t>
      </w:r>
      <w:r w:rsidR="005E3A20">
        <w:rPr>
          <w:rFonts w:cs="Arial"/>
        </w:rPr>
        <w:t>aje o počtech sňatků, rozvodů a </w:t>
      </w:r>
      <w:r w:rsidRPr="001D7060">
        <w:rPr>
          <w:rFonts w:cs="Arial"/>
        </w:rPr>
        <w:t>potratů. Údaje o počtu sňatků jsou za celé sledované období. Údaje o počtech rozvodů (a rozluk) jsou uváděny za období roků 1919-1940. Výběr měst, za která údaje o rozvodech uváděny jsou, není však totožný s výběrem měst, za která jsou uváděny jiné údaje. V dalších letech údaje o rozvodech uvedeny nejsou, znovu byly uváděny od roku 1950 (za Brno, Prahu, Ostravu a Plzeň jsou uvedeny údaje i za rok 1949 a to rozluky). Údaje o počtu potratů jsou v pramenných dílech publikovány od roku 1971.</w:t>
      </w:r>
    </w:p>
    <w:p w:rsidR="001D7060" w:rsidRPr="001D7060" w:rsidRDefault="001D7060" w:rsidP="001D7060">
      <w:pPr>
        <w:rPr>
          <w:rFonts w:cs="Arial"/>
        </w:rPr>
      </w:pPr>
      <w:r w:rsidRPr="001D7060">
        <w:rPr>
          <w:rFonts w:cs="Arial"/>
        </w:rPr>
        <w:t>Za roky 1945 a 1946 jsou zde, shodně s pramennými díly, uvedeny</w:t>
      </w:r>
      <w:r w:rsidR="005E3A20">
        <w:rPr>
          <w:rFonts w:cs="Arial"/>
        </w:rPr>
        <w:t xml:space="preserve"> dvojí údaje a to samostatně za </w:t>
      </w:r>
      <w:r w:rsidRPr="001D7060">
        <w:rPr>
          <w:rFonts w:cs="Arial"/>
        </w:rPr>
        <w:t>obyvatelstvo bez obyvatel německé národnosti a samostatně za obyvatelstvo německé národnosti.</w:t>
      </w:r>
    </w:p>
    <w:p w:rsidR="001D7060" w:rsidRPr="001D7060" w:rsidRDefault="001D7060" w:rsidP="001D7060">
      <w:pPr>
        <w:rPr>
          <w:rFonts w:cs="Arial"/>
        </w:rPr>
      </w:pPr>
      <w:r w:rsidRPr="001D7060">
        <w:rPr>
          <w:rFonts w:cs="Arial"/>
        </w:rPr>
        <w:t>Podrobnější metodické poznámky k jednotlivým ukazatelům jsou v příslušných pramenných dílech.</w:t>
      </w:r>
    </w:p>
    <w:p w:rsidR="001D7060" w:rsidRPr="001D7060" w:rsidRDefault="001D7060" w:rsidP="001D7060">
      <w:pPr>
        <w:rPr>
          <w:rFonts w:cs="Arial"/>
        </w:rPr>
      </w:pPr>
      <w:r w:rsidRPr="001D7060">
        <w:rPr>
          <w:rFonts w:cs="Arial"/>
        </w:rPr>
        <w:t>Databáze demografických údajů za obce ČR sloužila k doplnění prezentovaných údajů v období od roku 1971, které nebyly uvedeny v pramenných dílech. Vysvětlivky</w:t>
      </w:r>
      <w:r w:rsidR="005E3A20">
        <w:rPr>
          <w:rFonts w:cs="Arial"/>
        </w:rPr>
        <w:t xml:space="preserve"> k databázi jsou k dispozici na </w:t>
      </w:r>
      <w:hyperlink r:id="rId9" w:history="1">
        <w:r w:rsidRPr="005E3A20">
          <w:rPr>
            <w:rStyle w:val="Hypertextovodkaz"/>
            <w:rFonts w:cs="Arial"/>
          </w:rPr>
          <w:t>https://www.czso.cz/csu/czso/vysvetlivky-k-databazi</w:t>
        </w:r>
      </w:hyperlink>
      <w:r w:rsidRPr="001D7060">
        <w:rPr>
          <w:rFonts w:cs="Arial"/>
        </w:rPr>
        <w:t xml:space="preserve">.  </w:t>
      </w:r>
    </w:p>
    <w:p w:rsidR="001D7060" w:rsidRPr="001D7060" w:rsidRDefault="001D7060" w:rsidP="001D7060">
      <w:pPr>
        <w:rPr>
          <w:rFonts w:cs="Arial"/>
        </w:rPr>
      </w:pPr>
      <w:r w:rsidRPr="001D7060">
        <w:rPr>
          <w:rFonts w:cs="Arial"/>
        </w:rPr>
        <w:t>Proloženým písmem (kurzívou) jsou označeny údaje, které nejsou přímo uvedeny v pramenných dílech, ale byly z jiných údajů pramenných děl vypočteny.</w:t>
      </w:r>
    </w:p>
    <w:p w:rsidR="001D7060" w:rsidRPr="001D7060" w:rsidRDefault="001D7060" w:rsidP="001D7060">
      <w:pPr>
        <w:rPr>
          <w:rFonts w:cs="Arial"/>
        </w:rPr>
      </w:pPr>
      <w:r w:rsidRPr="001D7060">
        <w:rPr>
          <w:rFonts w:cs="Arial"/>
        </w:rPr>
        <w:t xml:space="preserve">V následujících městech došlo ve sledovaném období k připojení dříve samostatně sledovaných obcí (měst) a tato připojená města jsou zde uváděna samostatně s údaji za město, do kterého byla začleněna. V případě Ostravy a Frýdku-Místku došlo při spojení dříve samostatně sledovaných obcí (měst) ke vzniku nově </w:t>
      </w:r>
      <w:r w:rsidRPr="001D7060">
        <w:rPr>
          <w:rFonts w:cs="Arial"/>
        </w:rPr>
        <w:lastRenderedPageBreak/>
        <w:t xml:space="preserve">pojmenovaného města (nejednalo se tedy o pouhou změnu názvu města). V případě Frýdku-Místku nebyl vznik nového názvu časové shodný se spojením měst. </w:t>
      </w:r>
    </w:p>
    <w:p w:rsidR="001D7060" w:rsidRPr="003C6E7D" w:rsidRDefault="001D7060" w:rsidP="001D7060">
      <w:pPr>
        <w:contextualSpacing/>
        <w:rPr>
          <w:rFonts w:cs="Arial"/>
          <w:b/>
        </w:rPr>
      </w:pPr>
      <w:r w:rsidRPr="003C6E7D">
        <w:rPr>
          <w:rFonts w:cs="Arial"/>
          <w:b/>
        </w:rPr>
        <w:t>Děčín</w:t>
      </w:r>
    </w:p>
    <w:p w:rsidR="001D7060" w:rsidRPr="001D7060" w:rsidRDefault="001D7060" w:rsidP="001D7060">
      <w:pPr>
        <w:rPr>
          <w:rFonts w:cs="Arial"/>
        </w:rPr>
      </w:pPr>
      <w:r w:rsidRPr="001D7060">
        <w:rPr>
          <w:rFonts w:cs="Arial"/>
        </w:rPr>
        <w:t>Za roky 1919 až 1937 jsou uvedeny údaje za Podmokly. Za roky 1945 až 1948 jsou Podmokly částí obce Děčín-Podmokly, od roku 1949 částí obce Děčín.</w:t>
      </w:r>
    </w:p>
    <w:p w:rsidR="001D7060" w:rsidRPr="003C6E7D" w:rsidRDefault="001D7060" w:rsidP="001D7060">
      <w:pPr>
        <w:contextualSpacing/>
        <w:rPr>
          <w:rFonts w:cs="Arial"/>
          <w:b/>
        </w:rPr>
      </w:pPr>
      <w:r w:rsidRPr="003C6E7D">
        <w:rPr>
          <w:rFonts w:cs="Arial"/>
          <w:b/>
        </w:rPr>
        <w:t>Frýdek-Místek</w:t>
      </w:r>
    </w:p>
    <w:p w:rsidR="001D7060" w:rsidRPr="001D7060" w:rsidRDefault="001D7060" w:rsidP="001D7060">
      <w:pPr>
        <w:rPr>
          <w:rFonts w:cs="Arial"/>
        </w:rPr>
      </w:pPr>
      <w:r w:rsidRPr="001D7060">
        <w:rPr>
          <w:rFonts w:cs="Arial"/>
        </w:rPr>
        <w:t>V pramenném díle za rok 1919 nejsou údaje ani za Frýdek, ani za Místek. V období roků 1920 až 1942 jsou uvedeny údaje jen za Frýdek. Od roku 1943 jsou již trvale uváděny souhrnné údaje za Frýdek a Místek a to za roky 1943 a 1944 pod názvem Frýdek, za roky 1945 až 1949 pod názvem Frýdek-Místek, za roky 1950 - 1954 pod názvem Místek a od roku 1955 do nynějška pod názvem Frýdek-Místek.</w:t>
      </w:r>
    </w:p>
    <w:p w:rsidR="001D7060" w:rsidRPr="003C6E7D" w:rsidRDefault="001D7060" w:rsidP="001D7060">
      <w:pPr>
        <w:contextualSpacing/>
        <w:rPr>
          <w:rFonts w:cs="Arial"/>
          <w:b/>
        </w:rPr>
      </w:pPr>
      <w:r w:rsidRPr="003C6E7D">
        <w:rPr>
          <w:rFonts w:cs="Arial"/>
          <w:b/>
        </w:rPr>
        <w:t>Karlovy Vary</w:t>
      </w:r>
    </w:p>
    <w:p w:rsidR="001D7060" w:rsidRPr="001D7060" w:rsidRDefault="001D7060" w:rsidP="001D7060">
      <w:pPr>
        <w:rPr>
          <w:rFonts w:cs="Arial"/>
        </w:rPr>
      </w:pPr>
      <w:r w:rsidRPr="001D7060">
        <w:rPr>
          <w:rFonts w:cs="Arial"/>
        </w:rPr>
        <w:t>Za roky 1919 až 1920 a 1931 až 1937 jsou uvedeny údaje za Rybáře. Za okupace byly Rybáře částí obce Karlovy Vary. Po válce byly samostatné, ale v pramenném díle údaje za ně uvedeny nebyly. Od roku 1948 jsou Rybáře částí obce Karlovy Vary, ale z údajů v pramenném díle není možné jednoznačně zjistit, zda byly zahrnuty do údajů za obec Karlovy Vary již za rok 1947 (pravděpodobně ano).</w:t>
      </w:r>
    </w:p>
    <w:p w:rsidR="001D7060" w:rsidRPr="003C6E7D" w:rsidRDefault="001D7060" w:rsidP="001D7060">
      <w:pPr>
        <w:contextualSpacing/>
        <w:rPr>
          <w:rFonts w:cs="Arial"/>
          <w:b/>
        </w:rPr>
      </w:pPr>
      <w:r w:rsidRPr="003C6E7D">
        <w:rPr>
          <w:rFonts w:cs="Arial"/>
          <w:b/>
        </w:rPr>
        <w:t>Kladno</w:t>
      </w:r>
    </w:p>
    <w:p w:rsidR="001D7060" w:rsidRPr="001D7060" w:rsidRDefault="001D7060" w:rsidP="001D7060">
      <w:pPr>
        <w:rPr>
          <w:rFonts w:cs="Arial"/>
        </w:rPr>
      </w:pPr>
      <w:r w:rsidRPr="001D7060">
        <w:rPr>
          <w:rFonts w:cs="Arial"/>
        </w:rPr>
        <w:t xml:space="preserve">Za roky 1919 až 1940 jsou uvedeny údaje za </w:t>
      </w:r>
      <w:proofErr w:type="spellStart"/>
      <w:r w:rsidRPr="001D7060">
        <w:rPr>
          <w:rFonts w:cs="Arial"/>
        </w:rPr>
        <w:t>Kročehlavy</w:t>
      </w:r>
      <w:proofErr w:type="spellEnd"/>
      <w:r w:rsidRPr="001D7060">
        <w:rPr>
          <w:rFonts w:cs="Arial"/>
        </w:rPr>
        <w:t xml:space="preserve">. Od roku 1941 byly </w:t>
      </w:r>
      <w:proofErr w:type="spellStart"/>
      <w:r w:rsidRPr="001D7060">
        <w:rPr>
          <w:rFonts w:cs="Arial"/>
        </w:rPr>
        <w:t>Kročehlavy</w:t>
      </w:r>
      <w:proofErr w:type="spellEnd"/>
      <w:r w:rsidRPr="001D7060">
        <w:rPr>
          <w:rFonts w:cs="Arial"/>
        </w:rPr>
        <w:t xml:space="preserve"> částí obce Kladno. Po válce byly samostatné, ale v pramenném díle údaje za ně uvedeny nebyly. Od roku 1948 jsou </w:t>
      </w:r>
      <w:proofErr w:type="spellStart"/>
      <w:r w:rsidRPr="001D7060">
        <w:rPr>
          <w:rFonts w:cs="Arial"/>
        </w:rPr>
        <w:t>Kročehlavy</w:t>
      </w:r>
      <w:proofErr w:type="spellEnd"/>
      <w:r w:rsidRPr="001D7060">
        <w:rPr>
          <w:rFonts w:cs="Arial"/>
        </w:rPr>
        <w:t xml:space="preserve"> částí obce Kladno, ale z údajů v pramenném díle není možné jednoznačně zjistit, zda byly zahrnuty do údajů za obec Kladno již za rok 1947 (pravděpodobně ano).</w:t>
      </w:r>
    </w:p>
    <w:p w:rsidR="001D7060" w:rsidRPr="003C6E7D" w:rsidRDefault="001D7060" w:rsidP="001D7060">
      <w:pPr>
        <w:contextualSpacing/>
        <w:rPr>
          <w:rFonts w:cs="Arial"/>
          <w:b/>
        </w:rPr>
      </w:pPr>
      <w:r w:rsidRPr="003C6E7D">
        <w:rPr>
          <w:rFonts w:cs="Arial"/>
          <w:b/>
        </w:rPr>
        <w:t>Ostrava</w:t>
      </w:r>
    </w:p>
    <w:p w:rsidR="001D7060" w:rsidRPr="001D7060" w:rsidRDefault="001D7060" w:rsidP="001D7060">
      <w:pPr>
        <w:rPr>
          <w:rFonts w:cs="Arial"/>
        </w:rPr>
      </w:pPr>
      <w:r w:rsidRPr="001D7060">
        <w:rPr>
          <w:rFonts w:cs="Arial"/>
        </w:rPr>
        <w:t xml:space="preserve">Za roky 1919 až 1944 jsou uváděna jako samostatná města současné části Ostravy a to za roky 1919 až 1920 Mariánské Hory, Moravská Ostrava, Přívoz, Slezská Ostrava, Vítkovice, za roky 1921 až 1924 navíc ještě město Zábřeh nad Odrou, za roky 1925 až 1940 Moravská Ostrava a Slezská Ostrava, za roky 1941 až 1944 jen Moravská Ostrava. Teprve od roku 1945 je uveden dosavadní název města Ostrava. Za roky 1955 a 1956 jsou uvedeny údaje za Porubu. Od roku 1957 je Poruba částí obce Ostrava. </w:t>
      </w:r>
    </w:p>
    <w:p w:rsidR="001D7060" w:rsidRPr="003C6E7D" w:rsidRDefault="001D7060" w:rsidP="001D7060">
      <w:pPr>
        <w:contextualSpacing/>
        <w:rPr>
          <w:rFonts w:cs="Arial"/>
          <w:b/>
        </w:rPr>
      </w:pPr>
      <w:r w:rsidRPr="003C6E7D">
        <w:rPr>
          <w:rFonts w:cs="Arial"/>
          <w:b/>
        </w:rPr>
        <w:t>Praha</w:t>
      </w:r>
    </w:p>
    <w:p w:rsidR="001D7060" w:rsidRPr="001D7060" w:rsidRDefault="001D7060" w:rsidP="001D7060">
      <w:pPr>
        <w:rPr>
          <w:rFonts w:cs="Arial"/>
        </w:rPr>
      </w:pPr>
      <w:r w:rsidRPr="001D7060">
        <w:rPr>
          <w:rFonts w:cs="Arial"/>
        </w:rPr>
        <w:t xml:space="preserve">Za roky 1960 až 1967 jsou uvedeny údaje za Modřany. Od roku 1968 jsou Modřany částí obce Praha. </w:t>
      </w:r>
    </w:p>
    <w:p w:rsidR="001D7060" w:rsidRPr="001D7060" w:rsidRDefault="001D7060" w:rsidP="001D7060">
      <w:pPr>
        <w:contextualSpacing/>
        <w:rPr>
          <w:rFonts w:cs="Arial"/>
        </w:rPr>
      </w:pPr>
      <w:r w:rsidRPr="003C6E7D">
        <w:rPr>
          <w:rFonts w:cs="Arial"/>
          <w:b/>
        </w:rPr>
        <w:t>Teplice</w:t>
      </w:r>
      <w:r w:rsidRPr="001D7060">
        <w:rPr>
          <w:rFonts w:cs="Arial"/>
        </w:rPr>
        <w:t xml:space="preserve"> (za roky 1919-1948 Teplice-Šanov)</w:t>
      </w:r>
    </w:p>
    <w:p w:rsidR="007036F2" w:rsidRPr="007036F2" w:rsidRDefault="001D7060" w:rsidP="006F5E16">
      <w:pPr>
        <w:rPr>
          <w:rFonts w:cs="Arial"/>
        </w:rPr>
      </w:pPr>
      <w:r w:rsidRPr="001D7060">
        <w:rPr>
          <w:rFonts w:cs="Arial"/>
        </w:rPr>
        <w:t>Za roky 1919 až 1937 a 1945 až 1947 jsou uvedeny údaje za Trnovany. Za okupace byly Trnovany částí obce Teplice-Šanov. Po válce byly samostatné a v pramenném díle byly za ně uvedeny údaje za roky 1945 a 1947. Od roku 1948 jsou Trnovany částí obce Teplice-Šanov.</w:t>
      </w:r>
    </w:p>
    <w:p w:rsidR="007036F2" w:rsidRPr="007036F2" w:rsidRDefault="007036F2" w:rsidP="006F5E16">
      <w:pPr>
        <w:rPr>
          <w:rFonts w:cs="Arial"/>
        </w:rPr>
      </w:pPr>
      <w:r w:rsidRPr="007036F2">
        <w:rPr>
          <w:rFonts w:cs="Arial"/>
        </w:rPr>
        <w:t>Použité značky v tabulkách:</w:t>
      </w:r>
    </w:p>
    <w:p w:rsidR="007036F2" w:rsidRPr="007036F2" w:rsidRDefault="007036F2" w:rsidP="00334E4B">
      <w:pPr>
        <w:ind w:left="357"/>
        <w:contextualSpacing/>
        <w:rPr>
          <w:rFonts w:cs="Arial"/>
        </w:rPr>
      </w:pPr>
      <w:r w:rsidRPr="007036F2">
        <w:rPr>
          <w:rFonts w:cs="Arial"/>
        </w:rPr>
        <w:t>Pomlčka (-)</w:t>
      </w:r>
      <w:r w:rsidRPr="007036F2">
        <w:rPr>
          <w:rFonts w:cs="Arial"/>
        </w:rPr>
        <w:tab/>
      </w:r>
      <w:r w:rsidR="00334E4B">
        <w:rPr>
          <w:rFonts w:cs="Arial"/>
        </w:rPr>
        <w:tab/>
      </w:r>
      <w:r w:rsidRPr="007036F2">
        <w:rPr>
          <w:rFonts w:cs="Arial"/>
        </w:rPr>
        <w:t>na místě čísla značí, že se jev nevyskytoval</w:t>
      </w:r>
    </w:p>
    <w:p w:rsidR="007036F2" w:rsidRPr="007036F2" w:rsidRDefault="007036F2" w:rsidP="00334E4B">
      <w:pPr>
        <w:ind w:left="357"/>
        <w:contextualSpacing/>
        <w:rPr>
          <w:rFonts w:cs="Arial"/>
        </w:rPr>
      </w:pPr>
      <w:r w:rsidRPr="007036F2">
        <w:rPr>
          <w:rFonts w:cs="Arial"/>
        </w:rPr>
        <w:t>Tečka (.)</w:t>
      </w:r>
      <w:r w:rsidRPr="007036F2">
        <w:rPr>
          <w:rFonts w:cs="Arial"/>
        </w:rPr>
        <w:tab/>
      </w:r>
      <w:r w:rsidR="00334E4B">
        <w:rPr>
          <w:rFonts w:cs="Arial"/>
        </w:rPr>
        <w:tab/>
      </w:r>
      <w:r w:rsidRPr="007036F2">
        <w:rPr>
          <w:rFonts w:cs="Arial"/>
        </w:rPr>
        <w:t>na místě čísla značí, že údaj není k dispozici nebo je nespolehlivý</w:t>
      </w:r>
    </w:p>
    <w:p w:rsidR="002964B2" w:rsidRPr="002964B2" w:rsidRDefault="007036F2" w:rsidP="00334E4B">
      <w:pPr>
        <w:ind w:left="357"/>
        <w:contextualSpacing/>
      </w:pPr>
      <w:r w:rsidRPr="007036F2">
        <w:rPr>
          <w:rFonts w:cs="Arial"/>
        </w:rPr>
        <w:t>Písmeno (x)</w:t>
      </w:r>
      <w:r w:rsidRPr="007036F2">
        <w:rPr>
          <w:rFonts w:cs="Arial"/>
        </w:rPr>
        <w:tab/>
        <w:t>ležatý křížek na místě čísla značí, že zápis není možný z logických důvodů</w:t>
      </w:r>
    </w:p>
    <w:sectPr w:rsidR="002964B2" w:rsidRPr="002964B2" w:rsidSect="00ED4AB9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1134" w:right="1134" w:bottom="1418" w:left="1134" w:header="510" w:footer="680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AFE" w:rsidRDefault="00B81AFE" w:rsidP="00E71A58">
      <w:r>
        <w:separator/>
      </w:r>
    </w:p>
  </w:endnote>
  <w:endnote w:type="continuationSeparator" w:id="0">
    <w:p w:rsidR="00B81AFE" w:rsidRDefault="00B81AFE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876" w:rsidRPr="00F1639F" w:rsidRDefault="00B21224" w:rsidP="00A418BC">
    <w:pPr>
      <w:pStyle w:val="Zpat"/>
      <w:rPr>
        <w:szCs w:val="16"/>
      </w:rPr>
    </w:pPr>
    <w:r>
      <w:rPr>
        <w:lang w:eastAsia="cs-CZ"/>
      </w:rPr>
      <w:drawing>
        <wp:anchor distT="0" distB="0" distL="114300" distR="114300" simplePos="0" relativeHeight="251658240" behindDoc="0" locked="0" layoutInCell="1" allowOverlap="1" wp14:anchorId="1FD647A0" wp14:editId="7A867C0B">
          <wp:simplePos x="0" y="0"/>
          <wp:positionH relativeFrom="column">
            <wp:align>right</wp:align>
          </wp:positionH>
          <wp:positionV relativeFrom="paragraph">
            <wp:posOffset>-64770</wp:posOffset>
          </wp:positionV>
          <wp:extent cx="424815" cy="202565"/>
          <wp:effectExtent l="0" t="0" r="0" b="6985"/>
          <wp:wrapNone/>
          <wp:docPr id="13" name="obrázek 13" descr="CSU RGB CB CZ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SU RGB CB CZ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815" cy="202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4AB9" w:rsidRPr="00ED4AB9">
      <w:rPr>
        <w:szCs w:val="16"/>
      </w:rPr>
      <w:fldChar w:fldCharType="begin"/>
    </w:r>
    <w:r w:rsidR="00ED4AB9" w:rsidRPr="00ED4AB9">
      <w:rPr>
        <w:szCs w:val="16"/>
      </w:rPr>
      <w:instrText>PAGE   \* MERGEFORMAT</w:instrText>
    </w:r>
    <w:r w:rsidR="00ED4AB9" w:rsidRPr="00ED4AB9">
      <w:rPr>
        <w:szCs w:val="16"/>
      </w:rPr>
      <w:fldChar w:fldCharType="separate"/>
    </w:r>
    <w:r w:rsidR="00CF0A28">
      <w:rPr>
        <w:szCs w:val="16"/>
      </w:rPr>
      <w:t>4</w:t>
    </w:r>
    <w:r w:rsidR="00ED4AB9" w:rsidRPr="00ED4AB9">
      <w:rPr>
        <w:szCs w:val="16"/>
      </w:rPr>
      <w:fldChar w:fldCharType="end"/>
    </w:r>
    <w:r w:rsidR="00284876" w:rsidRPr="00F1639F">
      <w:rPr>
        <w:szCs w:val="16"/>
      </w:rPr>
      <w:tab/>
    </w:r>
    <w:r w:rsidR="001D1885">
      <w:rPr>
        <w:rStyle w:val="ZpatChar"/>
        <w:szCs w:val="16"/>
      </w:rPr>
      <w:t>1919</w:t>
    </w:r>
    <w:r w:rsidR="000E6292">
      <w:rPr>
        <w:rStyle w:val="ZpatChar"/>
        <w:szCs w:val="16"/>
      </w:rPr>
      <w:t xml:space="preserve"> – 20</w:t>
    </w:r>
    <w:r w:rsidR="00C879E4">
      <w:rPr>
        <w:rStyle w:val="ZpatChar"/>
        <w:szCs w:val="16"/>
      </w:rPr>
      <w:t>2</w:t>
    </w:r>
    <w:r w:rsidR="00CF0A28">
      <w:rPr>
        <w:rStyle w:val="ZpatChar"/>
        <w:szCs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876" w:rsidRPr="00F1639F" w:rsidRDefault="00B21224" w:rsidP="00A418BC">
    <w:pPr>
      <w:pStyle w:val="Zpat"/>
      <w:rPr>
        <w:szCs w:val="16"/>
      </w:rPr>
    </w:pPr>
    <w:r>
      <w:rPr>
        <w:lang w:eastAsia="cs-CZ"/>
      </w:rPr>
      <w:drawing>
        <wp:anchor distT="0" distB="0" distL="114300" distR="114300" simplePos="0" relativeHeight="251657216" behindDoc="0" locked="0" layoutInCell="1" allowOverlap="1" wp14:anchorId="1451B7AC" wp14:editId="1DFFF6C3">
          <wp:simplePos x="0" y="0"/>
          <wp:positionH relativeFrom="column">
            <wp:align>left</wp:align>
          </wp:positionH>
          <wp:positionV relativeFrom="paragraph">
            <wp:posOffset>-122555</wp:posOffset>
          </wp:positionV>
          <wp:extent cx="514350" cy="271780"/>
          <wp:effectExtent l="0" t="0" r="0" b="0"/>
          <wp:wrapNone/>
          <wp:docPr id="12" name="obrázek 12" descr="CSU RGB CB CZ 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SU RGB CB CZ 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271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4876" w:rsidRPr="00F1639F">
      <w:rPr>
        <w:szCs w:val="16"/>
      </w:rPr>
      <w:tab/>
    </w:r>
    <w:r w:rsidR="001D1885">
      <w:rPr>
        <w:rStyle w:val="ZpatChar"/>
        <w:szCs w:val="16"/>
      </w:rPr>
      <w:t>1919 – 20</w:t>
    </w:r>
    <w:r w:rsidR="00104B41">
      <w:rPr>
        <w:rStyle w:val="ZpatChar"/>
        <w:szCs w:val="16"/>
      </w:rPr>
      <w:t>2</w:t>
    </w:r>
    <w:r w:rsidR="00CF0A28">
      <w:rPr>
        <w:rStyle w:val="ZpatChar"/>
        <w:szCs w:val="16"/>
      </w:rPr>
      <w:t>4</w:t>
    </w:r>
    <w:r w:rsidR="00284876" w:rsidRPr="00F1639F">
      <w:rPr>
        <w:szCs w:val="16"/>
      </w:rPr>
      <w:tab/>
    </w:r>
    <w:r w:rsidR="00ED4AB9" w:rsidRPr="00ED4AB9">
      <w:rPr>
        <w:szCs w:val="16"/>
      </w:rPr>
      <w:fldChar w:fldCharType="begin"/>
    </w:r>
    <w:r w:rsidR="00ED4AB9" w:rsidRPr="00ED4AB9">
      <w:rPr>
        <w:szCs w:val="16"/>
      </w:rPr>
      <w:instrText>PAGE   \* MERGEFORMAT</w:instrText>
    </w:r>
    <w:r w:rsidR="00ED4AB9" w:rsidRPr="00ED4AB9">
      <w:rPr>
        <w:szCs w:val="16"/>
      </w:rPr>
      <w:fldChar w:fldCharType="separate"/>
    </w:r>
    <w:r w:rsidR="00CF0A28">
      <w:rPr>
        <w:szCs w:val="16"/>
      </w:rPr>
      <w:t>3</w:t>
    </w:r>
    <w:r w:rsidR="00ED4AB9" w:rsidRPr="00ED4AB9"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AFE" w:rsidRDefault="00B81AFE" w:rsidP="00E71A58">
      <w:r>
        <w:separator/>
      </w:r>
    </w:p>
  </w:footnote>
  <w:footnote w:type="continuationSeparator" w:id="0">
    <w:p w:rsidR="00B81AFE" w:rsidRDefault="00B81AFE" w:rsidP="00E71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885" w:rsidRDefault="001D1885" w:rsidP="00DE6C8F">
    <w:pPr>
      <w:pStyle w:val="Zhlav"/>
    </w:pPr>
    <w:r w:rsidRPr="001D1885">
      <w:t>Databáze demografických údajů za vybraná města ČR</w:t>
    </w:r>
  </w:p>
  <w:p w:rsidR="00284876" w:rsidRPr="00DE6C8F" w:rsidRDefault="001D1885" w:rsidP="00DE6C8F">
    <w:pPr>
      <w:pStyle w:val="Zhlav"/>
    </w:pPr>
    <w:r w:rsidRPr="001D1885">
      <w:rPr>
        <w:i/>
        <w:lang w:val="en-US"/>
      </w:rPr>
      <w:t>Database of Demographic Indicators for Selected Towns of the Czech Republic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885" w:rsidRDefault="001D1885" w:rsidP="001D1885">
    <w:pPr>
      <w:pStyle w:val="Zhlav"/>
    </w:pPr>
    <w:r w:rsidRPr="001D1885">
      <w:t>Databáze demografických údajů za vybraná města ČR</w:t>
    </w:r>
  </w:p>
  <w:p w:rsidR="001D1885" w:rsidRPr="00DE6C8F" w:rsidRDefault="001D1885" w:rsidP="001D1885">
    <w:pPr>
      <w:pStyle w:val="Zhlav"/>
    </w:pPr>
    <w:r w:rsidRPr="001D1885">
      <w:rPr>
        <w:i/>
        <w:lang w:val="en-US"/>
      </w:rPr>
      <w:t>Database of Demographic Indicators for Selected Towns of the Czech Republic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230231"/>
    <w:multiLevelType w:val="hybridMultilevel"/>
    <w:tmpl w:val="6C1A9F32"/>
    <w:lvl w:ilvl="0" w:tplc="E8688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7274E"/>
    <w:multiLevelType w:val="hybridMultilevel"/>
    <w:tmpl w:val="3E5E1636"/>
    <w:lvl w:ilvl="0" w:tplc="1A8A8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45199"/>
    <w:multiLevelType w:val="hybridMultilevel"/>
    <w:tmpl w:val="30C8C3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10E85"/>
    <w:multiLevelType w:val="hybridMultilevel"/>
    <w:tmpl w:val="599AF972"/>
    <w:lvl w:ilvl="0" w:tplc="1A8A8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2156C7"/>
    <w:multiLevelType w:val="hybridMultilevel"/>
    <w:tmpl w:val="999EB3F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443D1"/>
    <w:multiLevelType w:val="hybridMultilevel"/>
    <w:tmpl w:val="F74A8F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F84519"/>
    <w:multiLevelType w:val="hybridMultilevel"/>
    <w:tmpl w:val="D28A758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A01BFA"/>
    <w:multiLevelType w:val="hybridMultilevel"/>
    <w:tmpl w:val="FDB0F6E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4D1B9B"/>
    <w:multiLevelType w:val="hybridMultilevel"/>
    <w:tmpl w:val="82BE2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CC7463"/>
    <w:multiLevelType w:val="hybridMultilevel"/>
    <w:tmpl w:val="7B0023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8"/>
  </w:num>
  <w:num w:numId="14">
    <w:abstractNumId w:val="13"/>
  </w:num>
  <w:num w:numId="15">
    <w:abstractNumId w:val="21"/>
  </w:num>
  <w:num w:numId="16">
    <w:abstractNumId w:val="16"/>
  </w:num>
  <w:num w:numId="17">
    <w:abstractNumId w:val="22"/>
  </w:num>
  <w:num w:numId="18">
    <w:abstractNumId w:val="20"/>
  </w:num>
  <w:num w:numId="19">
    <w:abstractNumId w:val="12"/>
  </w:num>
  <w:num w:numId="20">
    <w:abstractNumId w:val="14"/>
  </w:num>
  <w:num w:numId="21">
    <w:abstractNumId w:val="10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9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21D"/>
    <w:rsid w:val="00000702"/>
    <w:rsid w:val="0000209D"/>
    <w:rsid w:val="00004D5A"/>
    <w:rsid w:val="000056D5"/>
    <w:rsid w:val="0000767A"/>
    <w:rsid w:val="00007DEB"/>
    <w:rsid w:val="00010702"/>
    <w:rsid w:val="00011C0E"/>
    <w:rsid w:val="000234D6"/>
    <w:rsid w:val="00023D29"/>
    <w:rsid w:val="00026389"/>
    <w:rsid w:val="00031AE0"/>
    <w:rsid w:val="000322EF"/>
    <w:rsid w:val="00033FCD"/>
    <w:rsid w:val="0003592A"/>
    <w:rsid w:val="00036330"/>
    <w:rsid w:val="00041CEC"/>
    <w:rsid w:val="0004694F"/>
    <w:rsid w:val="00051200"/>
    <w:rsid w:val="000522E4"/>
    <w:rsid w:val="00060C89"/>
    <w:rsid w:val="000610E1"/>
    <w:rsid w:val="000624BB"/>
    <w:rsid w:val="00062EC5"/>
    <w:rsid w:val="00062F22"/>
    <w:rsid w:val="000712B3"/>
    <w:rsid w:val="00080BC7"/>
    <w:rsid w:val="0008263E"/>
    <w:rsid w:val="00082C19"/>
    <w:rsid w:val="00085395"/>
    <w:rsid w:val="00087634"/>
    <w:rsid w:val="00087F2B"/>
    <w:rsid w:val="000974D1"/>
    <w:rsid w:val="0009799E"/>
    <w:rsid w:val="000A1183"/>
    <w:rsid w:val="000A256D"/>
    <w:rsid w:val="000A3A2C"/>
    <w:rsid w:val="000A7ED2"/>
    <w:rsid w:val="000C0F8E"/>
    <w:rsid w:val="000C3408"/>
    <w:rsid w:val="000C6494"/>
    <w:rsid w:val="000C6AFD"/>
    <w:rsid w:val="000D5637"/>
    <w:rsid w:val="000E6292"/>
    <w:rsid w:val="000E6FBD"/>
    <w:rsid w:val="000E7AE9"/>
    <w:rsid w:val="00100F5C"/>
    <w:rsid w:val="00101B1E"/>
    <w:rsid w:val="00104B41"/>
    <w:rsid w:val="00104C4C"/>
    <w:rsid w:val="001071AC"/>
    <w:rsid w:val="0012192F"/>
    <w:rsid w:val="00125D69"/>
    <w:rsid w:val="001405FA"/>
    <w:rsid w:val="001410FA"/>
    <w:rsid w:val="001425C3"/>
    <w:rsid w:val="001440B9"/>
    <w:rsid w:val="00155321"/>
    <w:rsid w:val="001574B7"/>
    <w:rsid w:val="0016256B"/>
    <w:rsid w:val="00163793"/>
    <w:rsid w:val="001706D6"/>
    <w:rsid w:val="001714F2"/>
    <w:rsid w:val="00173532"/>
    <w:rsid w:val="00184B08"/>
    <w:rsid w:val="00185010"/>
    <w:rsid w:val="001A552F"/>
    <w:rsid w:val="001A6BC7"/>
    <w:rsid w:val="001B2CA9"/>
    <w:rsid w:val="001B3110"/>
    <w:rsid w:val="001B4729"/>
    <w:rsid w:val="001B6C09"/>
    <w:rsid w:val="001C05CD"/>
    <w:rsid w:val="001D1885"/>
    <w:rsid w:val="001D231C"/>
    <w:rsid w:val="001D68B2"/>
    <w:rsid w:val="001D7060"/>
    <w:rsid w:val="001E7E48"/>
    <w:rsid w:val="001F4597"/>
    <w:rsid w:val="002118B9"/>
    <w:rsid w:val="00212BE2"/>
    <w:rsid w:val="00213C0A"/>
    <w:rsid w:val="00217C5B"/>
    <w:rsid w:val="0022139E"/>
    <w:rsid w:val="002252E0"/>
    <w:rsid w:val="002255F6"/>
    <w:rsid w:val="002276CE"/>
    <w:rsid w:val="00227850"/>
    <w:rsid w:val="00230C6E"/>
    <w:rsid w:val="00236443"/>
    <w:rsid w:val="002436BA"/>
    <w:rsid w:val="00244A15"/>
    <w:rsid w:val="00247319"/>
    <w:rsid w:val="0024799E"/>
    <w:rsid w:val="00253C0F"/>
    <w:rsid w:val="00270A33"/>
    <w:rsid w:val="00271465"/>
    <w:rsid w:val="00284876"/>
    <w:rsid w:val="00285412"/>
    <w:rsid w:val="002964B2"/>
    <w:rsid w:val="002A16D4"/>
    <w:rsid w:val="002A230C"/>
    <w:rsid w:val="002B5138"/>
    <w:rsid w:val="002C43BD"/>
    <w:rsid w:val="002D0E59"/>
    <w:rsid w:val="002E02A1"/>
    <w:rsid w:val="002E4E4C"/>
    <w:rsid w:val="002E57D3"/>
    <w:rsid w:val="002E6C66"/>
    <w:rsid w:val="00304771"/>
    <w:rsid w:val="003052D4"/>
    <w:rsid w:val="00306C5B"/>
    <w:rsid w:val="00313BFB"/>
    <w:rsid w:val="003209D6"/>
    <w:rsid w:val="0032656E"/>
    <w:rsid w:val="00332190"/>
    <w:rsid w:val="00334E4B"/>
    <w:rsid w:val="00344668"/>
    <w:rsid w:val="003462D9"/>
    <w:rsid w:val="00347140"/>
    <w:rsid w:val="003527A3"/>
    <w:rsid w:val="003657F3"/>
    <w:rsid w:val="003818DC"/>
    <w:rsid w:val="00385D98"/>
    <w:rsid w:val="003A2B4D"/>
    <w:rsid w:val="003A478C"/>
    <w:rsid w:val="003A5525"/>
    <w:rsid w:val="003A6B38"/>
    <w:rsid w:val="003B5A32"/>
    <w:rsid w:val="003C3490"/>
    <w:rsid w:val="003C6E7D"/>
    <w:rsid w:val="003D3BEB"/>
    <w:rsid w:val="003D6920"/>
    <w:rsid w:val="003E4C91"/>
    <w:rsid w:val="003F313C"/>
    <w:rsid w:val="003F551C"/>
    <w:rsid w:val="003F65ED"/>
    <w:rsid w:val="00407C13"/>
    <w:rsid w:val="00410638"/>
    <w:rsid w:val="00432A58"/>
    <w:rsid w:val="00434617"/>
    <w:rsid w:val="00440900"/>
    <w:rsid w:val="0044117E"/>
    <w:rsid w:val="004441A0"/>
    <w:rsid w:val="00462C5A"/>
    <w:rsid w:val="00476240"/>
    <w:rsid w:val="00476439"/>
    <w:rsid w:val="00477325"/>
    <w:rsid w:val="0047735C"/>
    <w:rsid w:val="004776BC"/>
    <w:rsid w:val="0048139F"/>
    <w:rsid w:val="00481E40"/>
    <w:rsid w:val="00484ECE"/>
    <w:rsid w:val="004915CB"/>
    <w:rsid w:val="00492BEB"/>
    <w:rsid w:val="004A1719"/>
    <w:rsid w:val="004A3212"/>
    <w:rsid w:val="004A61C5"/>
    <w:rsid w:val="004A77DF"/>
    <w:rsid w:val="004B1417"/>
    <w:rsid w:val="004B55B7"/>
    <w:rsid w:val="004B6468"/>
    <w:rsid w:val="004C384C"/>
    <w:rsid w:val="004C3867"/>
    <w:rsid w:val="004C4CD0"/>
    <w:rsid w:val="004C70DC"/>
    <w:rsid w:val="004D0211"/>
    <w:rsid w:val="004D0794"/>
    <w:rsid w:val="004D4E7A"/>
    <w:rsid w:val="004E3AE3"/>
    <w:rsid w:val="004F06F5"/>
    <w:rsid w:val="004F33A0"/>
    <w:rsid w:val="004F78D0"/>
    <w:rsid w:val="005108C0"/>
    <w:rsid w:val="00510FCD"/>
    <w:rsid w:val="00511873"/>
    <w:rsid w:val="00512A2F"/>
    <w:rsid w:val="00513B7E"/>
    <w:rsid w:val="00515C74"/>
    <w:rsid w:val="0052007E"/>
    <w:rsid w:val="0052337A"/>
    <w:rsid w:val="0052454B"/>
    <w:rsid w:val="00525137"/>
    <w:rsid w:val="005251DD"/>
    <w:rsid w:val="00532CE7"/>
    <w:rsid w:val="0053324C"/>
    <w:rsid w:val="00534715"/>
    <w:rsid w:val="00534A28"/>
    <w:rsid w:val="00541508"/>
    <w:rsid w:val="0055599F"/>
    <w:rsid w:val="00556D68"/>
    <w:rsid w:val="005647BF"/>
    <w:rsid w:val="00572766"/>
    <w:rsid w:val="0057364B"/>
    <w:rsid w:val="00574773"/>
    <w:rsid w:val="005824F7"/>
    <w:rsid w:val="00583FFD"/>
    <w:rsid w:val="005911BE"/>
    <w:rsid w:val="00593152"/>
    <w:rsid w:val="00595B17"/>
    <w:rsid w:val="005A10F2"/>
    <w:rsid w:val="005A21E0"/>
    <w:rsid w:val="005A28FF"/>
    <w:rsid w:val="005A3DF8"/>
    <w:rsid w:val="005A5549"/>
    <w:rsid w:val="005B121D"/>
    <w:rsid w:val="005C06ED"/>
    <w:rsid w:val="005D08AF"/>
    <w:rsid w:val="005D1303"/>
    <w:rsid w:val="005D396F"/>
    <w:rsid w:val="005D5802"/>
    <w:rsid w:val="005D7890"/>
    <w:rsid w:val="005E0E2D"/>
    <w:rsid w:val="005E34D5"/>
    <w:rsid w:val="005E3A20"/>
    <w:rsid w:val="005E7C78"/>
    <w:rsid w:val="005F3EB1"/>
    <w:rsid w:val="005F4613"/>
    <w:rsid w:val="00604307"/>
    <w:rsid w:val="0060487F"/>
    <w:rsid w:val="00604EAD"/>
    <w:rsid w:val="006104FB"/>
    <w:rsid w:val="00612A2F"/>
    <w:rsid w:val="00616E05"/>
    <w:rsid w:val="00624093"/>
    <w:rsid w:val="00626AD7"/>
    <w:rsid w:val="006404A7"/>
    <w:rsid w:val="006451E4"/>
    <w:rsid w:val="00645B33"/>
    <w:rsid w:val="00645EA4"/>
    <w:rsid w:val="00650584"/>
    <w:rsid w:val="006516CB"/>
    <w:rsid w:val="006532D6"/>
    <w:rsid w:val="00657E87"/>
    <w:rsid w:val="00664803"/>
    <w:rsid w:val="00665BA4"/>
    <w:rsid w:val="00667AF2"/>
    <w:rsid w:val="00670881"/>
    <w:rsid w:val="006710C9"/>
    <w:rsid w:val="00674D89"/>
    <w:rsid w:val="00675E37"/>
    <w:rsid w:val="0068174E"/>
    <w:rsid w:val="00681DCE"/>
    <w:rsid w:val="0068260E"/>
    <w:rsid w:val="006956DF"/>
    <w:rsid w:val="00695BEF"/>
    <w:rsid w:val="006977F6"/>
    <w:rsid w:val="00697A13"/>
    <w:rsid w:val="006A109C"/>
    <w:rsid w:val="006A2DAB"/>
    <w:rsid w:val="006A6488"/>
    <w:rsid w:val="006B344A"/>
    <w:rsid w:val="006B78D8"/>
    <w:rsid w:val="006C113F"/>
    <w:rsid w:val="006C1EDE"/>
    <w:rsid w:val="006C56D4"/>
    <w:rsid w:val="006C6924"/>
    <w:rsid w:val="006C7CA6"/>
    <w:rsid w:val="006D3E8A"/>
    <w:rsid w:val="006D61F6"/>
    <w:rsid w:val="006E279A"/>
    <w:rsid w:val="006E313B"/>
    <w:rsid w:val="006F5E16"/>
    <w:rsid w:val="007036F2"/>
    <w:rsid w:val="00704A5B"/>
    <w:rsid w:val="00706AD4"/>
    <w:rsid w:val="007140BE"/>
    <w:rsid w:val="007211F5"/>
    <w:rsid w:val="007218D8"/>
    <w:rsid w:val="00725BB5"/>
    <w:rsid w:val="00730AE8"/>
    <w:rsid w:val="0073775E"/>
    <w:rsid w:val="00741493"/>
    <w:rsid w:val="00752180"/>
    <w:rsid w:val="00755202"/>
    <w:rsid w:val="00755D3A"/>
    <w:rsid w:val="007578D3"/>
    <w:rsid w:val="007609C6"/>
    <w:rsid w:val="00763086"/>
    <w:rsid w:val="0076521E"/>
    <w:rsid w:val="007661E9"/>
    <w:rsid w:val="00776169"/>
    <w:rsid w:val="00776527"/>
    <w:rsid w:val="00780EF1"/>
    <w:rsid w:val="00790764"/>
    <w:rsid w:val="0079453C"/>
    <w:rsid w:val="00794677"/>
    <w:rsid w:val="007B3AF2"/>
    <w:rsid w:val="007B6689"/>
    <w:rsid w:val="007D40DF"/>
    <w:rsid w:val="007E1227"/>
    <w:rsid w:val="007E18EC"/>
    <w:rsid w:val="007E7E61"/>
    <w:rsid w:val="007F0845"/>
    <w:rsid w:val="008027F5"/>
    <w:rsid w:val="00807C82"/>
    <w:rsid w:val="00816905"/>
    <w:rsid w:val="00821FF6"/>
    <w:rsid w:val="0083143E"/>
    <w:rsid w:val="00831CDE"/>
    <w:rsid w:val="00834304"/>
    <w:rsid w:val="00834FAA"/>
    <w:rsid w:val="00836086"/>
    <w:rsid w:val="0084708F"/>
    <w:rsid w:val="008477C8"/>
    <w:rsid w:val="0085114D"/>
    <w:rsid w:val="00852217"/>
    <w:rsid w:val="00855408"/>
    <w:rsid w:val="00856B37"/>
    <w:rsid w:val="00856D65"/>
    <w:rsid w:val="00861B41"/>
    <w:rsid w:val="00863434"/>
    <w:rsid w:val="00865E22"/>
    <w:rsid w:val="00865E4C"/>
    <w:rsid w:val="008701E4"/>
    <w:rsid w:val="00875A32"/>
    <w:rsid w:val="00876086"/>
    <w:rsid w:val="00884704"/>
    <w:rsid w:val="008873D4"/>
    <w:rsid w:val="00893E85"/>
    <w:rsid w:val="00894031"/>
    <w:rsid w:val="008A32D0"/>
    <w:rsid w:val="008B7C02"/>
    <w:rsid w:val="008B7D2B"/>
    <w:rsid w:val="008C0049"/>
    <w:rsid w:val="008C0E88"/>
    <w:rsid w:val="008D1E6A"/>
    <w:rsid w:val="008D2A16"/>
    <w:rsid w:val="008E2677"/>
    <w:rsid w:val="008E2C57"/>
    <w:rsid w:val="008E31FF"/>
    <w:rsid w:val="008E6F06"/>
    <w:rsid w:val="008F029B"/>
    <w:rsid w:val="008F3FC9"/>
    <w:rsid w:val="008F585B"/>
    <w:rsid w:val="009003A8"/>
    <w:rsid w:val="00902500"/>
    <w:rsid w:val="00902EFF"/>
    <w:rsid w:val="0091155E"/>
    <w:rsid w:val="00912A92"/>
    <w:rsid w:val="0091728D"/>
    <w:rsid w:val="0092180B"/>
    <w:rsid w:val="00921F14"/>
    <w:rsid w:val="00924AC8"/>
    <w:rsid w:val="0092597A"/>
    <w:rsid w:val="00930CFE"/>
    <w:rsid w:val="00933606"/>
    <w:rsid w:val="00933F28"/>
    <w:rsid w:val="00935A31"/>
    <w:rsid w:val="00937AE2"/>
    <w:rsid w:val="0094427A"/>
    <w:rsid w:val="00956240"/>
    <w:rsid w:val="00962B9D"/>
    <w:rsid w:val="00974923"/>
    <w:rsid w:val="00976884"/>
    <w:rsid w:val="00980D3D"/>
    <w:rsid w:val="00992CF3"/>
    <w:rsid w:val="009948C0"/>
    <w:rsid w:val="009968D6"/>
    <w:rsid w:val="009A19C9"/>
    <w:rsid w:val="009A1CAB"/>
    <w:rsid w:val="009A60D1"/>
    <w:rsid w:val="009B1B48"/>
    <w:rsid w:val="009B6FD3"/>
    <w:rsid w:val="009C1750"/>
    <w:rsid w:val="009C2E29"/>
    <w:rsid w:val="009C554B"/>
    <w:rsid w:val="009C719E"/>
    <w:rsid w:val="009D3ACD"/>
    <w:rsid w:val="009E003B"/>
    <w:rsid w:val="009E3739"/>
    <w:rsid w:val="009E5DDB"/>
    <w:rsid w:val="009F4754"/>
    <w:rsid w:val="009F4CA7"/>
    <w:rsid w:val="00A02D97"/>
    <w:rsid w:val="00A10D66"/>
    <w:rsid w:val="00A14114"/>
    <w:rsid w:val="00A23ACE"/>
    <w:rsid w:val="00A23E43"/>
    <w:rsid w:val="00A26D83"/>
    <w:rsid w:val="00A30F65"/>
    <w:rsid w:val="00A37D36"/>
    <w:rsid w:val="00A418BC"/>
    <w:rsid w:val="00A46DE0"/>
    <w:rsid w:val="00A50D73"/>
    <w:rsid w:val="00A52CAD"/>
    <w:rsid w:val="00A53FC7"/>
    <w:rsid w:val="00A62CE1"/>
    <w:rsid w:val="00A66AEB"/>
    <w:rsid w:val="00A6741E"/>
    <w:rsid w:val="00A75E40"/>
    <w:rsid w:val="00A77D1D"/>
    <w:rsid w:val="00A857C0"/>
    <w:rsid w:val="00AA1F80"/>
    <w:rsid w:val="00AA2996"/>
    <w:rsid w:val="00AA52BF"/>
    <w:rsid w:val="00AA559A"/>
    <w:rsid w:val="00AA5B3B"/>
    <w:rsid w:val="00AB2AF1"/>
    <w:rsid w:val="00AC1083"/>
    <w:rsid w:val="00AD306C"/>
    <w:rsid w:val="00AE03C0"/>
    <w:rsid w:val="00AE09B3"/>
    <w:rsid w:val="00AE1A83"/>
    <w:rsid w:val="00AF107E"/>
    <w:rsid w:val="00AF2218"/>
    <w:rsid w:val="00B00913"/>
    <w:rsid w:val="00B01593"/>
    <w:rsid w:val="00B10A4D"/>
    <w:rsid w:val="00B17E71"/>
    <w:rsid w:val="00B17FDE"/>
    <w:rsid w:val="00B21224"/>
    <w:rsid w:val="00B2379C"/>
    <w:rsid w:val="00B2687D"/>
    <w:rsid w:val="00B32DDB"/>
    <w:rsid w:val="00B34528"/>
    <w:rsid w:val="00B402FC"/>
    <w:rsid w:val="00B46604"/>
    <w:rsid w:val="00B55F5E"/>
    <w:rsid w:val="00B5752E"/>
    <w:rsid w:val="00B6362E"/>
    <w:rsid w:val="00B63A11"/>
    <w:rsid w:val="00B64C24"/>
    <w:rsid w:val="00B6608F"/>
    <w:rsid w:val="00B679FB"/>
    <w:rsid w:val="00B75E49"/>
    <w:rsid w:val="00B76D1E"/>
    <w:rsid w:val="00B80EC6"/>
    <w:rsid w:val="00B81AFE"/>
    <w:rsid w:val="00B85736"/>
    <w:rsid w:val="00B92D1D"/>
    <w:rsid w:val="00B938C5"/>
    <w:rsid w:val="00B95940"/>
    <w:rsid w:val="00B974F9"/>
    <w:rsid w:val="00BA39DB"/>
    <w:rsid w:val="00BB2376"/>
    <w:rsid w:val="00BB46F3"/>
    <w:rsid w:val="00BB4CB1"/>
    <w:rsid w:val="00BB4F98"/>
    <w:rsid w:val="00BC4555"/>
    <w:rsid w:val="00BC7154"/>
    <w:rsid w:val="00BD366B"/>
    <w:rsid w:val="00BD6D50"/>
    <w:rsid w:val="00BE18B9"/>
    <w:rsid w:val="00BE2495"/>
    <w:rsid w:val="00BE3108"/>
    <w:rsid w:val="00BF1578"/>
    <w:rsid w:val="00C0258A"/>
    <w:rsid w:val="00C02F3F"/>
    <w:rsid w:val="00C040D5"/>
    <w:rsid w:val="00C21F94"/>
    <w:rsid w:val="00C27913"/>
    <w:rsid w:val="00C33B68"/>
    <w:rsid w:val="00C36A79"/>
    <w:rsid w:val="00C37FA8"/>
    <w:rsid w:val="00C405D4"/>
    <w:rsid w:val="00C446ED"/>
    <w:rsid w:val="00C4513B"/>
    <w:rsid w:val="00C54697"/>
    <w:rsid w:val="00C6752D"/>
    <w:rsid w:val="00C73885"/>
    <w:rsid w:val="00C747B1"/>
    <w:rsid w:val="00C82191"/>
    <w:rsid w:val="00C8621D"/>
    <w:rsid w:val="00C879E4"/>
    <w:rsid w:val="00C90CF4"/>
    <w:rsid w:val="00C92EB6"/>
    <w:rsid w:val="00C93389"/>
    <w:rsid w:val="00C96CCE"/>
    <w:rsid w:val="00CB2C9B"/>
    <w:rsid w:val="00CB4930"/>
    <w:rsid w:val="00CC2E7D"/>
    <w:rsid w:val="00CD10A5"/>
    <w:rsid w:val="00CD2076"/>
    <w:rsid w:val="00CE670B"/>
    <w:rsid w:val="00CF0A28"/>
    <w:rsid w:val="00CF3F68"/>
    <w:rsid w:val="00CF51EC"/>
    <w:rsid w:val="00CF73AE"/>
    <w:rsid w:val="00CF7FF0"/>
    <w:rsid w:val="00D040DD"/>
    <w:rsid w:val="00D13986"/>
    <w:rsid w:val="00D25F28"/>
    <w:rsid w:val="00D27973"/>
    <w:rsid w:val="00D50F46"/>
    <w:rsid w:val="00D66223"/>
    <w:rsid w:val="00D8084C"/>
    <w:rsid w:val="00D9450E"/>
    <w:rsid w:val="00DA7C0C"/>
    <w:rsid w:val="00DB2EC8"/>
    <w:rsid w:val="00DB5695"/>
    <w:rsid w:val="00DC39F1"/>
    <w:rsid w:val="00DC5B3B"/>
    <w:rsid w:val="00DC75CB"/>
    <w:rsid w:val="00DD129F"/>
    <w:rsid w:val="00DD1FAB"/>
    <w:rsid w:val="00DD685B"/>
    <w:rsid w:val="00DE6C8F"/>
    <w:rsid w:val="00DF42FF"/>
    <w:rsid w:val="00DF5A03"/>
    <w:rsid w:val="00E01C0E"/>
    <w:rsid w:val="00E037DD"/>
    <w:rsid w:val="00E03F9A"/>
    <w:rsid w:val="00E04694"/>
    <w:rsid w:val="00E12B1E"/>
    <w:rsid w:val="00E17262"/>
    <w:rsid w:val="00E253A2"/>
    <w:rsid w:val="00E3309D"/>
    <w:rsid w:val="00E50156"/>
    <w:rsid w:val="00E53470"/>
    <w:rsid w:val="00E539F6"/>
    <w:rsid w:val="00E53C6B"/>
    <w:rsid w:val="00E6519D"/>
    <w:rsid w:val="00E67696"/>
    <w:rsid w:val="00E71A58"/>
    <w:rsid w:val="00E72A7A"/>
    <w:rsid w:val="00E75C94"/>
    <w:rsid w:val="00E93820"/>
    <w:rsid w:val="00E96E34"/>
    <w:rsid w:val="00EA0C68"/>
    <w:rsid w:val="00EA6522"/>
    <w:rsid w:val="00EC03D7"/>
    <w:rsid w:val="00EC4A31"/>
    <w:rsid w:val="00ED4AB9"/>
    <w:rsid w:val="00ED62C6"/>
    <w:rsid w:val="00ED64C1"/>
    <w:rsid w:val="00ED675E"/>
    <w:rsid w:val="00EE3446"/>
    <w:rsid w:val="00EE3E78"/>
    <w:rsid w:val="00EE4B1B"/>
    <w:rsid w:val="00EF150D"/>
    <w:rsid w:val="00EF1F5A"/>
    <w:rsid w:val="00F03899"/>
    <w:rsid w:val="00F04811"/>
    <w:rsid w:val="00F0488C"/>
    <w:rsid w:val="00F0585C"/>
    <w:rsid w:val="00F107AB"/>
    <w:rsid w:val="00F11F46"/>
    <w:rsid w:val="00F15AAA"/>
    <w:rsid w:val="00F15BEF"/>
    <w:rsid w:val="00F1639F"/>
    <w:rsid w:val="00F24407"/>
    <w:rsid w:val="00F24D23"/>
    <w:rsid w:val="00F24FAA"/>
    <w:rsid w:val="00F3364D"/>
    <w:rsid w:val="00F378E4"/>
    <w:rsid w:val="00F42A72"/>
    <w:rsid w:val="00F437CC"/>
    <w:rsid w:val="00F47067"/>
    <w:rsid w:val="00F510D8"/>
    <w:rsid w:val="00F525EB"/>
    <w:rsid w:val="00F63DDE"/>
    <w:rsid w:val="00F63FB7"/>
    <w:rsid w:val="00F649D2"/>
    <w:rsid w:val="00F6602B"/>
    <w:rsid w:val="00F66749"/>
    <w:rsid w:val="00F72E60"/>
    <w:rsid w:val="00F73A0C"/>
    <w:rsid w:val="00F756DB"/>
    <w:rsid w:val="00F85066"/>
    <w:rsid w:val="00FA03C7"/>
    <w:rsid w:val="00FA262A"/>
    <w:rsid w:val="00FA5D4D"/>
    <w:rsid w:val="00FA72B8"/>
    <w:rsid w:val="00FC0E5F"/>
    <w:rsid w:val="00FC1A95"/>
    <w:rsid w:val="00FC405A"/>
    <w:rsid w:val="00FC56DE"/>
    <w:rsid w:val="00FC684B"/>
    <w:rsid w:val="00FD7440"/>
    <w:rsid w:val="00FE2F78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ecf4dd,#eaecee,#fcec0a,#fcecdb,#f1daf5"/>
    </o:shapedefaults>
    <o:shapelayout v:ext="edit">
      <o:idmap v:ext="edit" data="1"/>
    </o:shapelayout>
  </w:shapeDefaults>
  <w:decimalSymbol w:val=","/>
  <w:listSeparator w:val=";"/>
  <w14:docId w14:val="52216C29"/>
  <w15:docId w15:val="{44D6AB15-0DF2-443C-A61D-6B12EA0E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</w:rPr>
  </w:style>
  <w:style w:type="paragraph" w:styleId="Nadpis1">
    <w:name w:val="heading 1"/>
    <w:next w:val="Normln"/>
    <w:link w:val="Nadpis1Char"/>
    <w:uiPriority w:val="9"/>
    <w:qFormat/>
    <w:rsid w:val="00BE3108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sz w:val="32"/>
      <w:szCs w:val="28"/>
    </w:rPr>
  </w:style>
  <w:style w:type="paragraph" w:styleId="Nadpis2">
    <w:name w:val="heading 2"/>
    <w:next w:val="Normln"/>
    <w:link w:val="Nadpis2Char"/>
    <w:uiPriority w:val="9"/>
    <w:qFormat/>
    <w:rsid w:val="00BE3108"/>
    <w:pPr>
      <w:keepNext/>
      <w:keepLines/>
      <w:spacing w:line="288" w:lineRule="auto"/>
      <w:outlineLvl w:val="1"/>
    </w:pPr>
    <w:rPr>
      <w:rFonts w:ascii="Arial" w:eastAsia="MS Gothic" w:hAnsi="Arial"/>
      <w:b/>
      <w:bCs/>
      <w:sz w:val="28"/>
      <w:szCs w:val="26"/>
    </w:rPr>
  </w:style>
  <w:style w:type="paragraph" w:styleId="Nadpis3">
    <w:name w:val="heading 3"/>
    <w:next w:val="Normln"/>
    <w:link w:val="Nadpis3Char"/>
    <w:uiPriority w:val="9"/>
    <w:qFormat/>
    <w:rsid w:val="00BE3108"/>
    <w:pPr>
      <w:keepNext/>
      <w:keepLines/>
      <w:spacing w:line="288" w:lineRule="auto"/>
      <w:outlineLvl w:val="2"/>
    </w:pPr>
    <w:rPr>
      <w:rFonts w:ascii="Arial" w:eastAsia="MS Gothic" w:hAnsi="Arial"/>
      <w:b/>
      <w:bCs/>
      <w:sz w:val="24"/>
      <w:szCs w:val="24"/>
    </w:rPr>
  </w:style>
  <w:style w:type="paragraph" w:styleId="Nadpis4">
    <w:name w:val="heading 4"/>
    <w:next w:val="Normln"/>
    <w:link w:val="Nadpis4Char"/>
    <w:uiPriority w:val="9"/>
    <w:qFormat/>
    <w:rsid w:val="00BE3108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E3108"/>
    <w:rPr>
      <w:rFonts w:ascii="Arial" w:eastAsia="MS Gothic" w:hAnsi="Arial"/>
      <w:b/>
      <w:bCs/>
      <w:sz w:val="32"/>
      <w:szCs w:val="28"/>
    </w:rPr>
  </w:style>
  <w:style w:type="character" w:customStyle="1" w:styleId="Nadpis2Char">
    <w:name w:val="Nadpis 2 Char"/>
    <w:link w:val="Nadpis2"/>
    <w:uiPriority w:val="9"/>
    <w:rsid w:val="00BE3108"/>
    <w:rPr>
      <w:rFonts w:ascii="Arial" w:eastAsia="MS Gothic" w:hAnsi="Arial"/>
      <w:b/>
      <w:bCs/>
      <w:sz w:val="28"/>
      <w:szCs w:val="26"/>
    </w:rPr>
  </w:style>
  <w:style w:type="character" w:customStyle="1" w:styleId="Nadpis3Char">
    <w:name w:val="Nadpis 3 Char"/>
    <w:link w:val="Nadpis3"/>
    <w:uiPriority w:val="9"/>
    <w:rsid w:val="00BE3108"/>
    <w:rPr>
      <w:rFonts w:ascii="Arial" w:eastAsia="MS Gothic" w:hAnsi="Arial"/>
      <w:b/>
      <w:bCs/>
      <w:sz w:val="24"/>
      <w:szCs w:val="24"/>
    </w:rPr>
  </w:style>
  <w:style w:type="character" w:customStyle="1" w:styleId="Nadpis4Char">
    <w:name w:val="Nadpis 4 Char"/>
    <w:link w:val="Nadpis4"/>
    <w:uiPriority w:val="9"/>
    <w:rsid w:val="00BE3108"/>
    <w:rPr>
      <w:rFonts w:ascii="Arial" w:eastAsia="MS Gothic" w:hAnsi="Arial"/>
      <w:b/>
      <w:bCs/>
      <w:iCs/>
      <w:szCs w:val="24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  <w:lang w:eastAsia="en-US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  <w:lang w:eastAsia="en-US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</w:rPr>
  </w:style>
  <w:style w:type="paragraph" w:customStyle="1" w:styleId="Obsah">
    <w:name w:val="Obsah"/>
    <w:next w:val="Normln"/>
    <w:qFormat/>
    <w:rsid w:val="002E57D3"/>
    <w:pPr>
      <w:spacing w:after="80" w:line="288" w:lineRule="auto"/>
    </w:pPr>
    <w:rPr>
      <w:rFonts w:ascii="Arial" w:eastAsia="Times New Roman" w:hAnsi="Arial"/>
      <w:b/>
      <w:color w:val="747678"/>
      <w:sz w:val="32"/>
      <w:szCs w:val="24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</w:rPr>
  </w:style>
  <w:style w:type="paragraph" w:customStyle="1" w:styleId="Box1">
    <w:name w:val="Box 1"/>
    <w:next w:val="Normln"/>
    <w:qFormat/>
    <w:rsid w:val="00BE3108"/>
    <w:pPr>
      <w:shd w:val="clear" w:color="auto" w:fill="E3E3E3"/>
      <w:spacing w:before="240" w:after="240" w:line="288" w:lineRule="auto"/>
      <w:ind w:left="709"/>
      <w:contextualSpacing/>
    </w:pPr>
    <w:rPr>
      <w:rFonts w:ascii="Arial" w:hAnsi="Arial" w:cs="Arial"/>
    </w:rPr>
  </w:style>
  <w:style w:type="paragraph" w:customStyle="1" w:styleId="Box2">
    <w:name w:val="Box 2"/>
    <w:qFormat/>
    <w:rsid w:val="00F0585C"/>
    <w:pPr>
      <w:spacing w:before="240" w:after="240" w:line="288" w:lineRule="auto"/>
      <w:ind w:left="709"/>
      <w:contextualSpacing/>
    </w:pPr>
    <w:rPr>
      <w:rFonts w:ascii="Arial" w:hAnsi="Arial" w:cs="Arial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2E57D3"/>
    <w:pPr>
      <w:spacing w:after="40"/>
      <w:contextualSpacing/>
    </w:pPr>
    <w:rPr>
      <w:b/>
      <w:caps/>
      <w:color w:val="747678"/>
      <w:sz w:val="24"/>
    </w:rPr>
  </w:style>
  <w:style w:type="paragraph" w:customStyle="1" w:styleId="TLKontakty">
    <w:name w:val="TL Kontakty"/>
    <w:qFormat/>
    <w:rsid w:val="002E57D3"/>
    <w:pPr>
      <w:spacing w:after="160" w:line="259" w:lineRule="auto"/>
      <w:contextualSpacing/>
    </w:pPr>
    <w:rPr>
      <w:rFonts w:ascii="Arial" w:eastAsia="Times New Roman" w:hAnsi="Arial"/>
      <w:b/>
    </w:rPr>
  </w:style>
  <w:style w:type="paragraph" w:styleId="Nzev">
    <w:name w:val="Title"/>
    <w:link w:val="NzevChar"/>
    <w:uiPriority w:val="10"/>
    <w:qFormat/>
    <w:rsid w:val="000E6FBD"/>
    <w:pPr>
      <w:spacing w:line="288" w:lineRule="auto"/>
    </w:pPr>
    <w:rPr>
      <w:rFonts w:ascii="Arial" w:eastAsia="Times New Roman" w:hAnsi="Arial"/>
      <w:b/>
      <w:bCs/>
      <w:caps/>
      <w:kern w:val="28"/>
      <w:sz w:val="56"/>
      <w:szCs w:val="32"/>
    </w:rPr>
  </w:style>
  <w:style w:type="character" w:customStyle="1" w:styleId="NzevChar">
    <w:name w:val="Název Char"/>
    <w:link w:val="Nzev"/>
    <w:uiPriority w:val="10"/>
    <w:rsid w:val="000E6FBD"/>
    <w:rPr>
      <w:rFonts w:ascii="Arial" w:eastAsia="Times New Roman" w:hAnsi="Arial"/>
      <w:b/>
      <w:bCs/>
      <w:caps/>
      <w:kern w:val="28"/>
      <w:sz w:val="56"/>
      <w:szCs w:val="32"/>
    </w:rPr>
  </w:style>
  <w:style w:type="paragraph" w:styleId="Podnadpis">
    <w:name w:val="Subtitle"/>
    <w:link w:val="PodnadpisChar"/>
    <w:uiPriority w:val="11"/>
    <w:qFormat/>
    <w:rsid w:val="0012192F"/>
    <w:pPr>
      <w:spacing w:line="288" w:lineRule="auto"/>
    </w:pPr>
    <w:rPr>
      <w:rFonts w:ascii="Arial" w:eastAsia="Times New Roman" w:hAnsi="Arial" w:cs="Arial"/>
      <w:b/>
      <w:sz w:val="28"/>
      <w:szCs w:val="24"/>
    </w:rPr>
  </w:style>
  <w:style w:type="character" w:customStyle="1" w:styleId="PodnadpisChar">
    <w:name w:val="Podnadpis Char"/>
    <w:link w:val="Podnadpis"/>
    <w:uiPriority w:val="11"/>
    <w:rsid w:val="0012192F"/>
    <w:rPr>
      <w:rFonts w:ascii="Arial" w:eastAsia="Times New Roman" w:hAnsi="Arial" w:cs="Arial"/>
      <w:b/>
      <w:sz w:val="28"/>
      <w:szCs w:val="24"/>
    </w:rPr>
  </w:style>
  <w:style w:type="paragraph" w:customStyle="1" w:styleId="TL-identifikace-sted">
    <w:name w:val="TL - identifikace - střed"/>
    <w:basedOn w:val="Normln"/>
    <w:link w:val="TL-identifikace-stedChar"/>
    <w:qFormat/>
    <w:rsid w:val="00C8621D"/>
    <w:pPr>
      <w:spacing w:after="200"/>
    </w:pPr>
    <w:rPr>
      <w:sz w:val="24"/>
    </w:rPr>
  </w:style>
  <w:style w:type="character" w:customStyle="1" w:styleId="TL-identifikace-stedChar">
    <w:name w:val="TL - identifikace - střed Char"/>
    <w:link w:val="TL-identifikace-sted"/>
    <w:rsid w:val="00C8621D"/>
    <w:rPr>
      <w:rFonts w:ascii="Arial" w:eastAsia="Times New Roman" w:hAnsi="Arial"/>
      <w:sz w:val="24"/>
      <w:szCs w:val="24"/>
    </w:rPr>
  </w:style>
  <w:style w:type="paragraph" w:styleId="Obsah2">
    <w:name w:val="toc 2"/>
    <w:basedOn w:val="Obsahpoloky"/>
    <w:next w:val="Obsahpoloky"/>
    <w:autoRedefine/>
    <w:uiPriority w:val="39"/>
    <w:unhideWhenUsed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paragraph" w:customStyle="1" w:styleId="TL-Identifikace-dole">
    <w:name w:val="TL - Identifikace - dole"/>
    <w:basedOn w:val="Normln"/>
    <w:link w:val="TL-Identifikace-doleChar"/>
    <w:qFormat/>
    <w:rsid w:val="00C8621D"/>
    <w:pPr>
      <w:spacing w:after="200"/>
    </w:pPr>
    <w:rPr>
      <w:szCs w:val="20"/>
      <w:lang w:eastAsia="ar-SA"/>
    </w:rPr>
  </w:style>
  <w:style w:type="character" w:customStyle="1" w:styleId="TL-Identifikace-doleChar">
    <w:name w:val="TL - Identifikace - dole Char"/>
    <w:link w:val="TL-Identifikace-dole"/>
    <w:rsid w:val="00C8621D"/>
    <w:rPr>
      <w:rFonts w:ascii="Arial" w:eastAsia="Times New Roman" w:hAnsi="Arial"/>
      <w:lang w:eastAsia="ar-SA"/>
    </w:rPr>
  </w:style>
  <w:style w:type="paragraph" w:styleId="Rejstk4">
    <w:name w:val="index 4"/>
    <w:basedOn w:val="Normln"/>
    <w:next w:val="Normln"/>
    <w:autoRedefine/>
    <w:semiHidden/>
    <w:rsid w:val="00AC1083"/>
    <w:pPr>
      <w:spacing w:after="0" w:line="240" w:lineRule="auto"/>
      <w:ind w:left="800" w:hanging="200"/>
      <w:jc w:val="both"/>
    </w:pPr>
  </w:style>
  <w:style w:type="paragraph" w:styleId="Zkladntext2">
    <w:name w:val="Body Text 2"/>
    <w:basedOn w:val="Normln"/>
    <w:link w:val="Zkladntext2Char"/>
    <w:semiHidden/>
    <w:rsid w:val="00213C0A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autoSpaceDE w:val="0"/>
      <w:autoSpaceDN w:val="0"/>
      <w:adjustRightInd w:val="0"/>
      <w:spacing w:after="0" w:line="240" w:lineRule="auto"/>
      <w:jc w:val="both"/>
    </w:pPr>
    <w:rPr>
      <w:rFonts w:cs="Arial"/>
      <w:szCs w:val="20"/>
    </w:rPr>
  </w:style>
  <w:style w:type="character" w:customStyle="1" w:styleId="Zkladntext2Char">
    <w:name w:val="Základní text 2 Char"/>
    <w:link w:val="Zkladntext2"/>
    <w:semiHidden/>
    <w:rsid w:val="00213C0A"/>
    <w:rPr>
      <w:rFonts w:ascii="Arial" w:eastAsia="Times New Roman" w:hAnsi="Arial" w:cs="Arial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84876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284876"/>
    <w:rPr>
      <w:rFonts w:ascii="Arial" w:eastAsia="Times New Roman" w:hAnsi="Arial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70A33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270A33"/>
    <w:rPr>
      <w:rFonts w:ascii="Arial" w:eastAsia="Times New Roman" w:hAnsi="Arial"/>
      <w:szCs w:val="24"/>
    </w:rPr>
  </w:style>
  <w:style w:type="character" w:styleId="Zstupntext">
    <w:name w:val="Placeholder Text"/>
    <w:basedOn w:val="Standardnpsmoodstavce"/>
    <w:uiPriority w:val="99"/>
    <w:unhideWhenUsed/>
    <w:rsid w:val="00C37FA8"/>
    <w:rPr>
      <w:color w:val="808080"/>
    </w:rPr>
  </w:style>
  <w:style w:type="character" w:styleId="Sledovanodkaz">
    <w:name w:val="FollowedHyperlink"/>
    <w:basedOn w:val="Standardnpsmoodstavce"/>
    <w:uiPriority w:val="99"/>
    <w:semiHidden/>
    <w:unhideWhenUsed/>
    <w:rsid w:val="005E3A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databaze-demografickych-udaju-za-obce-c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zso.cz/csu/czso/vysvetlivky-k-databazi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_M&#237;&#353;a\vnit&#345;n&#237;_p&#345;edpisy\&#353;ablony%202016\publikace%20&#269;ernob&#237;l&#225;%20dvoujazy&#269;n&#225;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18BEC-7B17-4DDC-A8DD-64C1B5D6E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černobílá dvoujazyčná.dot</Template>
  <TotalTime>166</TotalTime>
  <Pages>2</Pages>
  <Words>981</Words>
  <Characters>5790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CSU</Company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ČSÚ</dc:creator>
  <cp:lastModifiedBy>Bílík Jan</cp:lastModifiedBy>
  <cp:revision>26</cp:revision>
  <cp:lastPrinted>2018-05-11T09:05:00Z</cp:lastPrinted>
  <dcterms:created xsi:type="dcterms:W3CDTF">2018-06-04T07:16:00Z</dcterms:created>
  <dcterms:modified xsi:type="dcterms:W3CDTF">2025-05-12T04:40:00Z</dcterms:modified>
</cp:coreProperties>
</file>