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Pr="004A1532" w:rsidRDefault="00141B6F">
      <w:pPr>
        <w:ind w:firstLine="709"/>
        <w:jc w:val="both"/>
        <w:rPr>
          <w:rFonts w:ascii="Arial" w:hAnsi="Arial" w:cs="Arial"/>
          <w:i/>
          <w:iCs/>
          <w:sz w:val="20"/>
          <w:szCs w:val="24"/>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643C60" w:rsidRDefault="00643C60" w:rsidP="00643C60">
      <w:pPr>
        <w:pStyle w:val="Zkladntext"/>
        <w:ind w:firstLine="708"/>
      </w:pPr>
      <w:proofErr w:type="gramStart"/>
      <w:r>
        <w:t>Tabulka B.04</w:t>
      </w:r>
      <w:proofErr w:type="gramEnd"/>
      <w:r>
        <w:t>. Národnost a náboženské vyznání snoubenců je rozdělena do dvou samostatných tabulek B.04a. Sňatky podle národnosti snoubenců a B.04b. Sňatky podle náboženského vyznání snoubenců</w:t>
      </w:r>
      <w:r w:rsidR="009822B4">
        <w:t>.</w:t>
      </w:r>
    </w:p>
    <w:p w:rsidR="008419C9" w:rsidRPr="00F46BBE" w:rsidRDefault="008419C9" w:rsidP="00643C60">
      <w:pPr>
        <w:pStyle w:val="Zkladntext"/>
        <w:ind w:firstLine="708"/>
        <w:rPr>
          <w:i/>
          <w:iCs/>
        </w:rPr>
      </w:pPr>
      <w:proofErr w:type="gramStart"/>
      <w:r>
        <w:t>Tabulka D.07</w:t>
      </w:r>
      <w:proofErr w:type="gramEnd"/>
      <w:r>
        <w:t xml:space="preserve">. Zemřelí podle věku, roku narození, pohlaví, rodinného stavu a legitimity dětí do 10 let věku je rozdělena do dvou </w:t>
      </w:r>
      <w:r w:rsidR="006F6A04">
        <w:t xml:space="preserve">samostatných tabulek D.07a. Zemřelí </w:t>
      </w:r>
      <w:r w:rsidR="006F6A04" w:rsidRPr="006F6A04">
        <w:t>do 10 let podle stáří, roku narození, pohlaví a legitimity</w:t>
      </w:r>
      <w:r w:rsidR="006F6A04">
        <w:t xml:space="preserve"> a D.07b. </w:t>
      </w:r>
      <w:r w:rsidR="006F6A04" w:rsidRPr="006F6A04">
        <w:t>Zemřelí nad 10 let podle věku, roku narození, pohlaví a rodinného stavu</w:t>
      </w:r>
      <w:r w:rsidR="006F6A04">
        <w:t>.</w:t>
      </w:r>
    </w:p>
    <w:p w:rsidR="008F28A4" w:rsidRDefault="008F28A4" w:rsidP="008F28A4">
      <w:pPr>
        <w:pStyle w:val="Zkladntext"/>
        <w:ind w:firstLine="708"/>
      </w:pPr>
      <w:proofErr w:type="gramStart"/>
      <w:r w:rsidRPr="00F46BBE">
        <w:t xml:space="preserve">Tabulka </w:t>
      </w:r>
      <w:r>
        <w:t>E.0</w:t>
      </w:r>
      <w:r w:rsidR="00E01F06">
        <w:t>2</w:t>
      </w:r>
      <w:proofErr w:type="gramEnd"/>
      <w:r>
        <w:t>.</w:t>
      </w:r>
      <w:r w:rsidRPr="00F46BBE">
        <w:t xml:space="preserve"> Zemřelí v roce 19</w:t>
      </w:r>
      <w:r w:rsidR="00B556C0">
        <w:t>4</w:t>
      </w:r>
      <w:r w:rsidR="007E0A63">
        <w:t>1</w:t>
      </w:r>
      <w:r w:rsidRPr="00F46BBE">
        <w:t xml:space="preserve"> podle „Podrobného seznamu“ příči</w:t>
      </w:r>
      <w:r w:rsidR="00456688">
        <w:t>n</w:t>
      </w:r>
      <w:r w:rsidRPr="00F46BBE">
        <w:t xml:space="preserve"> smrti (19</w:t>
      </w:r>
      <w:r w:rsidR="00DB4A09">
        <w:t>3</w:t>
      </w:r>
      <w:r w:rsidRPr="00F46BBE">
        <w:t>8), věkových skupin a pohlaví</w:t>
      </w:r>
      <w:r>
        <w:t>,</w:t>
      </w:r>
      <w:r w:rsidRPr="00F46BBE">
        <w:t xml:space="preserve"> v oddíle E. Příčiny smrti</w:t>
      </w:r>
      <w:r>
        <w:t>,</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seznamu příčin smrti, pohlaví a věku v ČR (1919 až 2006) </w:t>
      </w:r>
      <w:hyperlink r:id="rId7" w:history="1">
        <w:r w:rsidRPr="0070449E">
          <w:rPr>
            <w:rStyle w:val="Hypertextovodkaz"/>
          </w:rPr>
          <w:t>http://www.czso.cz/csu/2007edicniplan.nsf/p/4017-07</w:t>
        </w:r>
      </w:hyperlink>
      <w:r w:rsidR="002C083A">
        <w:t>.</w:t>
      </w:r>
      <w:r>
        <w:t xml:space="preserve"> </w:t>
      </w:r>
      <w:r w:rsidR="006565F3">
        <w:t xml:space="preserve"> V el</w:t>
      </w:r>
      <w:r w:rsidRPr="00F46BBE">
        <w:t>ektronické formě PD není uvedena kapitola Úrazy a otravy podle druhu poranění</w:t>
      </w:r>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03AFF" w:rsidRPr="004A1532" w:rsidRDefault="00267D8B" w:rsidP="00203AFF">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A964CC" w:rsidRDefault="00A964CC" w:rsidP="00415107">
      <w:pPr>
        <w:spacing w:after="0"/>
        <w:jc w:val="both"/>
        <w:rPr>
          <w:rFonts w:ascii="Arial" w:hAnsi="Arial" w:cs="Arial"/>
          <w:b/>
          <w:sz w:val="20"/>
          <w:szCs w:val="24"/>
        </w:rPr>
      </w:pPr>
    </w:p>
    <w:p w:rsidR="00A964CC" w:rsidRDefault="004B15F0" w:rsidP="00415107">
      <w:pPr>
        <w:spacing w:after="0"/>
        <w:jc w:val="both"/>
        <w:rPr>
          <w:rFonts w:ascii="Arial" w:hAnsi="Arial" w:cs="Arial"/>
          <w:b/>
          <w:sz w:val="20"/>
          <w:szCs w:val="24"/>
        </w:rPr>
        <w:sectPr w:rsidR="00A964CC" w:rsidSect="00DA1BE9">
          <w:pgSz w:w="11906" w:h="16838"/>
          <w:pgMar w:top="1134" w:right="1134" w:bottom="1134" w:left="1134" w:header="709" w:footer="709" w:gutter="0"/>
          <w:cols w:space="708"/>
          <w:docGrid w:linePitch="360"/>
        </w:sectPr>
      </w:pPr>
      <w:r>
        <w:rPr>
          <w:rFonts w:ascii="Arial" w:hAnsi="Arial" w:cs="Arial"/>
          <w:b/>
          <w:sz w:val="20"/>
          <w:szCs w:val="24"/>
        </w:rPr>
        <w:br w:type="page"/>
      </w:r>
      <w:r w:rsidR="00790BCD" w:rsidRPr="00EF6FF0">
        <w:rPr>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728.25pt">
            <v:imagedata r:id="rId8" o:title=""/>
          </v:shape>
        </w:pict>
      </w:r>
      <w:r w:rsidR="00A964CC">
        <w:rPr>
          <w:rFonts w:ascii="Arial" w:hAnsi="Arial" w:cs="Arial"/>
          <w:b/>
          <w:sz w:val="20"/>
          <w:szCs w:val="24"/>
        </w:rPr>
        <w:br w:type="page"/>
      </w:r>
      <w:r w:rsidR="00790BCD" w:rsidRPr="00EF6FF0">
        <w:rPr>
          <w:szCs w:val="24"/>
        </w:rPr>
        <w:lastRenderedPageBreak/>
        <w:pict>
          <v:shape id="_x0000_i1026" type="#_x0000_t75" style="width:480pt;height:728.25pt">
            <v:imagedata r:id="rId9" o:title=""/>
          </v:shape>
        </w:pict>
      </w:r>
    </w:p>
    <w:p w:rsidR="00A964CC" w:rsidRDefault="00790BCD" w:rsidP="00415107">
      <w:pPr>
        <w:spacing w:after="0"/>
        <w:jc w:val="both"/>
        <w:rPr>
          <w:szCs w:val="24"/>
        </w:rPr>
        <w:sectPr w:rsidR="00A964CC" w:rsidSect="00DA1BE9">
          <w:pgSz w:w="11906" w:h="16838"/>
          <w:pgMar w:top="1134" w:right="1134" w:bottom="1134" w:left="1134" w:header="709" w:footer="709" w:gutter="0"/>
          <w:cols w:space="708"/>
          <w:docGrid w:linePitch="360"/>
        </w:sectPr>
      </w:pPr>
      <w:r w:rsidRPr="00EF6FF0">
        <w:rPr>
          <w:szCs w:val="24"/>
        </w:rPr>
        <w:lastRenderedPageBreak/>
        <w:pict>
          <v:shape id="_x0000_i1027" type="#_x0000_t75" style="width:480.75pt;height:651.75pt">
            <v:imagedata r:id="rId10" o:title=""/>
          </v:shape>
        </w:pict>
      </w:r>
    </w:p>
    <w:p w:rsidR="00A964CC" w:rsidRDefault="00A964CC" w:rsidP="00415107">
      <w:pPr>
        <w:spacing w:after="0"/>
        <w:jc w:val="both"/>
        <w:rPr>
          <w:rFonts w:ascii="Arial" w:hAnsi="Arial" w:cs="Arial"/>
          <w:b/>
          <w:sz w:val="20"/>
          <w:szCs w:val="24"/>
        </w:rPr>
      </w:pPr>
    </w:p>
    <w:p w:rsidR="005F70F6" w:rsidRDefault="00415107" w:rsidP="00415107">
      <w:pPr>
        <w:spacing w:after="0"/>
        <w:jc w:val="both"/>
        <w:rPr>
          <w:rFonts w:ascii="Arial" w:hAnsi="Arial" w:cs="Arial"/>
          <w:b/>
          <w:sz w:val="20"/>
          <w:szCs w:val="24"/>
        </w:rPr>
      </w:pPr>
      <w:r w:rsidRPr="00415107">
        <w:rPr>
          <w:rFonts w:ascii="Arial" w:hAnsi="Arial" w:cs="Arial"/>
          <w:b/>
          <w:sz w:val="20"/>
          <w:szCs w:val="24"/>
        </w:rPr>
        <w:t>oddíl A – odchylky v názvech tabulek</w:t>
      </w:r>
    </w:p>
    <w:p w:rsidR="00267E79" w:rsidRDefault="00790BCD" w:rsidP="005F70F6">
      <w:pPr>
        <w:jc w:val="both"/>
        <w:rPr>
          <w:szCs w:val="20"/>
        </w:rPr>
      </w:pPr>
      <w:r w:rsidRPr="00EF6FF0">
        <w:rPr>
          <w:szCs w:val="20"/>
        </w:rPr>
        <w:pict>
          <v:shape id="_x0000_i1028" type="#_x0000_t75" style="width:447pt;height:57.75pt">
            <v:imagedata r:id="rId11" o:title=""/>
          </v:shape>
        </w:pict>
      </w:r>
    </w:p>
    <w:p w:rsidR="00D62069" w:rsidRDefault="00D62069" w:rsidP="00D62069">
      <w:pPr>
        <w:spacing w:after="0"/>
        <w:jc w:val="both"/>
        <w:rPr>
          <w:rFonts w:ascii="Arial" w:hAnsi="Arial" w:cs="Arial"/>
          <w:b/>
          <w:sz w:val="20"/>
          <w:szCs w:val="24"/>
        </w:rPr>
      </w:pPr>
    </w:p>
    <w:p w:rsidR="00267E79" w:rsidRDefault="00D7190F" w:rsidP="00D62069">
      <w:pPr>
        <w:spacing w:after="0"/>
        <w:jc w:val="both"/>
        <w:rPr>
          <w:rFonts w:ascii="Arial" w:hAnsi="Arial" w:cs="Arial"/>
          <w:b/>
          <w:sz w:val="20"/>
          <w:szCs w:val="24"/>
        </w:rPr>
      </w:pPr>
      <w:r w:rsidRPr="00D7190F">
        <w:rPr>
          <w:rFonts w:ascii="Arial" w:hAnsi="Arial" w:cs="Arial"/>
          <w:b/>
          <w:sz w:val="20"/>
          <w:szCs w:val="24"/>
        </w:rPr>
        <w:t>oddíl B – odchylky a opravy v hlavičce nebo legendě</w:t>
      </w:r>
    </w:p>
    <w:p w:rsidR="00D7190F" w:rsidRDefault="00790BCD" w:rsidP="005F70F6">
      <w:pPr>
        <w:jc w:val="both"/>
        <w:rPr>
          <w:rFonts w:ascii="Arial" w:hAnsi="Arial" w:cs="Arial"/>
          <w:sz w:val="20"/>
          <w:szCs w:val="24"/>
        </w:rPr>
      </w:pPr>
      <w:r w:rsidRPr="00790BCD">
        <w:rPr>
          <w:szCs w:val="24"/>
        </w:rPr>
        <w:pict>
          <v:shape id="_x0000_i1029" type="#_x0000_t75" style="width:447pt;height:46.5pt">
            <v:imagedata r:id="rId12" o:title=""/>
          </v:shape>
        </w:pict>
      </w:r>
    </w:p>
    <w:p w:rsidR="00D7190F" w:rsidRDefault="00D7190F" w:rsidP="005F70F6">
      <w:pPr>
        <w:jc w:val="both"/>
        <w:rPr>
          <w:rFonts w:ascii="Arial" w:hAnsi="Arial" w:cs="Arial"/>
          <w:sz w:val="20"/>
          <w:szCs w:val="24"/>
        </w:rPr>
      </w:pPr>
    </w:p>
    <w:p w:rsidR="00D7190F" w:rsidRDefault="00D7190F" w:rsidP="005F70F6">
      <w:pPr>
        <w:jc w:val="both"/>
        <w:rPr>
          <w:rFonts w:ascii="Arial" w:hAnsi="Arial" w:cs="Arial"/>
          <w:sz w:val="20"/>
          <w:szCs w:val="24"/>
        </w:rPr>
      </w:pPr>
    </w:p>
    <w:p w:rsidR="00D7190F" w:rsidRPr="00D7190F" w:rsidRDefault="00D7190F" w:rsidP="005F70F6">
      <w:pPr>
        <w:jc w:val="both"/>
        <w:rPr>
          <w:rFonts w:ascii="Arial" w:hAnsi="Arial" w:cs="Arial"/>
          <w:sz w:val="20"/>
          <w:szCs w:val="20"/>
        </w:rPr>
      </w:pPr>
    </w:p>
    <w:sectPr w:rsidR="00D7190F"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5F0" w:rsidRDefault="004B15F0" w:rsidP="004F13C4">
      <w:pPr>
        <w:spacing w:after="0" w:line="240" w:lineRule="auto"/>
      </w:pPr>
      <w:r>
        <w:separator/>
      </w:r>
    </w:p>
  </w:endnote>
  <w:endnote w:type="continuationSeparator" w:id="0">
    <w:p w:rsidR="004B15F0" w:rsidRDefault="004B15F0"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5F0" w:rsidRDefault="004B15F0" w:rsidP="004F13C4">
      <w:pPr>
        <w:spacing w:after="0" w:line="240" w:lineRule="auto"/>
      </w:pPr>
      <w:r>
        <w:separator/>
      </w:r>
    </w:p>
  </w:footnote>
  <w:footnote w:type="continuationSeparator" w:id="0">
    <w:p w:rsidR="004B15F0" w:rsidRDefault="004B15F0"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83C6C"/>
    <w:rsid w:val="00095E26"/>
    <w:rsid w:val="000C5978"/>
    <w:rsid w:val="000E65B7"/>
    <w:rsid w:val="00141B6F"/>
    <w:rsid w:val="00143149"/>
    <w:rsid w:val="00144E00"/>
    <w:rsid w:val="00180394"/>
    <w:rsid w:val="001B1260"/>
    <w:rsid w:val="001F5B12"/>
    <w:rsid w:val="00203AFF"/>
    <w:rsid w:val="00232978"/>
    <w:rsid w:val="0023638B"/>
    <w:rsid w:val="00255050"/>
    <w:rsid w:val="00267D8B"/>
    <w:rsid w:val="00267E79"/>
    <w:rsid w:val="002A5D41"/>
    <w:rsid w:val="002C083A"/>
    <w:rsid w:val="002D5C25"/>
    <w:rsid w:val="002E0247"/>
    <w:rsid w:val="002E634C"/>
    <w:rsid w:val="0030067A"/>
    <w:rsid w:val="0031401F"/>
    <w:rsid w:val="00317113"/>
    <w:rsid w:val="003235B9"/>
    <w:rsid w:val="003316DF"/>
    <w:rsid w:val="00335075"/>
    <w:rsid w:val="00340B6F"/>
    <w:rsid w:val="00381269"/>
    <w:rsid w:val="003827F8"/>
    <w:rsid w:val="003B5FC9"/>
    <w:rsid w:val="003C051F"/>
    <w:rsid w:val="003C469E"/>
    <w:rsid w:val="003D0F9F"/>
    <w:rsid w:val="003F6FF1"/>
    <w:rsid w:val="004147AF"/>
    <w:rsid w:val="00415107"/>
    <w:rsid w:val="00456688"/>
    <w:rsid w:val="00481518"/>
    <w:rsid w:val="004A0BAF"/>
    <w:rsid w:val="004A1532"/>
    <w:rsid w:val="004A63A0"/>
    <w:rsid w:val="004B15F0"/>
    <w:rsid w:val="004F13C4"/>
    <w:rsid w:val="004F22B4"/>
    <w:rsid w:val="004F78ED"/>
    <w:rsid w:val="00503C77"/>
    <w:rsid w:val="0052304D"/>
    <w:rsid w:val="0057555D"/>
    <w:rsid w:val="00577234"/>
    <w:rsid w:val="005A7FB9"/>
    <w:rsid w:val="005D62F3"/>
    <w:rsid w:val="005D7BF4"/>
    <w:rsid w:val="005E7C45"/>
    <w:rsid w:val="005F70F6"/>
    <w:rsid w:val="005F73D4"/>
    <w:rsid w:val="00604970"/>
    <w:rsid w:val="00606B63"/>
    <w:rsid w:val="0061184B"/>
    <w:rsid w:val="0061454A"/>
    <w:rsid w:val="00631EB6"/>
    <w:rsid w:val="00643C60"/>
    <w:rsid w:val="00653B36"/>
    <w:rsid w:val="006565F3"/>
    <w:rsid w:val="00670C24"/>
    <w:rsid w:val="00683AB1"/>
    <w:rsid w:val="0069718F"/>
    <w:rsid w:val="006B035B"/>
    <w:rsid w:val="006E01A7"/>
    <w:rsid w:val="006F6A04"/>
    <w:rsid w:val="00736DF3"/>
    <w:rsid w:val="007661E5"/>
    <w:rsid w:val="00790BCD"/>
    <w:rsid w:val="00797372"/>
    <w:rsid w:val="007C53F3"/>
    <w:rsid w:val="007E0806"/>
    <w:rsid w:val="007E0A63"/>
    <w:rsid w:val="007F1352"/>
    <w:rsid w:val="00813EAE"/>
    <w:rsid w:val="008236BB"/>
    <w:rsid w:val="00832BBB"/>
    <w:rsid w:val="00837DF3"/>
    <w:rsid w:val="008419C9"/>
    <w:rsid w:val="00865E9D"/>
    <w:rsid w:val="00883AC2"/>
    <w:rsid w:val="00893EB5"/>
    <w:rsid w:val="008B4625"/>
    <w:rsid w:val="008F28A4"/>
    <w:rsid w:val="00906093"/>
    <w:rsid w:val="00915F43"/>
    <w:rsid w:val="00935BCF"/>
    <w:rsid w:val="00943D06"/>
    <w:rsid w:val="009449E4"/>
    <w:rsid w:val="00966CA9"/>
    <w:rsid w:val="0097773A"/>
    <w:rsid w:val="009822B4"/>
    <w:rsid w:val="0098303A"/>
    <w:rsid w:val="009A6764"/>
    <w:rsid w:val="009B278B"/>
    <w:rsid w:val="00A10936"/>
    <w:rsid w:val="00A2480E"/>
    <w:rsid w:val="00A32E15"/>
    <w:rsid w:val="00A45372"/>
    <w:rsid w:val="00A5022A"/>
    <w:rsid w:val="00A60B94"/>
    <w:rsid w:val="00A653B8"/>
    <w:rsid w:val="00A83B7E"/>
    <w:rsid w:val="00A93592"/>
    <w:rsid w:val="00A964CC"/>
    <w:rsid w:val="00AC4BEA"/>
    <w:rsid w:val="00AF2C80"/>
    <w:rsid w:val="00B22E5A"/>
    <w:rsid w:val="00B40092"/>
    <w:rsid w:val="00B4009C"/>
    <w:rsid w:val="00B4081E"/>
    <w:rsid w:val="00B556C0"/>
    <w:rsid w:val="00BC3E6F"/>
    <w:rsid w:val="00BF08A4"/>
    <w:rsid w:val="00C05104"/>
    <w:rsid w:val="00C226A2"/>
    <w:rsid w:val="00C71A82"/>
    <w:rsid w:val="00CE7287"/>
    <w:rsid w:val="00CF0406"/>
    <w:rsid w:val="00D05591"/>
    <w:rsid w:val="00D46CDB"/>
    <w:rsid w:val="00D62069"/>
    <w:rsid w:val="00D7190F"/>
    <w:rsid w:val="00D8469C"/>
    <w:rsid w:val="00D96520"/>
    <w:rsid w:val="00DA1BE9"/>
    <w:rsid w:val="00DA3C1E"/>
    <w:rsid w:val="00DB4A09"/>
    <w:rsid w:val="00DC649E"/>
    <w:rsid w:val="00E01F06"/>
    <w:rsid w:val="00E0289B"/>
    <w:rsid w:val="00E275B5"/>
    <w:rsid w:val="00E27E2F"/>
    <w:rsid w:val="00E47443"/>
    <w:rsid w:val="00E6323B"/>
    <w:rsid w:val="00E804FF"/>
    <w:rsid w:val="00EB6DD8"/>
    <w:rsid w:val="00ED3E46"/>
    <w:rsid w:val="00EE3309"/>
    <w:rsid w:val="00EF2195"/>
    <w:rsid w:val="00EF6FF0"/>
    <w:rsid w:val="00EF789B"/>
    <w:rsid w:val="00F10401"/>
    <w:rsid w:val="00F11B15"/>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5</Pages>
  <Words>475</Words>
  <Characters>2801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3270</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48</cp:revision>
  <cp:lastPrinted>2015-02-03T06:51:00Z</cp:lastPrinted>
  <dcterms:created xsi:type="dcterms:W3CDTF">2014-01-13T11:35:00Z</dcterms:created>
  <dcterms:modified xsi:type="dcterms:W3CDTF">2015-04-09T05:51:00Z</dcterms:modified>
</cp:coreProperties>
</file>