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06" w:rsidRPr="00BF3317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F3317">
        <w:rPr>
          <w:rFonts w:ascii="Arial" w:hAnsi="Arial" w:cs="Arial"/>
          <w:b/>
          <w:sz w:val="24"/>
          <w:szCs w:val="24"/>
        </w:rPr>
        <w:t>PŘEDMLUVA</w:t>
      </w:r>
    </w:p>
    <w:p w:rsidR="00311706" w:rsidRPr="00BF3317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3317">
        <w:rPr>
          <w:rFonts w:ascii="Arial" w:hAnsi="Arial" w:cs="Arial"/>
          <w:sz w:val="20"/>
          <w:szCs w:val="20"/>
        </w:rPr>
        <w:t>(</w:t>
      </w:r>
      <w:r w:rsidR="009A41FA" w:rsidRPr="00BF3317">
        <w:rPr>
          <w:rFonts w:ascii="Arial" w:hAnsi="Arial" w:cs="Arial"/>
          <w:sz w:val="20"/>
          <w:szCs w:val="20"/>
        </w:rPr>
        <w:t>z</w:t>
      </w:r>
      <w:r w:rsidRPr="00BF3317">
        <w:rPr>
          <w:rFonts w:ascii="Arial" w:hAnsi="Arial" w:cs="Arial"/>
          <w:sz w:val="20"/>
          <w:szCs w:val="20"/>
        </w:rPr>
        <w:t> tištěné form</w:t>
      </w:r>
      <w:r w:rsidR="009A41FA" w:rsidRPr="00BF3317">
        <w:rPr>
          <w:rFonts w:ascii="Arial" w:hAnsi="Arial" w:cs="Arial"/>
          <w:sz w:val="20"/>
          <w:szCs w:val="20"/>
        </w:rPr>
        <w:t>y</w:t>
      </w:r>
      <w:r w:rsidRPr="00BF3317">
        <w:rPr>
          <w:rFonts w:ascii="Arial" w:hAnsi="Arial" w:cs="Arial"/>
          <w:sz w:val="20"/>
          <w:szCs w:val="20"/>
        </w:rPr>
        <w:t> PD)</w:t>
      </w:r>
    </w:p>
    <w:p w:rsidR="00F604D1" w:rsidRPr="00BF3317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Tento sedmdesátý sedmý svazek „Československé statistiky'' obsahuje výsledky definitivního zpracování statistik o pohybu obyvatelstva v letech 1925 – 1927, jsa čtvrtým svazkem řady XIV. přinášející ve sv. 53. obdobné údaje za rok 1919 – 1920, ve sv. 59. za</w:t>
      </w:r>
      <w:r w:rsidR="00BF3317">
        <w:rPr>
          <w:color w:val="auto"/>
        </w:rPr>
        <w:t> </w:t>
      </w:r>
      <w:r w:rsidRPr="00BF3317">
        <w:rPr>
          <w:color w:val="auto"/>
        </w:rPr>
        <w:t xml:space="preserve">rok 1921 – 1922 a ve sv. 63, za rok 1923 – 1924. 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Ve výv</w:t>
      </w:r>
      <w:r w:rsidR="00F043E9">
        <w:rPr>
          <w:color w:val="auto"/>
        </w:rPr>
        <w:t xml:space="preserve">oji československé statistiky o </w:t>
      </w:r>
      <w:r w:rsidRPr="00BF3317">
        <w:rPr>
          <w:color w:val="auto"/>
        </w:rPr>
        <w:t>pohybu obyvatelstva jest rok 1925 důležitým mezníkem. Výnosem ministerstva vnitra č. 82.985 8-1924 byla zpravodajská služba pro statistiku přirozené měny obyvatelstva upravena s platností od 1. ledna 1925 jednotně pro celý stát, číselné zpracování dat soustředěno u Státního úřadu statistického a obsah šetření rozšířen, jak toho vyžadují pokročilé nároky současné vědy.</w:t>
      </w:r>
    </w:p>
    <w:p w:rsidR="00FA5E98" w:rsidRPr="00F8178F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Čtvrtletní výtahy z matrik, zasílané do té doby</w:t>
      </w:r>
      <w:r w:rsidR="00BF3317">
        <w:rPr>
          <w:color w:val="auto"/>
        </w:rPr>
        <w:t xml:space="preserve"> matričními úřady v Čechách, na </w:t>
      </w:r>
      <w:r w:rsidRPr="00BF3317">
        <w:rPr>
          <w:color w:val="auto"/>
        </w:rPr>
        <w:t xml:space="preserve">Moravě a ve Slezsku prostřednictvím okresních a zemských politických správ, byly nahrazeny </w:t>
      </w:r>
      <w:proofErr w:type="spellStart"/>
      <w:r w:rsidRPr="00BF3317">
        <w:rPr>
          <w:color w:val="auto"/>
        </w:rPr>
        <w:t>individuelními</w:t>
      </w:r>
      <w:proofErr w:type="spellEnd"/>
      <w:r w:rsidRPr="00BF3317">
        <w:rPr>
          <w:color w:val="auto"/>
        </w:rPr>
        <w:t xml:space="preserve"> sčítacími lístky odesílanými za každý měsíc do 5. dne v měsíci následujícím přímo Státnímu úřadu statistickému. Na Slovensku a v Podkarpatské Rusi bylo sčítacích lístků užíváno pro statistiku přirozené měny obyvatelstva již dříve, od r. 1925 jen nové zaveden sčítací lístek o legitimování nemanželského dítka a obsah ostatních rozšířen. Vzorce nových sčítacích </w:t>
      </w:r>
      <w:proofErr w:type="spellStart"/>
      <w:r w:rsidRPr="00BF3317">
        <w:rPr>
          <w:color w:val="auto"/>
        </w:rPr>
        <w:t>Iístků</w:t>
      </w:r>
      <w:proofErr w:type="spellEnd"/>
      <w:r w:rsidRPr="00BF3317">
        <w:rPr>
          <w:color w:val="auto"/>
        </w:rPr>
        <w:t xml:space="preserve"> (sčítací lístek oddavkový, rodný, o </w:t>
      </w:r>
      <w:proofErr w:type="spellStart"/>
      <w:r w:rsidRPr="00BF3317">
        <w:rPr>
          <w:color w:val="auto"/>
        </w:rPr>
        <w:t>Iegitimaci</w:t>
      </w:r>
      <w:proofErr w:type="spellEnd"/>
      <w:r w:rsidRPr="00BF3317">
        <w:rPr>
          <w:color w:val="auto"/>
        </w:rPr>
        <w:t xml:space="preserve"> a</w:t>
      </w:r>
      <w:r w:rsidR="00BF3317">
        <w:rPr>
          <w:color w:val="auto"/>
        </w:rPr>
        <w:t> </w:t>
      </w:r>
      <w:r w:rsidRPr="00BF3317">
        <w:rPr>
          <w:color w:val="auto"/>
        </w:rPr>
        <w:t xml:space="preserve">úmrtí) a text instrukce pro matriční úřady otištěny jsou na str. VII, VIII, IX a X. </w:t>
      </w:r>
      <w:r w:rsidRPr="00BF3317">
        <w:rPr>
          <w:i/>
          <w:iCs/>
          <w:color w:val="auto"/>
        </w:rPr>
        <w:t>(Zde jsou výše uvedené sčítací lístky a instrukce vloženy na konci předmluvy.</w:t>
      </w:r>
      <w:r w:rsidRPr="00BF3317">
        <w:rPr>
          <w:color w:val="auto"/>
        </w:rPr>
        <w:t>)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 xml:space="preserve">Vylíčené zdokonalení zpravodajské služby pro statistiku přirozené měny obyvatelstva obohatilo publikační plán řadou nových znaků a kombinací, a vložením otázky po posledním bydlišti registrovaných osob umožnilo zejména důležitou změnu v principu třídění získaných dat. 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 xml:space="preserve">Až do této doby bylo směrodatným pro zařazení jednotlivých případů narození, legitimací a úmrtí do obcí, okresů a zemí místo narození, resp. úmrtí, </w:t>
      </w:r>
      <w:proofErr w:type="spellStart"/>
      <w:r w:rsidRPr="00BF3317">
        <w:rPr>
          <w:color w:val="auto"/>
        </w:rPr>
        <w:t>necht</w:t>
      </w:r>
      <w:proofErr w:type="spellEnd"/>
      <w:r w:rsidRPr="00BF3317">
        <w:rPr>
          <w:color w:val="auto"/>
        </w:rPr>
        <w:t>' stálé bydliště matky dítěte, legitimovaného dítka nebo osoby zemřelé</w:t>
      </w:r>
      <w:r w:rsidR="00EF690E" w:rsidRPr="00BF3317">
        <w:rPr>
          <w:color w:val="auto"/>
        </w:rPr>
        <w:t xml:space="preserve"> leželo</w:t>
      </w:r>
      <w:r w:rsidRPr="00BF3317">
        <w:rPr>
          <w:color w:val="auto"/>
        </w:rPr>
        <w:t xml:space="preserve"> kdekoliv. Jen sňatky byly tříděny již dříve podle posledního bydliště nevěstina. Od r. 1925 jest možno téže zásady užíti i ve statistice porodů, legitimací a úmrtí, jež nyní zařazujeme důsledně podle posledního bydliště matky novorozeného dítka, bydliště osoby zemřelé, resp. podle nynějšího bydliště legitimovaného dítka. V prv</w:t>
      </w:r>
      <w:r w:rsidR="00A16BB2" w:rsidRPr="00BF3317">
        <w:rPr>
          <w:color w:val="auto"/>
        </w:rPr>
        <w:t>ý</w:t>
      </w:r>
      <w:r w:rsidRPr="00BF3317">
        <w:rPr>
          <w:color w:val="auto"/>
        </w:rPr>
        <w:t>ch tabulkách podle okresů jsou uvedena pro srovnání ještě též data tříděná podle místa narození a úmrtí.</w:t>
      </w:r>
    </w:p>
    <w:p w:rsidR="00FA5E98" w:rsidRPr="00BF3317" w:rsidRDefault="00FA5E98" w:rsidP="00FA5E98">
      <w:pPr>
        <w:pStyle w:val="Zkladntextodsazen"/>
        <w:rPr>
          <w:rFonts w:ascii="Times New Roman" w:hAnsi="Times New Roman"/>
          <w:color w:val="auto"/>
          <w:szCs w:val="16"/>
          <w:lang w:val="da-DK"/>
        </w:rPr>
      </w:pPr>
      <w:r w:rsidRPr="00BF3317">
        <w:rPr>
          <w:color w:val="auto"/>
        </w:rPr>
        <w:t>Statistika sňatků byla rozšířena o kombinaci bydliště ženichova s bydlištěm ne</w:t>
      </w:r>
      <w:r w:rsidRPr="00BF3317">
        <w:rPr>
          <w:color w:val="auto"/>
        </w:rPr>
        <w:softHyphen/>
        <w:t>věstiným a s příštím společným bydlištěm snoubenců, o kombinaci ženichovy třídy povolání a postavení v povolání s měsícem uzavření sňatku, o kombinaci věku ovdovělých a rozloučených ženichů i nevěst s pořadím sňatku, dobou uplynulou od rozvázání předcházejícího manželství a počtem dětí z předcházejícího manželství; nově přistupují konečně v českých zemích data o národnosti snoubenců a podrobněji bylo lze rozlišiti evangelické denominace.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lastRenderedPageBreak/>
        <w:t>U narozených uveřejňujeme podle okresů počet živě a mrtvě narozených jak podle místa narození, tak podle posledního bydliště matky narozeného dítěte, a počet dětí podle pořadí dítěte matce narozeného. Data podle zemí oboh</w:t>
      </w:r>
      <w:r w:rsidR="00733168">
        <w:rPr>
          <w:color w:val="auto"/>
        </w:rPr>
        <w:t>acena jsou u dětí manželských o </w:t>
      </w:r>
      <w:r w:rsidRPr="00BF3317">
        <w:rPr>
          <w:color w:val="auto"/>
        </w:rPr>
        <w:t>kombinaci měsíce narození s otcovým povoláním a postavením v povolání, u</w:t>
      </w:r>
      <w:r w:rsidR="00733168">
        <w:rPr>
          <w:color w:val="auto"/>
        </w:rPr>
        <w:t> </w:t>
      </w:r>
      <w:r w:rsidRPr="00BF3317">
        <w:rPr>
          <w:color w:val="auto"/>
        </w:rPr>
        <w:t>nemanželských dětí s povoláním a postavením v povolání matky, resp. jejího živitele. Pořadí narozeného dítěte jest kombinováno s legitimitou,</w:t>
      </w:r>
      <w:r w:rsidR="00733168">
        <w:rPr>
          <w:color w:val="auto"/>
        </w:rPr>
        <w:t xml:space="preserve"> vitalitou a pohlavím, pořadí a </w:t>
      </w:r>
      <w:r w:rsidRPr="00BF3317">
        <w:rPr>
          <w:color w:val="auto"/>
        </w:rPr>
        <w:t>legitimita dítek s národností matčinou, s věkem matčiným, s vitalitou a dobou uplynulou od předcházejícího porodu, s počtem dětí zemřelých z toho</w:t>
      </w:r>
      <w:r w:rsidR="00733168">
        <w:rPr>
          <w:color w:val="auto"/>
        </w:rPr>
        <w:t>to pořadí, u dětí manželských s </w:t>
      </w:r>
      <w:r w:rsidRPr="00BF3317">
        <w:rPr>
          <w:color w:val="auto"/>
        </w:rPr>
        <w:t>dobou uplynulou od sňatku, s počtem dětí naroz</w:t>
      </w:r>
      <w:r w:rsidR="00733168">
        <w:rPr>
          <w:color w:val="auto"/>
        </w:rPr>
        <w:t>ených z nynějšího manželství, s </w:t>
      </w:r>
      <w:r w:rsidRPr="00BF3317">
        <w:rPr>
          <w:color w:val="auto"/>
        </w:rPr>
        <w:t>povoláním otcovým a výdělečnou činností matčinou</w:t>
      </w:r>
      <w:r w:rsidR="00733168">
        <w:rPr>
          <w:color w:val="auto"/>
        </w:rPr>
        <w:t>, u nemanželských s povoláním a </w:t>
      </w:r>
      <w:r w:rsidRPr="00BF3317">
        <w:rPr>
          <w:color w:val="auto"/>
        </w:rPr>
        <w:t>sociální třídou matčinou, resp. jejího živitele. Data o narozených manželských podle věku otcova a nemanželských podle věku matčina publikována jsou pouze podle tříd povolání, avšak se zřetelem k sociální třídě zřízenců a sociální třídě nemanželské matky, resp. jejího živitele. V českých zemích byl vzat zřetel u živě narozených podle náboženského vyznání na jednotlivé denominace evange</w:t>
      </w:r>
      <w:r w:rsidR="00733168">
        <w:rPr>
          <w:color w:val="auto"/>
        </w:rPr>
        <w:t>lické a byla kombinována data o </w:t>
      </w:r>
      <w:r w:rsidRPr="00BF3317">
        <w:rPr>
          <w:color w:val="auto"/>
        </w:rPr>
        <w:t xml:space="preserve">živě narozených s náboženským vyznáním otcovým </w:t>
      </w:r>
      <w:r w:rsidR="00733168">
        <w:rPr>
          <w:color w:val="auto"/>
        </w:rPr>
        <w:t>a matčiným; národnost matčina u </w:t>
      </w:r>
      <w:r w:rsidRPr="00BF3317">
        <w:rPr>
          <w:color w:val="auto"/>
        </w:rPr>
        <w:t>dětí živě narozených manželských kombinována s národností otcovou.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U zemřelých rozšířeny jsou tabulky podle okresů vedle počtu zemřelých podle místa úmrtí o počet zemřelých podle jejich posledního bydliště, daty o výživě kojenců, o char</w:t>
      </w:r>
      <w:r w:rsidRPr="00BF3317">
        <w:rPr>
          <w:color w:val="auto"/>
        </w:rPr>
        <w:softHyphen/>
        <w:t>akteristických věkových skupinách zemřelých starších 5 let (odlišných od věkových skupin v předcházejících letech, ale jednotných pro všechny země), údaji o počtu dětí zemřelých žen, v českých zemích daty o počtu zemřelýc</w:t>
      </w:r>
      <w:r w:rsidR="00733168">
        <w:rPr>
          <w:color w:val="auto"/>
        </w:rPr>
        <w:t>h v ústavech, na Slovensku a na </w:t>
      </w:r>
      <w:r w:rsidRPr="00BF3317">
        <w:rPr>
          <w:color w:val="auto"/>
        </w:rPr>
        <w:t>Podkarpatské Rusi o legitimitě dětí do 5 let. Tabulky podle zemí js</w:t>
      </w:r>
      <w:r w:rsidR="00733168">
        <w:rPr>
          <w:color w:val="auto"/>
        </w:rPr>
        <w:t>ou doplněny o </w:t>
      </w:r>
      <w:r w:rsidRPr="00BF3317">
        <w:rPr>
          <w:color w:val="auto"/>
        </w:rPr>
        <w:t>kombinaci příčin úmrtí s nejdůležitější chorobou sdru</w:t>
      </w:r>
      <w:r w:rsidR="00733168">
        <w:rPr>
          <w:color w:val="auto"/>
        </w:rPr>
        <w:t>ženou, s náboženským vyznáním a </w:t>
      </w:r>
      <w:r w:rsidRPr="00BF3317">
        <w:rPr>
          <w:color w:val="auto"/>
        </w:rPr>
        <w:t>národností zemřelého, o kombinaci žen podle počt</w:t>
      </w:r>
      <w:r w:rsidR="00733168">
        <w:rPr>
          <w:color w:val="auto"/>
        </w:rPr>
        <w:t>u jim narozených dětí s věkem a </w:t>
      </w:r>
      <w:r w:rsidRPr="00BF3317">
        <w:rPr>
          <w:color w:val="auto"/>
        </w:rPr>
        <w:t xml:space="preserve">potom s povoláním a sociální třídou zemřelé ženy, resp. jejího živitele. V rozvedeném </w:t>
      </w:r>
      <w:proofErr w:type="spellStart"/>
      <w:r w:rsidRPr="00BF3317">
        <w:rPr>
          <w:color w:val="auto"/>
        </w:rPr>
        <w:t>schematu</w:t>
      </w:r>
      <w:proofErr w:type="spellEnd"/>
      <w:r w:rsidRPr="00BF3317">
        <w:rPr>
          <w:color w:val="auto"/>
        </w:rPr>
        <w:t xml:space="preserve"> příčin úmrtí jsou úrazy pohmožděním jin</w:t>
      </w:r>
      <w:r w:rsidR="00733168">
        <w:rPr>
          <w:color w:val="auto"/>
        </w:rPr>
        <w:t>ého druhu uvedeny podrobněji. V </w:t>
      </w:r>
      <w:r w:rsidRPr="00BF3317">
        <w:rPr>
          <w:color w:val="auto"/>
        </w:rPr>
        <w:t>českých zemích přistupuje kombinace národ</w:t>
      </w:r>
      <w:r w:rsidR="00733168">
        <w:rPr>
          <w:color w:val="auto"/>
        </w:rPr>
        <w:t>nosti s věkem, na Slovensku a v </w:t>
      </w:r>
      <w:r w:rsidRPr="00BF3317">
        <w:rPr>
          <w:color w:val="auto"/>
        </w:rPr>
        <w:t xml:space="preserve">Podkarpatské Rusi kombinace jednotek věku s ročníkem </w:t>
      </w:r>
      <w:r w:rsidR="00733168">
        <w:rPr>
          <w:color w:val="auto"/>
        </w:rPr>
        <w:t>narození a legitimitou dětí do </w:t>
      </w:r>
      <w:r w:rsidRPr="00BF3317">
        <w:rPr>
          <w:color w:val="auto"/>
        </w:rPr>
        <w:t>10 let. Vynechána jest tabulka o sebevraždách, jelikož všechna data v ní obsažená možno vyčísti z ostatních tabulek.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U legitimací nemanželských dětí publikujeme po prvé výsledky ze Slovenska a Podkarpatské Rusi. Dosavadní tabulky rozmnoženy jsou o údaj náboženského vyznání dítěte, o kombinaci národnosti matčiny s počtem legitimovaných dětí a o kombinace náboženského vyznání, národnosti a věku rodičů.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Čísla poměrná v přehledné tabulce přirozené měny</w:t>
      </w:r>
      <w:r w:rsidR="00733168">
        <w:rPr>
          <w:color w:val="auto"/>
        </w:rPr>
        <w:t xml:space="preserve"> obyvatelstva jsou vypočítána v </w:t>
      </w:r>
      <w:r w:rsidRPr="00BF3317">
        <w:rPr>
          <w:color w:val="auto"/>
        </w:rPr>
        <w:t>těchto letech podle stavů obyvatelstva sestavených pro každý rok z jeho přírůstku, resp. úbytku přirozenou měnou a stěhováním v době od 15. února 1921 do 1. prosince 1930.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Změny v rozhraničení okresů, zemí a státu jsou malé a pokud se staly během roku, byly při zpracování respektovány až od 1. ledna roku následujícího; jsou uvedeny v</w:t>
      </w:r>
      <w:r w:rsidR="007504AB">
        <w:rPr>
          <w:color w:val="auto"/>
        </w:rPr>
        <w:t> </w:t>
      </w:r>
      <w:r w:rsidRPr="00BF3317">
        <w:rPr>
          <w:color w:val="auto"/>
        </w:rPr>
        <w:t>poznámkách části tabulkové. Totéž platí o změnách obvodů měst s více než 10.000 obyvateli, jež jsou v tabulkové části uváděna zvlá</w:t>
      </w:r>
      <w:r w:rsidR="00733168">
        <w:rPr>
          <w:color w:val="auto"/>
        </w:rPr>
        <w:t>ště. Pro zpracování materiálu z </w:t>
      </w:r>
      <w:r w:rsidRPr="00BF3317">
        <w:rPr>
          <w:color w:val="auto"/>
        </w:rPr>
        <w:t>Podkarpatské Rusi bylo směrodatné administrativní rozdělení platné do 30</w:t>
      </w:r>
      <w:r w:rsidR="007504AB">
        <w:rPr>
          <w:color w:val="auto"/>
        </w:rPr>
        <w:t>.</w:t>
      </w:r>
      <w:r w:rsidRPr="00BF3317">
        <w:rPr>
          <w:color w:val="auto"/>
        </w:rPr>
        <w:t xml:space="preserve"> června 1928 </w:t>
      </w:r>
      <w:r w:rsidRPr="00BF3317">
        <w:rPr>
          <w:color w:val="auto"/>
        </w:rPr>
        <w:lastRenderedPageBreak/>
        <w:t>a k němuž bylo hleděno při publikaci dat o pohybu obyvate</w:t>
      </w:r>
      <w:r w:rsidR="00733168">
        <w:rPr>
          <w:color w:val="auto"/>
        </w:rPr>
        <w:t>lstva podle okresů a žup již od </w:t>
      </w:r>
      <w:r w:rsidRPr="00BF3317">
        <w:rPr>
          <w:color w:val="auto"/>
        </w:rPr>
        <w:t>roku 1921.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Rozbor uveřejněných dat podá přednosta odboru v souborném díle o měně obyvatelstva v Československu za léta 1919-1930.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 xml:space="preserve">Tabulky zpracoval a do tisku připravil II. odbor Státního úřadu statistického, zpracování po technické stránce řídil vrchní statistický komisař Ing. Ladislav </w:t>
      </w:r>
      <w:proofErr w:type="spellStart"/>
      <w:r w:rsidRPr="00BF3317">
        <w:rPr>
          <w:color w:val="auto"/>
        </w:rPr>
        <w:t>Aust</w:t>
      </w:r>
      <w:proofErr w:type="spellEnd"/>
      <w:r w:rsidRPr="00BF3317">
        <w:rPr>
          <w:color w:val="auto"/>
        </w:rPr>
        <w:t>.</w:t>
      </w:r>
    </w:p>
    <w:p w:rsidR="00FA5E98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V Praze, v dubnu 1932.</w:t>
      </w:r>
    </w:p>
    <w:p w:rsidR="003F7291" w:rsidRPr="00BF3317" w:rsidRDefault="003F7291" w:rsidP="00FA5E98">
      <w:pPr>
        <w:pStyle w:val="Zkladntextodsazen"/>
        <w:rPr>
          <w:color w:val="auto"/>
        </w:rPr>
      </w:pPr>
    </w:p>
    <w:p w:rsidR="00FA5E98" w:rsidRPr="00BF3317" w:rsidRDefault="003F7291" w:rsidP="00733168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 xml:space="preserve">JUDr. Jan </w:t>
      </w:r>
      <w:proofErr w:type="spellStart"/>
      <w:r w:rsidR="00FA5E98" w:rsidRPr="00BF3317">
        <w:rPr>
          <w:color w:val="auto"/>
        </w:rPr>
        <w:t>Auerhan</w:t>
      </w:r>
      <w:proofErr w:type="spellEnd"/>
      <w:r w:rsidR="00FA5E98" w:rsidRPr="00BF3317">
        <w:rPr>
          <w:color w:val="auto"/>
        </w:rPr>
        <w:t>,</w:t>
      </w:r>
    </w:p>
    <w:p w:rsidR="00FA5E98" w:rsidRPr="00BF3317" w:rsidRDefault="003F7291" w:rsidP="00733168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president Státního úřadu statistického.</w:t>
      </w:r>
    </w:p>
    <w:p w:rsidR="00FA5E98" w:rsidRDefault="00FA5E98" w:rsidP="00733168">
      <w:pPr>
        <w:pStyle w:val="Zkladntextodsazen"/>
        <w:spacing w:after="0"/>
        <w:ind w:firstLine="0"/>
        <w:rPr>
          <w:color w:val="auto"/>
        </w:rPr>
      </w:pPr>
    </w:p>
    <w:p w:rsidR="00733168" w:rsidRPr="00BF3317" w:rsidRDefault="00733168" w:rsidP="00733168">
      <w:pPr>
        <w:pStyle w:val="Zkladntextodsazen"/>
        <w:spacing w:after="0"/>
        <w:ind w:firstLine="0"/>
        <w:rPr>
          <w:color w:val="auto"/>
        </w:rPr>
      </w:pPr>
    </w:p>
    <w:p w:rsidR="00FA5E98" w:rsidRPr="00BF3317" w:rsidRDefault="003F7291" w:rsidP="00733168">
      <w:pPr>
        <w:pStyle w:val="Zkladntextodsazen"/>
        <w:tabs>
          <w:tab w:val="center" w:pos="6804"/>
        </w:tabs>
        <w:spacing w:after="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proofErr w:type="spellStart"/>
      <w:r w:rsidR="00FA5E98" w:rsidRPr="00BF3317">
        <w:rPr>
          <w:color w:val="auto"/>
        </w:rPr>
        <w:t>Ph</w:t>
      </w:r>
      <w:proofErr w:type="spellEnd"/>
      <w:r w:rsidR="00FA5E98" w:rsidRPr="00BF3317">
        <w:rPr>
          <w:color w:val="auto"/>
        </w:rPr>
        <w:t>. Dr. Antonín Boháč,</w:t>
      </w:r>
    </w:p>
    <w:p w:rsidR="00FA5E98" w:rsidRPr="00BF3317" w:rsidRDefault="003F7291" w:rsidP="00733168">
      <w:pPr>
        <w:pStyle w:val="Zkladntextodsazen"/>
        <w:tabs>
          <w:tab w:val="center" w:pos="6804"/>
        </w:tabs>
        <w:spacing w:after="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ministerský rada,</w:t>
      </w:r>
    </w:p>
    <w:p w:rsidR="00311706" w:rsidRDefault="003F7291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přednosta II. odboru Státního úřadu statistického</w:t>
      </w:r>
    </w:p>
    <w:p w:rsidR="006F0C7E" w:rsidRDefault="006F0C7E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6F0C7E" w:rsidRPr="006F0C7E" w:rsidRDefault="006F0C7E" w:rsidP="006F0C7E">
      <w:pPr>
        <w:jc w:val="center"/>
        <w:rPr>
          <w:rFonts w:ascii="Arial" w:hAnsi="Arial" w:cs="Arial"/>
          <w:sz w:val="32"/>
          <w:szCs w:val="32"/>
        </w:rPr>
      </w:pPr>
      <w:r w:rsidRPr="006F0C7E">
        <w:rPr>
          <w:rFonts w:ascii="Arial" w:hAnsi="Arial" w:cs="Arial"/>
          <w:sz w:val="32"/>
          <w:szCs w:val="32"/>
        </w:rPr>
        <w:t>Instrukce</w:t>
      </w:r>
    </w:p>
    <w:p w:rsidR="006F0C7E" w:rsidRDefault="006F0C7E" w:rsidP="006F0C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 matriční úřady o poskytování dat pro statistiku měny obyvatelstva.</w:t>
      </w:r>
    </w:p>
    <w:p w:rsidR="00F8178F" w:rsidRDefault="00F8178F" w:rsidP="006F0C7E">
      <w:pPr>
        <w:jc w:val="center"/>
        <w:rPr>
          <w:rFonts w:ascii="Arial" w:hAnsi="Arial" w:cs="Arial"/>
        </w:rPr>
      </w:pPr>
    </w:p>
    <w:p w:rsidR="006F0C7E" w:rsidRDefault="006F0C7E" w:rsidP="006F0C7E">
      <w:pPr>
        <w:jc w:val="center"/>
      </w:pPr>
      <w:r>
        <w:rPr>
          <w:rFonts w:ascii="Arial" w:hAnsi="Arial" w:cs="Arial"/>
        </w:rPr>
        <w:t>Předpisy všeobecné.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  <w:rPr>
          <w:rFonts w:ascii="Perpetua" w:hAnsi="Perpetua"/>
          <w:sz w:val="26"/>
          <w:szCs w:val="26"/>
        </w:rPr>
      </w:pPr>
      <w:r>
        <w:t>§ 1.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Aby byla získána přesná statistická data o pohybu obyvatelstva, zavádějí se od 1. ledna 1925 čtvery sčítací lístky, a to sčítací lístek oddavkový (vzorec A), sčítací lístek rodný (vzorec B), sčítací lístek o legitimaci (vzorec C) a sčítací lístek úmrtní (vzorec D).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2.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O každém sňatku a narození, o legitimaci nemanželského dítka a o úmrtí vyplní matrikář zvláštní sčítací lístek.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3.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Dříve než matrikář zapíše Sňatek, narození, legitimaci aneb úmrtí do matriky, jest povinen vyplniti příslušný sčítací lístek, a to podle otázek v sčítacím lístku obsažených. Jedná-li se při tom o data patrná z veřejných listin, které strana má po případně s sebou, nahlédne do listin.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Nemůže-li osoba matriční případ oznamující dáti odpověď na všechny otázky nebo scházejí-li v písemných oznámeních údaje, které mají zapsati do sčítacího lístku, nesmí se přes to zápis do sčítacího lístku odložiti. Tu si pak matrikář vyžádá bezodkladně od strany a doplní podle nich sčítací lístek dodatečně.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Jestliže matrikáři není možno získati odpověď na některou z otázek ve sčítacím lístku obsažených (na př. u nalezených mrtvol, totožnost se nepodařilo zjistit apod.), uvede na sčítacím lístku v poznámce, proč ta neb ona otázka zůstala nezodpovězena.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Sezná-li matrikář, že některý veřejný ústav svoji povinnost sdělovati potřebná statistická data opětovně zanedbává, podá o tom zprávu Státnímu úřadu statistickému, aby zjednal nápravu.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  <w:rPr>
          <w:rFonts w:ascii="Perpetua" w:hAnsi="Perpetua"/>
          <w:sz w:val="26"/>
          <w:szCs w:val="26"/>
        </w:rPr>
      </w:pPr>
      <w:r>
        <w:lastRenderedPageBreak/>
        <w:t>§ 4.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  <w:rPr>
          <w:rFonts w:ascii="Perpetua" w:hAnsi="Perpetua"/>
          <w:sz w:val="26"/>
          <w:szCs w:val="26"/>
        </w:rPr>
      </w:pPr>
      <w:r>
        <w:t xml:space="preserve">Všechny zápisy musí býti úplně </w:t>
      </w:r>
      <w:proofErr w:type="spellStart"/>
      <w:r>
        <w:t>čitelny</w:t>
      </w:r>
      <w:proofErr w:type="spellEnd"/>
      <w:r>
        <w:t xml:space="preserve"> a nesmí být</w:t>
      </w:r>
      <w:r w:rsidR="005B098F">
        <w:t>i</w:t>
      </w:r>
      <w:r>
        <w:t xml:space="preserve"> pořízeny tužkou. Číselné údaje </w:t>
      </w:r>
      <w:proofErr w:type="spellStart"/>
      <w:r>
        <w:t>buďtež</w:t>
      </w:r>
      <w:proofErr w:type="spellEnd"/>
      <w:r>
        <w:t xml:space="preserve"> zapsány číslicemi, vše ostatní se vypíše a to beze zkratek.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5.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Sčítací lístky vyplňují se pouze o matričních případech, které se do matriky zapisují pod řadovým číslem. Byl-li matriční zápis opět vymazán a přeruší-li se takto pořadí řadových čísel, vysvětlí se to přerušení v poznámkové rubrice hned </w:t>
      </w:r>
      <w:r w:rsidR="005B098F">
        <w:t>násle</w:t>
      </w:r>
      <w:r>
        <w:t>dujícího sčítacího lístku.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6.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Sčítací lístky, které se nesmějí skládati ani na šířku ani na délku, zašle matrikář v zalepené služební obálce bez průvodního dopisu nejpozději 5. každého měsíce přímo Státnímu úřadu statistickému v Praze. Do zásilky se pojmou všechny sčítací lístky, které se </w:t>
      </w:r>
      <w:r w:rsidR="00DE0CD6">
        <w:t>vztah</w:t>
      </w:r>
      <w:r>
        <w:t>ují na zápisy z minulého měsíce.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V levém rohu na líci obálky poznamená matrikář nejnižší a nejvyšší řadové číslo matričního zápisu a počet sčítacích lístků dle jednotlivého druhu.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  <w:rPr>
          <w:vertAlign w:val="superscript"/>
        </w:rPr>
      </w:pPr>
      <w:r>
        <w:t xml:space="preserve">Nebylo-li některého zápisu, nepodává matrikář záporné zprávy, nýbrž opatří dotyčnou rubriku obálky nulou, a nebylo-li vůbec žádných zápisů, zašle prázdnou obálku opatřenou nulou. </w:t>
      </w:r>
      <w:r>
        <w:rPr>
          <w:vertAlign w:val="superscript"/>
        </w:rPr>
        <w:t>1)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  <w:jc w:val="left"/>
        <w:rPr>
          <w:vertAlign w:val="superscript"/>
        </w:rPr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ind w:firstLine="708"/>
        <w:jc w:val="left"/>
        <w:rPr>
          <w:vertAlign w:val="superscript"/>
        </w:rPr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  <w:rPr>
          <w:vertAlign w:val="superscript"/>
        </w:rPr>
      </w:pPr>
      <w:r>
        <w:t>§ 7.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Potřebné tiskopisy a obálky dodá matričnímu úřadu</w:t>
      </w:r>
      <w:r>
        <w:rPr>
          <w:vertAlign w:val="superscript"/>
        </w:rPr>
        <w:t xml:space="preserve"> </w:t>
      </w:r>
      <w:r>
        <w:t>Státní úřad statistický v Praze. Dochází-li zásoba tiskopisů, oznámí to matriční úřad současně při měsíčním předkládání výkazů statistickému úřadu.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Tiskopisů a obálek nesmí býti použito k jiným účelům a s tiskopisy nutno šetřiti. Poněvadž opravy ve sčítacích lístcích </w:t>
      </w:r>
      <w:r w:rsidR="00E14144">
        <w:t>jsou</w:t>
      </w:r>
      <w:r>
        <w:t xml:space="preserve"> </w:t>
      </w:r>
      <w:r w:rsidR="00E14144">
        <w:t>d</w:t>
      </w:r>
      <w:r>
        <w:t>ovoleny a vyskytnuvší se omyly a chyby mohou býti vymazány aneb opraveny, smí při pečlivé manipulaci s tiskopisy pouze nevalná jejich část přijíti na zmar.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Předpisy zvláštní.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8.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Národnost.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Národností jest rozuměti kmenovou příslušnost, jejímž hlavním vnějším znakem jest zpravidla mateřský jazyk. Židé mohou </w:t>
      </w:r>
      <w:r w:rsidRPr="00774160">
        <w:t>při</w:t>
      </w:r>
      <w:r w:rsidR="00492F3E" w:rsidRPr="00774160">
        <w:t>jmout</w:t>
      </w:r>
      <w:r w:rsidR="00774160" w:rsidRPr="00774160">
        <w:t>i</w:t>
      </w:r>
      <w:r w:rsidR="00492F3E">
        <w:t xml:space="preserve"> </w:t>
      </w:r>
      <w:r>
        <w:t xml:space="preserve">též národnost židovskou. </w:t>
      </w:r>
      <w:proofErr w:type="spellStart"/>
      <w:r>
        <w:t>Nepřípustno</w:t>
      </w:r>
      <w:proofErr w:type="spellEnd"/>
      <w:r>
        <w:t xml:space="preserve"> jest označovati národnost příslušností k určitému území, např. Hanák, Moravan atd.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Národnost se zapíše dle údaje strany.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9.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Náboženské vyznání.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Náboženské vyznání musí býti zapsáno přesně. Nestačí tedy prostě „katolické“ nebo „evangelické“., nýbrž dlužno udati, je-li dotyčná osoba vyznání římsko-katolického, řecko-katolického neb arménsko-katolického, po případě náleží-li evangelické církvi českobratrské neb k evangelické církvi </w:t>
      </w:r>
      <w:proofErr w:type="spellStart"/>
      <w:r>
        <w:t>ausb</w:t>
      </w:r>
      <w:proofErr w:type="spellEnd"/>
      <w:r>
        <w:t xml:space="preserve">. </w:t>
      </w:r>
      <w:r w:rsidR="00492F3E">
        <w:t>v</w:t>
      </w:r>
      <w:r>
        <w:t>yznání atd.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Rozhodující je jedině právní stav v době, kdy se zápis pořizuje.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10.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Povolání a postavení v povolání.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Zvláštní pozornost dlužno věnovati rubrice o povolání a postavení v povolání. Všeobecné názvy jako truhlář, disponent, kupec aneb povoznictví, rolnictví, stavitelství, státní (zemská a obecní) služba, notářství atd. nestačí, nýbrž vedle toho dlužno udati, jaké postavení dotyčná osoba v udaném povolání zaujímá. Tedy truhlářský mistr nebo pomocník, samostatný kupec neb kupecký mládenec, stavitel neb asistent stavitelský, notářský kandidát atd.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U veřejných úředníků aneb vojenských se zapíše služební hodnost.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Kdo v čas zápisu je přechodně bez zaměstnání, u toho se zapíše jeho dřívější povolání a postavení v něm.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11.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O narozených.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Sčítací lístky rodné (vzorec B) vyplňují se nejen pro všechny živé děti, ale také pro všechny mrtvě narozené děti. Kdy jest považovati dítě za mrtvě zrozené, viz poznámku u bodu 7 sčítacího lístku rodného. Pro dítě, které přišlo živé na svět, vyplní rodný lístek sčítací, třebaže v době matričního zápisu bylo již mrtvé </w:t>
      </w:r>
      <w:r>
        <w:lastRenderedPageBreak/>
        <w:t>aneb zemřelo hned po narození. Při zápisu dvojčat nebo více dětí vyplní se pro každé dítě zvláštní sčítací lístek, avšak na sčítacím lístku se poznamená „dvojče“, „trojče“ atd.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U nalezenců dlužno místo rodného dne, měsíce a roku zapsati den, měsíc a rok nálezu dítěte</w:t>
      </w:r>
      <w:r w:rsidR="0001102E">
        <w:t xml:space="preserve"> a v poznámkové rubrice se poznamená, že dítě bylo nalezeno.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Narodilo-li se dítě v útulku, v porodnici, nemocnici aneb na lodi, musí to býti poznamenáno v rubrice poznámkové.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Nemanželský (přirozený) otec zapíše se do sčítacího lístku jen tehdy, jestliže dle § 164 </w:t>
      </w:r>
      <w:proofErr w:type="spellStart"/>
      <w:r>
        <w:t>obč</w:t>
      </w:r>
      <w:proofErr w:type="spellEnd"/>
      <w:r>
        <w:t>. zák. anebo § 41 zák. čl. XXXIII z roku 1894 jméno jeho poznamenává se v rodné matrice.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12.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O legitimovaných.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Při vyplňování sčítacích lístků o legitimaci budou potřebná data patrna ponejvíce z legitimačního spisu aneb z listin k němu přiložených.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13.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O zemřelých.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O dětech mrtvě narozených aneb při porodu zemřelých se sčítací lístky úmrtní (vzorec D) nevyplňují, nýbrž pouze sčítací lístky rodné.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U nalezených mrtvol dlužno místo dne, měsíce a roku úmrtí zapsati den, měsíc a rok nálezu mrtvoly a v poznámkové rubrice se pak zapíše „nalezená mrtvola“.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Údaje o základní nemoci a o bezprostřední příčině smrti musí být do sčítacích lístků úmrtních zapisovány přesně dle ohledacích listů vystavených lékařem. Matriční úřady jsou povinny zaslati ohledací listy Státnímu úřadu statistickému k nahlédnutí, kdykoliv o to požádá.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Závěrečné předpisy.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14.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Dosavadní předpisy o statistických výkazech o pohybu obyvatelstva a příčinách smrti, a to §§ 131 – 136 matriční úpravy č. 80.000/1906 pro Slovensko a Podkarpatskou Rus a výnos bývalého rakouského ministerstva vnitra ze dne 8. února </w:t>
      </w:r>
      <w:r w:rsidR="008076EE">
        <w:t xml:space="preserve">a 17. dubna </w:t>
      </w:r>
      <w:r>
        <w:t>1895, č 18.</w:t>
      </w:r>
      <w:r w:rsidR="008076EE">
        <w:t>6</w:t>
      </w:r>
      <w:r>
        <w:t>32 ex 1894, a ze dne 26. března 1986, č. 8973, pro ostatní území se tímto zrušují.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</w:p>
    <w:p w:rsidR="006F0C7E" w:rsidRPr="00361B04" w:rsidRDefault="00361B04" w:rsidP="00361B04">
      <w:pPr>
        <w:pStyle w:val="Zkladntextodsazen"/>
        <w:tabs>
          <w:tab w:val="center" w:pos="6804"/>
        </w:tabs>
        <w:spacing w:after="0"/>
        <w:ind w:left="1080" w:firstLine="0"/>
        <w:jc w:val="left"/>
        <w:rPr>
          <w:rFonts w:cs="Calibri"/>
          <w:color w:val="auto"/>
          <w:sz w:val="20"/>
          <w:lang w:eastAsia="cs-CZ"/>
        </w:rPr>
      </w:pPr>
      <w:r w:rsidRPr="00361B04">
        <w:rPr>
          <w:rFonts w:cs="Calibri"/>
          <w:color w:val="auto"/>
          <w:sz w:val="20"/>
          <w:vertAlign w:val="superscript"/>
          <w:lang w:eastAsia="cs-CZ"/>
        </w:rPr>
        <w:t>1)</w:t>
      </w:r>
      <w:r w:rsidR="006F0C7E" w:rsidRPr="00361B04">
        <w:rPr>
          <w:rFonts w:cs="Calibri"/>
          <w:color w:val="auto"/>
          <w:sz w:val="20"/>
          <w:lang w:eastAsia="cs-CZ"/>
        </w:rPr>
        <w:t>Výnosem Státního úřadu statistické</w:t>
      </w:r>
      <w:r>
        <w:rPr>
          <w:rFonts w:cs="Calibri"/>
          <w:color w:val="auto"/>
          <w:sz w:val="20"/>
          <w:lang w:eastAsia="cs-CZ"/>
        </w:rPr>
        <w:t>ho</w:t>
      </w:r>
      <w:r w:rsidR="006F0C7E" w:rsidRPr="00361B04">
        <w:rPr>
          <w:rFonts w:cs="Calibri"/>
          <w:color w:val="auto"/>
          <w:sz w:val="20"/>
          <w:lang w:eastAsia="cs-CZ"/>
        </w:rPr>
        <w:t xml:space="preserve"> čj. 15</w:t>
      </w:r>
      <w:r>
        <w:rPr>
          <w:rFonts w:cs="Calibri"/>
          <w:color w:val="auto"/>
          <w:sz w:val="20"/>
          <w:lang w:eastAsia="cs-CZ"/>
        </w:rPr>
        <w:t>40</w:t>
      </w:r>
      <w:r w:rsidR="006F0C7E" w:rsidRPr="00361B04">
        <w:rPr>
          <w:rFonts w:cs="Calibri"/>
          <w:color w:val="auto"/>
          <w:sz w:val="20"/>
          <w:lang w:eastAsia="cs-CZ"/>
        </w:rPr>
        <w:t>-II ze dne 1. října 1927 byly pro negativní hlášení místo prázdných obálek zavedeny dopisnice</w:t>
      </w:r>
    </w:p>
    <w:p w:rsidR="00014C2C" w:rsidRDefault="008E0F90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page"/>
      </w: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F8178F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620.25pt">
            <v:imagedata r:id="rId7" o:title=""/>
          </v:shape>
        </w:pict>
      </w: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F8178F" w:rsidRDefault="00F8178F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F8178F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pict>
          <v:shape id="_x0000_i1026" type="#_x0000_t75" style="width:481.5pt;height:659.25pt">
            <v:imagedata r:id="rId8" o:title=""/>
          </v:shape>
        </w:pict>
      </w: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  <w:bookmarkStart w:id="0" w:name="_GoBack"/>
      <w:bookmarkEnd w:id="0"/>
    </w:p>
    <w:p w:rsidR="00014C2C" w:rsidRPr="00BF3317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sectPr w:rsidR="00014C2C" w:rsidRPr="00BF3317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62E18"/>
    <w:multiLevelType w:val="hybridMultilevel"/>
    <w:tmpl w:val="62828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F22162"/>
    <w:multiLevelType w:val="hybridMultilevel"/>
    <w:tmpl w:val="BF862900"/>
    <w:lvl w:ilvl="0" w:tplc="4178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706"/>
    <w:rsid w:val="0001102E"/>
    <w:rsid w:val="00011C5D"/>
    <w:rsid w:val="00014C2C"/>
    <w:rsid w:val="0003244C"/>
    <w:rsid w:val="00035C32"/>
    <w:rsid w:val="00044DFF"/>
    <w:rsid w:val="000467AC"/>
    <w:rsid w:val="00053911"/>
    <w:rsid w:val="00060094"/>
    <w:rsid w:val="00061E9F"/>
    <w:rsid w:val="000655D0"/>
    <w:rsid w:val="00080666"/>
    <w:rsid w:val="000C5E5A"/>
    <w:rsid w:val="000D681C"/>
    <w:rsid w:val="000E614E"/>
    <w:rsid w:val="000F6561"/>
    <w:rsid w:val="0010264D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D5C72"/>
    <w:rsid w:val="001F1CCE"/>
    <w:rsid w:val="001F7400"/>
    <w:rsid w:val="002066D3"/>
    <w:rsid w:val="0020710E"/>
    <w:rsid w:val="00212720"/>
    <w:rsid w:val="0023033A"/>
    <w:rsid w:val="00231A1A"/>
    <w:rsid w:val="00246D38"/>
    <w:rsid w:val="002477E1"/>
    <w:rsid w:val="0025229C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D1D60"/>
    <w:rsid w:val="002F0AC7"/>
    <w:rsid w:val="002F4328"/>
    <w:rsid w:val="00305B2B"/>
    <w:rsid w:val="003100E5"/>
    <w:rsid w:val="00311706"/>
    <w:rsid w:val="003161AF"/>
    <w:rsid w:val="00325E6D"/>
    <w:rsid w:val="0033408D"/>
    <w:rsid w:val="003538B0"/>
    <w:rsid w:val="00361B04"/>
    <w:rsid w:val="00364050"/>
    <w:rsid w:val="003703A9"/>
    <w:rsid w:val="003752F6"/>
    <w:rsid w:val="00385075"/>
    <w:rsid w:val="00385441"/>
    <w:rsid w:val="00387E9E"/>
    <w:rsid w:val="003A453D"/>
    <w:rsid w:val="003A4732"/>
    <w:rsid w:val="003B11C1"/>
    <w:rsid w:val="003B4D89"/>
    <w:rsid w:val="003C4E35"/>
    <w:rsid w:val="003D3307"/>
    <w:rsid w:val="003F7291"/>
    <w:rsid w:val="00413D65"/>
    <w:rsid w:val="00424A7F"/>
    <w:rsid w:val="0043120C"/>
    <w:rsid w:val="00431C15"/>
    <w:rsid w:val="00436FF7"/>
    <w:rsid w:val="00437557"/>
    <w:rsid w:val="004437FC"/>
    <w:rsid w:val="00462941"/>
    <w:rsid w:val="00465053"/>
    <w:rsid w:val="004708A6"/>
    <w:rsid w:val="0048678F"/>
    <w:rsid w:val="00492EBE"/>
    <w:rsid w:val="00492F3E"/>
    <w:rsid w:val="00494849"/>
    <w:rsid w:val="004A08D4"/>
    <w:rsid w:val="004A0D81"/>
    <w:rsid w:val="004A1B4C"/>
    <w:rsid w:val="004B1595"/>
    <w:rsid w:val="004C2CCA"/>
    <w:rsid w:val="004D69F6"/>
    <w:rsid w:val="004E40E3"/>
    <w:rsid w:val="00510BF6"/>
    <w:rsid w:val="005155A2"/>
    <w:rsid w:val="00515931"/>
    <w:rsid w:val="00531E30"/>
    <w:rsid w:val="00535920"/>
    <w:rsid w:val="00536B86"/>
    <w:rsid w:val="005730A6"/>
    <w:rsid w:val="00576B43"/>
    <w:rsid w:val="00581A8E"/>
    <w:rsid w:val="005964D0"/>
    <w:rsid w:val="005969F9"/>
    <w:rsid w:val="005B098F"/>
    <w:rsid w:val="005C0809"/>
    <w:rsid w:val="005D0584"/>
    <w:rsid w:val="005D2F28"/>
    <w:rsid w:val="005E16D6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56B22"/>
    <w:rsid w:val="00684E77"/>
    <w:rsid w:val="00690A64"/>
    <w:rsid w:val="00694355"/>
    <w:rsid w:val="0069446A"/>
    <w:rsid w:val="006A21D5"/>
    <w:rsid w:val="006A2F06"/>
    <w:rsid w:val="006C29D0"/>
    <w:rsid w:val="006C6F30"/>
    <w:rsid w:val="006D3814"/>
    <w:rsid w:val="006D41FD"/>
    <w:rsid w:val="006D66E0"/>
    <w:rsid w:val="006F0C7E"/>
    <w:rsid w:val="006F1188"/>
    <w:rsid w:val="006F5744"/>
    <w:rsid w:val="006F6686"/>
    <w:rsid w:val="00714E17"/>
    <w:rsid w:val="007230CB"/>
    <w:rsid w:val="0072390D"/>
    <w:rsid w:val="00733168"/>
    <w:rsid w:val="007504AB"/>
    <w:rsid w:val="007566D5"/>
    <w:rsid w:val="00757F8E"/>
    <w:rsid w:val="007673E6"/>
    <w:rsid w:val="00774160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B70B2"/>
    <w:rsid w:val="007F78B2"/>
    <w:rsid w:val="008057C1"/>
    <w:rsid w:val="008076EE"/>
    <w:rsid w:val="0081017F"/>
    <w:rsid w:val="008143F9"/>
    <w:rsid w:val="00823682"/>
    <w:rsid w:val="008258BC"/>
    <w:rsid w:val="00825EE1"/>
    <w:rsid w:val="0084566D"/>
    <w:rsid w:val="008511D8"/>
    <w:rsid w:val="008871AB"/>
    <w:rsid w:val="008943C3"/>
    <w:rsid w:val="008A653B"/>
    <w:rsid w:val="008B0F1D"/>
    <w:rsid w:val="008B3BC0"/>
    <w:rsid w:val="008C0A63"/>
    <w:rsid w:val="008C78FF"/>
    <w:rsid w:val="008E0F90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E3C9F"/>
    <w:rsid w:val="009F2ECA"/>
    <w:rsid w:val="009F41B2"/>
    <w:rsid w:val="00A144CC"/>
    <w:rsid w:val="00A147A9"/>
    <w:rsid w:val="00A15C7E"/>
    <w:rsid w:val="00A16BB2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B27B6"/>
    <w:rsid w:val="00AB548B"/>
    <w:rsid w:val="00AD5B78"/>
    <w:rsid w:val="00AE1179"/>
    <w:rsid w:val="00AF3A3C"/>
    <w:rsid w:val="00AF4A33"/>
    <w:rsid w:val="00B02C94"/>
    <w:rsid w:val="00B06260"/>
    <w:rsid w:val="00B22FF3"/>
    <w:rsid w:val="00B23C59"/>
    <w:rsid w:val="00B24A40"/>
    <w:rsid w:val="00B3084D"/>
    <w:rsid w:val="00B34521"/>
    <w:rsid w:val="00B34D40"/>
    <w:rsid w:val="00B444E0"/>
    <w:rsid w:val="00B52790"/>
    <w:rsid w:val="00B560A5"/>
    <w:rsid w:val="00B63C54"/>
    <w:rsid w:val="00B750C3"/>
    <w:rsid w:val="00B76AFC"/>
    <w:rsid w:val="00B9411F"/>
    <w:rsid w:val="00BC3289"/>
    <w:rsid w:val="00BD03B1"/>
    <w:rsid w:val="00BD5EFE"/>
    <w:rsid w:val="00BF0754"/>
    <w:rsid w:val="00BF321F"/>
    <w:rsid w:val="00BF3317"/>
    <w:rsid w:val="00BF70EE"/>
    <w:rsid w:val="00C03288"/>
    <w:rsid w:val="00C10BEF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3A7D"/>
    <w:rsid w:val="00C87796"/>
    <w:rsid w:val="00C93391"/>
    <w:rsid w:val="00C95790"/>
    <w:rsid w:val="00C976C9"/>
    <w:rsid w:val="00CA394C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0F43"/>
    <w:rsid w:val="00D92996"/>
    <w:rsid w:val="00D96BE2"/>
    <w:rsid w:val="00DA46C9"/>
    <w:rsid w:val="00DA4727"/>
    <w:rsid w:val="00DB0642"/>
    <w:rsid w:val="00DB3398"/>
    <w:rsid w:val="00DC0A12"/>
    <w:rsid w:val="00DC64D7"/>
    <w:rsid w:val="00DD21F3"/>
    <w:rsid w:val="00DE0CD6"/>
    <w:rsid w:val="00E03C50"/>
    <w:rsid w:val="00E04A91"/>
    <w:rsid w:val="00E1083D"/>
    <w:rsid w:val="00E11A70"/>
    <w:rsid w:val="00E14144"/>
    <w:rsid w:val="00E20C0D"/>
    <w:rsid w:val="00E37CE6"/>
    <w:rsid w:val="00E511E5"/>
    <w:rsid w:val="00E52D0B"/>
    <w:rsid w:val="00E62A34"/>
    <w:rsid w:val="00E6709D"/>
    <w:rsid w:val="00E75B80"/>
    <w:rsid w:val="00E92F65"/>
    <w:rsid w:val="00E93C4B"/>
    <w:rsid w:val="00EA5CE3"/>
    <w:rsid w:val="00EB6333"/>
    <w:rsid w:val="00EC6905"/>
    <w:rsid w:val="00EE445D"/>
    <w:rsid w:val="00EF2377"/>
    <w:rsid w:val="00EF3B58"/>
    <w:rsid w:val="00EF685F"/>
    <w:rsid w:val="00EF690E"/>
    <w:rsid w:val="00F043E9"/>
    <w:rsid w:val="00F0707C"/>
    <w:rsid w:val="00F17AE6"/>
    <w:rsid w:val="00F2431B"/>
    <w:rsid w:val="00F325B9"/>
    <w:rsid w:val="00F3440C"/>
    <w:rsid w:val="00F44FF7"/>
    <w:rsid w:val="00F507D4"/>
    <w:rsid w:val="00F5489E"/>
    <w:rsid w:val="00F604D1"/>
    <w:rsid w:val="00F710F8"/>
    <w:rsid w:val="00F76E86"/>
    <w:rsid w:val="00F8178F"/>
    <w:rsid w:val="00FA5E98"/>
    <w:rsid w:val="00FB0B6D"/>
    <w:rsid w:val="00FC25EF"/>
    <w:rsid w:val="00FD580A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semiHidden/>
    <w:rsid w:val="006F0C7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6F0C7E"/>
    <w:rPr>
      <w:rFonts w:ascii="Arial" w:eastAsia="Times New Roman" w:hAnsi="Arial" w:cs="Calibr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67B96-DB64-455A-82F0-74EBBC9D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7</Pages>
  <Words>1985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150</cp:revision>
  <cp:lastPrinted>2016-12-13T08:37:00Z</cp:lastPrinted>
  <dcterms:created xsi:type="dcterms:W3CDTF">2014-01-13T11:35:00Z</dcterms:created>
  <dcterms:modified xsi:type="dcterms:W3CDTF">2017-02-22T09:49:00Z</dcterms:modified>
</cp:coreProperties>
</file>