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Override4.xml" ContentType="application/vnd.openxmlformats-officedocument.themeOverride+xml"/>
  <Override PartName="/word/drawings/drawing4.xml" ContentType="application/vnd.openxmlformats-officedocument.drawingml.chartshapes+xml"/>
  <Override PartName="/word/charts/chart6.xml" ContentType="application/vnd.openxmlformats-officedocument.drawingml.chart+xml"/>
  <Override PartName="/word/theme/themeOverride5.xml" ContentType="application/vnd.openxmlformats-officedocument.themeOverride+xml"/>
  <Override PartName="/word/drawings/drawing5.xml" ContentType="application/vnd.openxmlformats-officedocument.drawingml.chartshapes+xml"/>
  <Override PartName="/word/charts/chart7.xml" ContentType="application/vnd.openxmlformats-officedocument.drawingml.chart+xml"/>
  <Override PartName="/word/theme/themeOverride6.xml" ContentType="application/vnd.openxmlformats-officedocument.themeOverride+xml"/>
  <Override PartName="/word/drawings/drawing6.xml" ContentType="application/vnd.openxmlformats-officedocument.drawingml.chartshapes+xml"/>
  <Override PartName="/word/charts/chart8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7.xml" ContentType="application/vnd.openxmlformats-officedocument.themeOverride+xml"/>
  <Override PartName="/word/charts/chart9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8.xml" ContentType="application/vnd.openxmlformats-officedocument.themeOverride+xml"/>
  <Override PartName="/word/charts/chart10.xml" ContentType="application/vnd.openxmlformats-officedocument.drawingml.chart+xml"/>
  <Override PartName="/word/theme/themeOverride9.xml" ContentType="application/vnd.openxmlformats-officedocument.themeOverride+xml"/>
  <Override PartName="/word/drawings/drawing7.xml" ContentType="application/vnd.openxmlformats-officedocument.drawingml.chartshapes+xml"/>
  <Override PartName="/word/charts/chart11.xml" ContentType="application/vnd.openxmlformats-officedocument.drawingml.chart+xml"/>
  <Override PartName="/word/theme/themeOverride10.xml" ContentType="application/vnd.openxmlformats-officedocument.themeOverride+xml"/>
  <Override PartName="/word/drawings/drawing8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027BF" w14:textId="39C2C02B" w:rsidR="00F74230" w:rsidRPr="00004A55" w:rsidRDefault="007033AB" w:rsidP="00F74230">
      <w:pPr>
        <w:pStyle w:val="Nadpis1"/>
        <w:numPr>
          <w:ilvl w:val="0"/>
          <w:numId w:val="0"/>
        </w:numPr>
        <w:spacing w:before="1320"/>
        <w:ind w:left="431" w:hanging="431"/>
        <w:rPr>
          <w:rFonts w:ascii="Arial" w:hAnsi="Arial" w:cs="Arial"/>
          <w:color w:val="BD1B21"/>
          <w:sz w:val="56"/>
          <w:szCs w:val="56"/>
        </w:rPr>
      </w:pPr>
      <w:bookmarkStart w:id="0" w:name="_Toc408832671"/>
      <w:r w:rsidRPr="00004A55">
        <w:rPr>
          <w:rFonts w:ascii="Arial" w:hAnsi="Arial" w:cs="Arial"/>
          <w:b w:val="0"/>
          <w:bCs w:val="0"/>
          <w:noProof/>
          <w:color w:val="BD1B21"/>
          <w:sz w:val="56"/>
          <w:szCs w:val="56"/>
          <w:lang w:val="cs-CZ" w:eastAsia="cs-CZ"/>
        </w:rPr>
        <w:drawing>
          <wp:anchor distT="0" distB="0" distL="114300" distR="114300" simplePos="0" relativeHeight="251659264" behindDoc="0" locked="0" layoutInCell="1" allowOverlap="1" wp14:anchorId="27E16D8E" wp14:editId="21D6C490">
            <wp:simplePos x="0" y="0"/>
            <wp:positionH relativeFrom="margin">
              <wp:align>left</wp:align>
            </wp:positionH>
            <wp:positionV relativeFrom="page">
              <wp:posOffset>504825</wp:posOffset>
            </wp:positionV>
            <wp:extent cx="6000750" cy="438150"/>
            <wp:effectExtent l="0" t="0" r="0" b="0"/>
            <wp:wrapNone/>
            <wp:docPr id="26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4391" b="57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3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4970" w:rsidRPr="00004A55">
        <w:rPr>
          <w:rFonts w:ascii="Arial" w:hAnsi="Arial" w:cs="Arial"/>
          <w:color w:val="BD1B21"/>
          <w:sz w:val="56"/>
          <w:szCs w:val="56"/>
        </w:rPr>
        <w:t xml:space="preserve">Životní podmínky </w:t>
      </w:r>
      <w:r w:rsidR="00E67DEF" w:rsidRPr="00004A55">
        <w:rPr>
          <w:rFonts w:ascii="Arial" w:hAnsi="Arial" w:cs="Arial"/>
          <w:color w:val="BD1B21"/>
          <w:sz w:val="56"/>
          <w:szCs w:val="56"/>
        </w:rPr>
        <w:t>20</w:t>
      </w:r>
      <w:r w:rsidR="00C376E1" w:rsidRPr="00004A55">
        <w:rPr>
          <w:rFonts w:ascii="Arial" w:hAnsi="Arial" w:cs="Arial"/>
          <w:color w:val="BD1B21"/>
          <w:sz w:val="56"/>
          <w:szCs w:val="56"/>
          <w:lang w:val="cs-CZ"/>
        </w:rPr>
        <w:t>2</w:t>
      </w:r>
      <w:r w:rsidR="00E253F2" w:rsidRPr="00004A55">
        <w:rPr>
          <w:rFonts w:ascii="Arial" w:hAnsi="Arial" w:cs="Arial"/>
          <w:color w:val="BD1B21"/>
          <w:sz w:val="56"/>
          <w:szCs w:val="56"/>
          <w:lang w:val="cs-CZ"/>
        </w:rPr>
        <w:t>5</w:t>
      </w:r>
    </w:p>
    <w:p w14:paraId="40D46468" w14:textId="38EA9568" w:rsidR="00034970" w:rsidRPr="00004A55" w:rsidRDefault="00004A55" w:rsidP="00533212">
      <w:pPr>
        <w:spacing w:before="240" w:after="120" w:line="288" w:lineRule="auto"/>
        <w:rPr>
          <w:rFonts w:cs="Arial"/>
          <w:b/>
          <w:sz w:val="26"/>
          <w:szCs w:val="26"/>
        </w:rPr>
      </w:pPr>
      <w:r>
        <w:rPr>
          <w:rFonts w:cs="Arial"/>
          <w:b/>
          <w:sz w:val="26"/>
          <w:szCs w:val="26"/>
        </w:rPr>
        <w:t>Zjišťování</w:t>
      </w:r>
      <w:r w:rsidR="00034970" w:rsidRPr="00004A55">
        <w:rPr>
          <w:rFonts w:cs="Arial"/>
          <w:b/>
          <w:sz w:val="26"/>
          <w:szCs w:val="26"/>
        </w:rPr>
        <w:t xml:space="preserve"> Životní podmínky</w:t>
      </w:r>
    </w:p>
    <w:p w14:paraId="0725345E" w14:textId="2AA2D860" w:rsidR="00025FAC" w:rsidRPr="00004A55" w:rsidRDefault="00C406A3" w:rsidP="00004A55">
      <w:pPr>
        <w:rPr>
          <w:rFonts w:cs="Arial"/>
        </w:rPr>
      </w:pPr>
      <w:r w:rsidRPr="00004A55">
        <w:rPr>
          <w:rFonts w:cs="Arial"/>
        </w:rPr>
        <w:t xml:space="preserve">Výběrové </w:t>
      </w:r>
      <w:r w:rsidR="00004A55">
        <w:rPr>
          <w:rFonts w:cs="Arial"/>
        </w:rPr>
        <w:t>zjišťování</w:t>
      </w:r>
      <w:r w:rsidR="00C376E1" w:rsidRPr="00004A55">
        <w:rPr>
          <w:rFonts w:cs="Arial"/>
        </w:rPr>
        <w:t xml:space="preserve"> </w:t>
      </w:r>
      <w:r w:rsidR="000C5447" w:rsidRPr="00004A55">
        <w:rPr>
          <w:rFonts w:cs="Arial"/>
        </w:rPr>
        <w:t>p</w:t>
      </w:r>
      <w:r w:rsidR="00C376E1" w:rsidRPr="00004A55">
        <w:rPr>
          <w:rFonts w:cs="Arial"/>
        </w:rPr>
        <w:t>od</w:t>
      </w:r>
      <w:r w:rsidRPr="00004A55">
        <w:rPr>
          <w:rFonts w:cs="Arial"/>
          <w:spacing w:val="-20"/>
        </w:rPr>
        <w:t> </w:t>
      </w:r>
      <w:r w:rsidRPr="00004A55">
        <w:rPr>
          <w:rFonts w:cs="Arial"/>
        </w:rPr>
        <w:t>názvem</w:t>
      </w:r>
      <w:r w:rsidR="00004A55">
        <w:rPr>
          <w:rFonts w:cs="Arial"/>
        </w:rPr>
        <w:t xml:space="preserve"> </w:t>
      </w:r>
      <w:r w:rsidRPr="00004A55">
        <w:rPr>
          <w:rFonts w:cs="Arial"/>
          <w:i/>
        </w:rPr>
        <w:t>Životní</w:t>
      </w:r>
      <w:r w:rsidRPr="00004A55">
        <w:rPr>
          <w:rFonts w:cs="Arial"/>
          <w:i/>
          <w:spacing w:val="-20"/>
        </w:rPr>
        <w:t xml:space="preserve"> </w:t>
      </w:r>
      <w:r w:rsidRPr="00004A55">
        <w:rPr>
          <w:rFonts w:cs="Arial"/>
          <w:i/>
        </w:rPr>
        <w:t>podmínky</w:t>
      </w:r>
      <w:r w:rsidR="00025FAC" w:rsidRPr="00004A55">
        <w:rPr>
          <w:rFonts w:cs="Arial"/>
        </w:rPr>
        <w:t xml:space="preserve"> poskytuje informace o životní úrovni českých domácností</w:t>
      </w:r>
      <w:r w:rsidR="00C376E1" w:rsidRPr="00004A55">
        <w:rPr>
          <w:rFonts w:cs="Arial"/>
        </w:rPr>
        <w:t>. V</w:t>
      </w:r>
      <w:r w:rsidRPr="00004A55">
        <w:rPr>
          <w:rFonts w:cs="Arial"/>
        </w:rPr>
        <w:t xml:space="preserve"> České republice </w:t>
      </w:r>
      <w:r w:rsidR="00C376E1" w:rsidRPr="00004A55">
        <w:rPr>
          <w:rFonts w:cs="Arial"/>
        </w:rPr>
        <w:t xml:space="preserve">probíhá již </w:t>
      </w:r>
      <w:r w:rsidRPr="00004A55">
        <w:rPr>
          <w:rFonts w:cs="Arial"/>
        </w:rPr>
        <w:t>od roku 2005</w:t>
      </w:r>
      <w:r w:rsidR="00C376E1" w:rsidRPr="00004A55">
        <w:rPr>
          <w:rFonts w:cs="Arial"/>
        </w:rPr>
        <w:t xml:space="preserve"> jakožto národní verze </w:t>
      </w:r>
      <w:r w:rsidRPr="00004A55">
        <w:rPr>
          <w:rFonts w:cs="Arial"/>
        </w:rPr>
        <w:t xml:space="preserve">evropského statistického </w:t>
      </w:r>
      <w:r w:rsidR="004728DB" w:rsidRPr="00004A55">
        <w:rPr>
          <w:rFonts w:cs="Arial"/>
        </w:rPr>
        <w:t xml:space="preserve">zjišťování </w:t>
      </w:r>
      <w:r w:rsidRPr="00004A55">
        <w:rPr>
          <w:rFonts w:cs="Arial"/>
        </w:rPr>
        <w:t>EU-SILC (</w:t>
      </w:r>
      <w:proofErr w:type="spellStart"/>
      <w:r w:rsidRPr="00004A55">
        <w:rPr>
          <w:rFonts w:cs="Arial"/>
        </w:rPr>
        <w:t>European</w:t>
      </w:r>
      <w:proofErr w:type="spellEnd"/>
      <w:r w:rsidRPr="00004A55">
        <w:rPr>
          <w:rFonts w:cs="Arial"/>
        </w:rPr>
        <w:t xml:space="preserve"> Union – </w:t>
      </w:r>
      <w:proofErr w:type="spellStart"/>
      <w:r w:rsidRPr="00004A55">
        <w:rPr>
          <w:rFonts w:cs="Arial"/>
        </w:rPr>
        <w:t>Statistics</w:t>
      </w:r>
      <w:proofErr w:type="spellEnd"/>
      <w:r w:rsidRPr="00004A55">
        <w:rPr>
          <w:rFonts w:cs="Arial"/>
        </w:rPr>
        <w:t xml:space="preserve"> on </w:t>
      </w:r>
      <w:proofErr w:type="spellStart"/>
      <w:r w:rsidRPr="00004A55">
        <w:rPr>
          <w:rFonts w:cs="Arial"/>
        </w:rPr>
        <w:t>Income</w:t>
      </w:r>
      <w:proofErr w:type="spellEnd"/>
      <w:r w:rsidRPr="00004A55">
        <w:rPr>
          <w:rFonts w:cs="Arial"/>
        </w:rPr>
        <w:t xml:space="preserve"> and </w:t>
      </w:r>
      <w:proofErr w:type="spellStart"/>
      <w:r w:rsidRPr="00004A55">
        <w:rPr>
          <w:rFonts w:cs="Arial"/>
        </w:rPr>
        <w:t>Living</w:t>
      </w:r>
      <w:proofErr w:type="spellEnd"/>
      <w:r w:rsidRPr="00004A55">
        <w:rPr>
          <w:rFonts w:cs="Arial"/>
        </w:rPr>
        <w:t xml:space="preserve"> </w:t>
      </w:r>
      <w:proofErr w:type="spellStart"/>
      <w:r w:rsidRPr="00004A55">
        <w:rPr>
          <w:rFonts w:cs="Arial"/>
        </w:rPr>
        <w:t>Conditions</w:t>
      </w:r>
      <w:proofErr w:type="spellEnd"/>
      <w:r w:rsidRPr="00004A55">
        <w:rPr>
          <w:rFonts w:cs="Arial"/>
        </w:rPr>
        <w:t>).</w:t>
      </w:r>
    </w:p>
    <w:p w14:paraId="52E015C0" w14:textId="69A7EC7B" w:rsidR="00664E38" w:rsidRPr="00004A55" w:rsidRDefault="000C5447" w:rsidP="00004A55">
      <w:pPr>
        <w:rPr>
          <w:rFonts w:cs="Arial"/>
        </w:rPr>
      </w:pPr>
      <w:r w:rsidRPr="00004A55">
        <w:rPr>
          <w:rFonts w:cs="Arial"/>
        </w:rPr>
        <w:t>Podobně j</w:t>
      </w:r>
      <w:r w:rsidR="00025FAC" w:rsidRPr="00004A55">
        <w:rPr>
          <w:rFonts w:cs="Arial"/>
        </w:rPr>
        <w:t>ako v </w:t>
      </w:r>
      <w:r w:rsidR="000E10F9" w:rsidRPr="00004A55">
        <w:rPr>
          <w:rFonts w:cs="Arial"/>
        </w:rPr>
        <w:t>předchozích</w:t>
      </w:r>
      <w:r w:rsidR="00025FAC" w:rsidRPr="00004A55">
        <w:rPr>
          <w:rFonts w:cs="Arial"/>
        </w:rPr>
        <w:t xml:space="preserve"> letech bylo </w:t>
      </w:r>
      <w:r w:rsidR="000E10F9" w:rsidRPr="00004A55">
        <w:rPr>
          <w:rFonts w:cs="Arial"/>
        </w:rPr>
        <w:t>v roce 202</w:t>
      </w:r>
      <w:r w:rsidR="002565D4" w:rsidRPr="00004A55">
        <w:rPr>
          <w:rFonts w:cs="Arial"/>
        </w:rPr>
        <w:t>5</w:t>
      </w:r>
      <w:r w:rsidR="000E10F9" w:rsidRPr="00004A55">
        <w:rPr>
          <w:rFonts w:cs="Arial"/>
        </w:rPr>
        <w:t xml:space="preserve"> </w:t>
      </w:r>
      <w:r w:rsidR="00025FAC" w:rsidRPr="00004A55">
        <w:rPr>
          <w:rFonts w:cs="Arial"/>
        </w:rPr>
        <w:t>o</w:t>
      </w:r>
      <w:r w:rsidR="0033001F" w:rsidRPr="00004A55">
        <w:rPr>
          <w:rFonts w:cs="Arial"/>
        </w:rPr>
        <w:t>sloveno př</w:t>
      </w:r>
      <w:r w:rsidRPr="00004A55">
        <w:rPr>
          <w:rFonts w:cs="Arial"/>
        </w:rPr>
        <w:t>ibližně 11,</w:t>
      </w:r>
      <w:r w:rsidR="002A2E8E" w:rsidRPr="00004A55">
        <w:rPr>
          <w:rFonts w:cs="Arial"/>
        </w:rPr>
        <w:t>3</w:t>
      </w:r>
      <w:r w:rsidRPr="00004A55">
        <w:rPr>
          <w:rFonts w:cs="Arial"/>
        </w:rPr>
        <w:t xml:space="preserve"> tisíce domácností v</w:t>
      </w:r>
      <w:r w:rsidR="0033001F" w:rsidRPr="00004A55">
        <w:rPr>
          <w:rFonts w:cs="Arial"/>
        </w:rPr>
        <w:t>e všech kraj</w:t>
      </w:r>
      <w:r w:rsidRPr="00004A55">
        <w:rPr>
          <w:rFonts w:cs="Arial"/>
        </w:rPr>
        <w:t>ích r</w:t>
      </w:r>
      <w:r w:rsidR="0033001F" w:rsidRPr="00004A55">
        <w:rPr>
          <w:rFonts w:cs="Arial"/>
        </w:rPr>
        <w:t xml:space="preserve">epubliky. </w:t>
      </w:r>
      <w:r w:rsidR="000E10F9" w:rsidRPr="00004A55">
        <w:rPr>
          <w:rFonts w:cs="Arial"/>
        </w:rPr>
        <w:t>T</w:t>
      </w:r>
      <w:r w:rsidR="00025FAC" w:rsidRPr="00004A55">
        <w:rPr>
          <w:rFonts w:cs="Arial"/>
        </w:rPr>
        <w:t>azatelé</w:t>
      </w:r>
      <w:r w:rsidR="00034970" w:rsidRPr="00004A55">
        <w:rPr>
          <w:rFonts w:cs="Arial"/>
        </w:rPr>
        <w:t xml:space="preserve"> zjišť</w:t>
      </w:r>
      <w:r w:rsidR="00025FAC" w:rsidRPr="00004A55">
        <w:rPr>
          <w:rFonts w:cs="Arial"/>
        </w:rPr>
        <w:t>ovali</w:t>
      </w:r>
      <w:r w:rsidR="00034970" w:rsidRPr="00004A55">
        <w:rPr>
          <w:rFonts w:cs="Arial"/>
        </w:rPr>
        <w:t xml:space="preserve"> údaje o</w:t>
      </w:r>
      <w:r w:rsidR="00190BF7" w:rsidRPr="00004A55">
        <w:rPr>
          <w:rFonts w:cs="Arial"/>
        </w:rPr>
        <w:t> </w:t>
      </w:r>
      <w:r w:rsidR="00034970" w:rsidRPr="00004A55">
        <w:rPr>
          <w:rFonts w:cs="Arial"/>
        </w:rPr>
        <w:t xml:space="preserve">věku, </w:t>
      </w:r>
      <w:r w:rsidRPr="00004A55">
        <w:rPr>
          <w:rFonts w:cs="Arial"/>
        </w:rPr>
        <w:t xml:space="preserve">vzdělání, </w:t>
      </w:r>
      <w:r w:rsidR="00034970" w:rsidRPr="00004A55">
        <w:rPr>
          <w:rFonts w:cs="Arial"/>
        </w:rPr>
        <w:t>ekonomické aktivitě, zdravotním stavu</w:t>
      </w:r>
      <w:r w:rsidR="00692196" w:rsidRPr="00004A55">
        <w:rPr>
          <w:rFonts w:cs="Arial"/>
        </w:rPr>
        <w:t>, sociálních podmínkách</w:t>
      </w:r>
      <w:r w:rsidR="00034970" w:rsidRPr="00004A55">
        <w:rPr>
          <w:rFonts w:cs="Arial"/>
        </w:rPr>
        <w:t xml:space="preserve"> </w:t>
      </w:r>
      <w:r w:rsidR="008B5990" w:rsidRPr="00004A55">
        <w:rPr>
          <w:rFonts w:cs="Arial"/>
        </w:rPr>
        <w:t>a</w:t>
      </w:r>
      <w:r w:rsidR="00357DB5" w:rsidRPr="00004A55">
        <w:rPr>
          <w:rFonts w:cs="Arial"/>
        </w:rPr>
        <w:t> </w:t>
      </w:r>
      <w:r w:rsidR="00034970" w:rsidRPr="00004A55">
        <w:rPr>
          <w:rFonts w:cs="Arial"/>
        </w:rPr>
        <w:t>příjmech</w:t>
      </w:r>
      <w:r w:rsidR="000E10F9" w:rsidRPr="00004A55">
        <w:rPr>
          <w:rFonts w:cs="Arial"/>
        </w:rPr>
        <w:t xml:space="preserve"> jednotlivých členů vybraných domácností</w:t>
      </w:r>
      <w:r w:rsidR="00034970" w:rsidRPr="00004A55">
        <w:rPr>
          <w:rFonts w:cs="Arial"/>
        </w:rPr>
        <w:t xml:space="preserve">. </w:t>
      </w:r>
      <w:r w:rsidR="00664E38" w:rsidRPr="00004A55">
        <w:rPr>
          <w:rFonts w:cs="Arial"/>
        </w:rPr>
        <w:t xml:space="preserve">Celé domácnosti se pak týkaly dotazy z dalších oblastí, </w:t>
      </w:r>
      <w:r w:rsidR="00034970" w:rsidRPr="00004A55">
        <w:rPr>
          <w:rFonts w:cs="Arial"/>
        </w:rPr>
        <w:t xml:space="preserve">jako jsou materiální podmínky či kvalita </w:t>
      </w:r>
      <w:r w:rsidR="00692196" w:rsidRPr="00004A55">
        <w:rPr>
          <w:rFonts w:cs="Arial"/>
        </w:rPr>
        <w:t xml:space="preserve">a finanční náročnost </w:t>
      </w:r>
      <w:r w:rsidR="00034970" w:rsidRPr="00004A55">
        <w:rPr>
          <w:rFonts w:cs="Arial"/>
        </w:rPr>
        <w:t xml:space="preserve">bydlení. </w:t>
      </w:r>
    </w:p>
    <w:p w14:paraId="79D00DCF" w14:textId="1562F1EC" w:rsidR="003D4EE7" w:rsidRPr="00004A55" w:rsidRDefault="00664E38" w:rsidP="00004A55">
      <w:pPr>
        <w:rPr>
          <w:rFonts w:cs="Arial"/>
          <w:szCs w:val="24"/>
        </w:rPr>
      </w:pPr>
      <w:r w:rsidRPr="00004A55">
        <w:rPr>
          <w:rFonts w:cs="Arial"/>
          <w:szCs w:val="24"/>
        </w:rPr>
        <w:t xml:space="preserve">Součástí </w:t>
      </w:r>
      <w:r w:rsidR="00004A55">
        <w:rPr>
          <w:rFonts w:cs="Arial"/>
          <w:szCs w:val="24"/>
        </w:rPr>
        <w:t>zjišťování</w:t>
      </w:r>
      <w:r w:rsidRPr="00004A55">
        <w:rPr>
          <w:rFonts w:cs="Arial"/>
          <w:szCs w:val="24"/>
        </w:rPr>
        <w:t xml:space="preserve"> </w:t>
      </w:r>
      <w:r w:rsidRPr="00004A55">
        <w:rPr>
          <w:rFonts w:cs="Arial"/>
          <w:i/>
          <w:iCs/>
          <w:szCs w:val="24"/>
        </w:rPr>
        <w:t xml:space="preserve">Životní podmínky </w:t>
      </w:r>
      <w:r w:rsidRPr="00004A55">
        <w:rPr>
          <w:rFonts w:cs="Arial"/>
          <w:szCs w:val="24"/>
        </w:rPr>
        <w:t>bývá každ</w:t>
      </w:r>
      <w:r w:rsidR="000C5447" w:rsidRPr="00004A55">
        <w:rPr>
          <w:rFonts w:cs="Arial"/>
          <w:szCs w:val="24"/>
        </w:rPr>
        <w:t>or</w:t>
      </w:r>
      <w:r w:rsidRPr="00004A55">
        <w:rPr>
          <w:rFonts w:cs="Arial"/>
          <w:szCs w:val="24"/>
        </w:rPr>
        <w:t>o</w:t>
      </w:r>
      <w:r w:rsidR="000C5447" w:rsidRPr="00004A55">
        <w:rPr>
          <w:rFonts w:cs="Arial"/>
          <w:szCs w:val="24"/>
        </w:rPr>
        <w:t xml:space="preserve">čně </w:t>
      </w:r>
      <w:r w:rsidRPr="00004A55">
        <w:rPr>
          <w:rFonts w:cs="Arial"/>
          <w:szCs w:val="24"/>
        </w:rPr>
        <w:t>také tematický modul s okruhem otázek, které se vztahují k určité oblasti související se životními podmínkam</w:t>
      </w:r>
      <w:r w:rsidR="00AC3D31" w:rsidRPr="00004A55">
        <w:rPr>
          <w:rFonts w:cs="Arial"/>
          <w:szCs w:val="24"/>
        </w:rPr>
        <w:t>i osob a domácností.</w:t>
      </w:r>
      <w:r w:rsidR="003D4EE7" w:rsidRPr="00004A55">
        <w:rPr>
          <w:rFonts w:cs="Arial"/>
          <w:szCs w:val="24"/>
        </w:rPr>
        <w:t xml:space="preserve"> V roce 2025</w:t>
      </w:r>
      <w:r w:rsidR="00933291">
        <w:rPr>
          <w:rFonts w:cs="Arial"/>
          <w:szCs w:val="24"/>
        </w:rPr>
        <w:t> </w:t>
      </w:r>
      <w:r w:rsidR="003D4EE7" w:rsidRPr="00004A55">
        <w:rPr>
          <w:rFonts w:cs="Arial"/>
          <w:szCs w:val="24"/>
        </w:rPr>
        <w:t>se modul soustředil na zdraví a návyky dospělých osob, zejména na index BMI, fyzickou aktivitu, stravu, kouření, alkohol a dopravní preference domácností.</w:t>
      </w:r>
    </w:p>
    <w:p w14:paraId="7B6A34DF" w14:textId="77777777" w:rsidR="00034970" w:rsidRPr="00004A55" w:rsidRDefault="00034970" w:rsidP="00004A55">
      <w:pPr>
        <w:spacing w:before="240" w:after="120" w:line="288" w:lineRule="auto"/>
        <w:rPr>
          <w:rFonts w:cs="Arial"/>
          <w:b/>
          <w:sz w:val="26"/>
          <w:szCs w:val="26"/>
        </w:rPr>
      </w:pPr>
      <w:r w:rsidRPr="00004A55">
        <w:rPr>
          <w:rFonts w:cs="Arial"/>
          <w:b/>
          <w:sz w:val="26"/>
          <w:szCs w:val="26"/>
        </w:rPr>
        <w:t>Příjmy domácností</w:t>
      </w:r>
    </w:p>
    <w:p w14:paraId="303276D2" w14:textId="1DEA05D6" w:rsidR="00A423AB" w:rsidRDefault="00B740C0" w:rsidP="00004A55">
      <w:pPr>
        <w:rPr>
          <w:szCs w:val="24"/>
        </w:rPr>
      </w:pPr>
      <w:r>
        <w:t>Základním u</w:t>
      </w:r>
      <w:r w:rsidR="00034970">
        <w:t xml:space="preserve">kazatelem </w:t>
      </w:r>
      <w:r w:rsidR="00096364">
        <w:t xml:space="preserve">příjmové situace domácností </w:t>
      </w:r>
      <w:r w:rsidR="00F41030">
        <w:t>v</w:t>
      </w:r>
      <w:r w:rsidR="00004A55">
        <w:t>e zjišťová</w:t>
      </w:r>
      <w:r w:rsidR="00034970">
        <w:t xml:space="preserve">ní </w:t>
      </w:r>
      <w:r w:rsidR="00034970" w:rsidRPr="00FA64C3">
        <w:rPr>
          <w:i/>
        </w:rPr>
        <w:t>Životní podmínky</w:t>
      </w:r>
      <w:r>
        <w:rPr>
          <w:i/>
        </w:rPr>
        <w:t xml:space="preserve"> </w:t>
      </w:r>
      <w:r>
        <w:t>je </w:t>
      </w:r>
      <w:r w:rsidR="00034970" w:rsidRPr="00FC398F">
        <w:rPr>
          <w:u w:val="single"/>
        </w:rPr>
        <w:t xml:space="preserve">čistý </w:t>
      </w:r>
      <w:r w:rsidR="009C2FAA" w:rsidRPr="00FC398F">
        <w:rPr>
          <w:u w:val="single"/>
        </w:rPr>
        <w:t>peněžní</w:t>
      </w:r>
      <w:r w:rsidR="00034970" w:rsidRPr="00FC398F">
        <w:rPr>
          <w:u w:val="single"/>
        </w:rPr>
        <w:t xml:space="preserve"> příjem domácnosti</w:t>
      </w:r>
      <w:r w:rsidR="00034970">
        <w:t xml:space="preserve">, který zahrnuje </w:t>
      </w:r>
      <w:r w:rsidR="00A423AB">
        <w:rPr>
          <w:szCs w:val="24"/>
        </w:rPr>
        <w:t>veškeré druhy příjmů všech jejích členů</w:t>
      </w:r>
      <w:r w:rsidR="00A423AB" w:rsidRPr="00A423AB">
        <w:rPr>
          <w:szCs w:val="24"/>
        </w:rPr>
        <w:t xml:space="preserve"> </w:t>
      </w:r>
      <w:r w:rsidR="00A423AB">
        <w:rPr>
          <w:szCs w:val="24"/>
        </w:rPr>
        <w:t xml:space="preserve">po (případném) zdanění. Zejména se jedná o příjmy </w:t>
      </w:r>
      <w:r w:rsidR="00034970">
        <w:t>ze zaměstnání</w:t>
      </w:r>
      <w:r w:rsidR="00034970" w:rsidRPr="00BC177D">
        <w:t xml:space="preserve">, </w:t>
      </w:r>
      <w:r w:rsidR="00034970">
        <w:t>z podnikání či</w:t>
      </w:r>
      <w:r w:rsidR="00034970" w:rsidRPr="00BC177D">
        <w:t xml:space="preserve"> jiné samostatně výdělečné činnosti, příjmy z</w:t>
      </w:r>
      <w:r w:rsidR="00034970">
        <w:t> </w:t>
      </w:r>
      <w:r w:rsidR="009C3092">
        <w:t>dalších</w:t>
      </w:r>
      <w:r w:rsidR="00034970">
        <w:t xml:space="preserve"> zaměstnání </w:t>
      </w:r>
      <w:r w:rsidR="00692196">
        <w:t xml:space="preserve">nebo dohod </w:t>
      </w:r>
      <w:r w:rsidR="00034970">
        <w:t xml:space="preserve">a </w:t>
      </w:r>
      <w:r w:rsidR="00034970" w:rsidRPr="00BC177D">
        <w:t xml:space="preserve">vedlejších činností, </w:t>
      </w:r>
      <w:r w:rsidR="009C3092">
        <w:t>dále zahrnuje důchody</w:t>
      </w:r>
      <w:r w:rsidR="00034970">
        <w:t xml:space="preserve"> a </w:t>
      </w:r>
      <w:r w:rsidR="00034970" w:rsidRPr="00BC177D">
        <w:t xml:space="preserve">sociální dávky, </w:t>
      </w:r>
      <w:r w:rsidR="00034970">
        <w:t xml:space="preserve">příjmy </w:t>
      </w:r>
      <w:r w:rsidR="00A423AB">
        <w:t xml:space="preserve">z pronájmu a </w:t>
      </w:r>
      <w:r w:rsidR="008B5990">
        <w:t>finančních aktiv.</w:t>
      </w:r>
      <w:r w:rsidR="00A423AB">
        <w:t xml:space="preserve"> </w:t>
      </w:r>
      <w:r w:rsidR="009C3092">
        <w:t>Patří sem rovněž</w:t>
      </w:r>
      <w:r w:rsidR="008B5990">
        <w:t xml:space="preserve"> </w:t>
      </w:r>
      <w:r w:rsidR="00A423AB">
        <w:t xml:space="preserve">i </w:t>
      </w:r>
      <w:r w:rsidR="00034970">
        <w:t xml:space="preserve">přijaté výživné a finanční podpora </w:t>
      </w:r>
      <w:r w:rsidR="009C3092">
        <w:t>od</w:t>
      </w:r>
      <w:r w:rsidR="00ED0ED6">
        <w:t> </w:t>
      </w:r>
      <w:r w:rsidR="009C3092">
        <w:t xml:space="preserve">jiných </w:t>
      </w:r>
      <w:r w:rsidR="00034970">
        <w:t>domácnost</w:t>
      </w:r>
      <w:r w:rsidR="009C3092">
        <w:t>í</w:t>
      </w:r>
      <w:r w:rsidR="00034970">
        <w:t xml:space="preserve">. </w:t>
      </w:r>
      <w:r w:rsidR="00A423AB" w:rsidRPr="00A423AB">
        <w:t xml:space="preserve">Pro lepší srovnávání </w:t>
      </w:r>
      <w:r w:rsidR="00A423AB" w:rsidRPr="00996EED">
        <w:rPr>
          <w:szCs w:val="24"/>
        </w:rPr>
        <w:t>různých typů domácností se používá příjem přepočtený na osobu, tj.</w:t>
      </w:r>
      <w:r w:rsidR="00933291">
        <w:rPr>
          <w:szCs w:val="24"/>
        </w:rPr>
        <w:t> </w:t>
      </w:r>
      <w:r w:rsidR="00A423AB" w:rsidRPr="00996EED">
        <w:rPr>
          <w:szCs w:val="24"/>
        </w:rPr>
        <w:t xml:space="preserve">u každé domácnosti se celkový příjem vydělí počtem jejích členů. </w:t>
      </w:r>
    </w:p>
    <w:p w14:paraId="64966704" w14:textId="0FBC1A88" w:rsidR="00F776E0" w:rsidRPr="002565D4" w:rsidRDefault="001A100B" w:rsidP="00004A55">
      <w:pPr>
        <w:rPr>
          <w:szCs w:val="24"/>
        </w:rPr>
      </w:pPr>
      <w:r w:rsidRPr="00503EC1">
        <w:rPr>
          <w:szCs w:val="24"/>
        </w:rPr>
        <w:t>V</w:t>
      </w:r>
      <w:r w:rsidR="004F0683" w:rsidRPr="00503EC1">
        <w:rPr>
          <w:szCs w:val="24"/>
        </w:rPr>
        <w:t xml:space="preserve">ýsledky </w:t>
      </w:r>
      <w:r w:rsidR="00004A55">
        <w:rPr>
          <w:szCs w:val="24"/>
        </w:rPr>
        <w:t>zjišťování</w:t>
      </w:r>
      <w:r w:rsidR="004F0683" w:rsidRPr="00503EC1">
        <w:rPr>
          <w:szCs w:val="24"/>
        </w:rPr>
        <w:t xml:space="preserve"> z roku 20</w:t>
      </w:r>
      <w:r w:rsidRPr="00503EC1">
        <w:rPr>
          <w:szCs w:val="24"/>
        </w:rPr>
        <w:t>2</w:t>
      </w:r>
      <w:r w:rsidR="002565D4">
        <w:rPr>
          <w:szCs w:val="24"/>
        </w:rPr>
        <w:t>5</w:t>
      </w:r>
      <w:r w:rsidR="00261383" w:rsidRPr="00503EC1">
        <w:rPr>
          <w:szCs w:val="24"/>
        </w:rPr>
        <w:t xml:space="preserve"> zachycují příjm</w:t>
      </w:r>
      <w:r w:rsidR="002B1ECF" w:rsidRPr="00503EC1">
        <w:rPr>
          <w:szCs w:val="24"/>
        </w:rPr>
        <w:t>y domácností</w:t>
      </w:r>
      <w:r w:rsidR="00261383" w:rsidRPr="00503EC1">
        <w:rPr>
          <w:szCs w:val="24"/>
        </w:rPr>
        <w:t xml:space="preserve"> za předchozí kalendářní rok, tj. za rok 20</w:t>
      </w:r>
      <w:r w:rsidRPr="00503EC1">
        <w:rPr>
          <w:szCs w:val="24"/>
        </w:rPr>
        <w:t>2</w:t>
      </w:r>
      <w:r w:rsidR="002565D4">
        <w:rPr>
          <w:szCs w:val="24"/>
        </w:rPr>
        <w:t>4</w:t>
      </w:r>
      <w:r w:rsidR="00261383" w:rsidRPr="00503EC1">
        <w:rPr>
          <w:szCs w:val="24"/>
        </w:rPr>
        <w:t>. V</w:t>
      </w:r>
      <w:r w:rsidR="00923EED" w:rsidRPr="00503EC1">
        <w:rPr>
          <w:szCs w:val="24"/>
        </w:rPr>
        <w:t> roce 202</w:t>
      </w:r>
      <w:r w:rsidR="002565D4">
        <w:rPr>
          <w:szCs w:val="24"/>
        </w:rPr>
        <w:t>4</w:t>
      </w:r>
      <w:r w:rsidR="00261383" w:rsidRPr="00503EC1">
        <w:rPr>
          <w:szCs w:val="24"/>
        </w:rPr>
        <w:t xml:space="preserve"> dosáhl průměrný čistý peněžní příjem domácnosti </w:t>
      </w:r>
      <w:r w:rsidR="00D3257F" w:rsidRPr="00503EC1">
        <w:rPr>
          <w:szCs w:val="24"/>
        </w:rPr>
        <w:t xml:space="preserve">na osobu </w:t>
      </w:r>
      <w:r w:rsidR="00E04656" w:rsidRPr="00503EC1">
        <w:rPr>
          <w:szCs w:val="24"/>
        </w:rPr>
        <w:t>částky</w:t>
      </w:r>
      <w:r w:rsidR="004F0683" w:rsidRPr="00503EC1">
        <w:rPr>
          <w:szCs w:val="24"/>
        </w:rPr>
        <w:t xml:space="preserve"> </w:t>
      </w:r>
      <w:r w:rsidR="00923EED" w:rsidRPr="00503EC1">
        <w:rPr>
          <w:szCs w:val="24"/>
        </w:rPr>
        <w:t>2</w:t>
      </w:r>
      <w:r w:rsidR="002565D4">
        <w:rPr>
          <w:szCs w:val="24"/>
        </w:rPr>
        <w:t>93,9</w:t>
      </w:r>
      <w:r w:rsidR="00D3257F" w:rsidRPr="00503EC1">
        <w:rPr>
          <w:szCs w:val="24"/>
        </w:rPr>
        <w:t xml:space="preserve"> tisíc Kč</w:t>
      </w:r>
      <w:r w:rsidR="00B95AED">
        <w:rPr>
          <w:szCs w:val="24"/>
        </w:rPr>
        <w:t>.</w:t>
      </w:r>
      <w:r w:rsidR="00AB5D28" w:rsidRPr="00503EC1">
        <w:rPr>
          <w:szCs w:val="24"/>
        </w:rPr>
        <w:t xml:space="preserve"> </w:t>
      </w:r>
      <w:r w:rsidR="00CC6CD6" w:rsidRPr="00D37B01">
        <w:rPr>
          <w:szCs w:val="24"/>
        </w:rPr>
        <w:t>Oproti roku 20</w:t>
      </w:r>
      <w:r w:rsidR="006B2B51" w:rsidRPr="00D37B01">
        <w:rPr>
          <w:szCs w:val="24"/>
        </w:rPr>
        <w:t>2</w:t>
      </w:r>
      <w:r w:rsidR="002565D4">
        <w:rPr>
          <w:szCs w:val="24"/>
        </w:rPr>
        <w:t>3</w:t>
      </w:r>
      <w:r w:rsidR="003A146C" w:rsidRPr="00D37B01">
        <w:rPr>
          <w:szCs w:val="24"/>
        </w:rPr>
        <w:t xml:space="preserve"> vzro</w:t>
      </w:r>
      <w:r w:rsidR="009F6B29" w:rsidRPr="00D37B01">
        <w:rPr>
          <w:szCs w:val="24"/>
        </w:rPr>
        <w:t xml:space="preserve">stl </w:t>
      </w:r>
      <w:r w:rsidR="00EE115B" w:rsidRPr="00D37B01">
        <w:rPr>
          <w:szCs w:val="24"/>
        </w:rPr>
        <w:t xml:space="preserve">průměr meziročně o </w:t>
      </w:r>
      <w:r w:rsidR="006B2B51" w:rsidRPr="00D37B01">
        <w:rPr>
          <w:szCs w:val="24"/>
        </w:rPr>
        <w:t>1</w:t>
      </w:r>
      <w:r w:rsidR="002565D4">
        <w:rPr>
          <w:szCs w:val="24"/>
        </w:rPr>
        <w:t>5 180</w:t>
      </w:r>
      <w:r w:rsidR="006B2B51" w:rsidRPr="00D37B01">
        <w:rPr>
          <w:szCs w:val="24"/>
        </w:rPr>
        <w:t xml:space="preserve"> </w:t>
      </w:r>
      <w:r w:rsidR="00EE115B" w:rsidRPr="00D37B01">
        <w:rPr>
          <w:szCs w:val="24"/>
        </w:rPr>
        <w:t>Kč</w:t>
      </w:r>
      <w:r w:rsidR="00EE115B" w:rsidRPr="00503EC1">
        <w:rPr>
          <w:szCs w:val="24"/>
        </w:rPr>
        <w:t xml:space="preserve">, což představuje nominální nárůst o </w:t>
      </w:r>
      <w:r w:rsidR="002565D4">
        <w:rPr>
          <w:szCs w:val="24"/>
        </w:rPr>
        <w:t>5</w:t>
      </w:r>
      <w:r w:rsidR="00EE115B" w:rsidRPr="00503EC1">
        <w:rPr>
          <w:szCs w:val="24"/>
        </w:rPr>
        <w:t>,</w:t>
      </w:r>
      <w:r w:rsidR="002565D4">
        <w:rPr>
          <w:szCs w:val="24"/>
        </w:rPr>
        <w:t>4</w:t>
      </w:r>
      <w:r w:rsidR="00EE115B" w:rsidRPr="00503EC1">
        <w:rPr>
          <w:szCs w:val="24"/>
        </w:rPr>
        <w:t xml:space="preserve"> %</w:t>
      </w:r>
      <w:r w:rsidR="00F74230" w:rsidRPr="00503EC1">
        <w:rPr>
          <w:szCs w:val="24"/>
        </w:rPr>
        <w:t xml:space="preserve">. </w:t>
      </w:r>
      <w:r w:rsidR="005E3BC1" w:rsidRPr="005E3BC1">
        <w:rPr>
          <w:szCs w:val="24"/>
        </w:rPr>
        <w:t>Měsíční průměr čistých příjmů v roce 202</w:t>
      </w:r>
      <w:r w:rsidR="002565D4">
        <w:rPr>
          <w:szCs w:val="24"/>
        </w:rPr>
        <w:t>4</w:t>
      </w:r>
      <w:r w:rsidR="005E3BC1" w:rsidRPr="005E3BC1">
        <w:rPr>
          <w:szCs w:val="24"/>
        </w:rPr>
        <w:t xml:space="preserve"> dosahoval hodnoty 2</w:t>
      </w:r>
      <w:r w:rsidR="002565D4">
        <w:rPr>
          <w:szCs w:val="24"/>
        </w:rPr>
        <w:t>4 488</w:t>
      </w:r>
      <w:r w:rsidR="005E3BC1" w:rsidRPr="005E3BC1">
        <w:rPr>
          <w:szCs w:val="24"/>
        </w:rPr>
        <w:t xml:space="preserve"> Kč na osobu</w:t>
      </w:r>
      <w:r w:rsidR="00FE5940">
        <w:rPr>
          <w:szCs w:val="24"/>
        </w:rPr>
        <w:t>.</w:t>
      </w:r>
      <w:r w:rsidR="005E3BC1" w:rsidRPr="005E3BC1">
        <w:rPr>
          <w:szCs w:val="24"/>
        </w:rPr>
        <w:t xml:space="preserve"> </w:t>
      </w:r>
    </w:p>
    <w:p w14:paraId="21D039CB" w14:textId="767EADB1" w:rsidR="00BF0346" w:rsidRPr="0054447C" w:rsidRDefault="00243C7A" w:rsidP="00533212">
      <w:pPr>
        <w:pStyle w:val="Titulek"/>
        <w:keepNext/>
        <w:spacing w:before="240"/>
      </w:pPr>
      <w:bookmarkStart w:id="1" w:name="_Toc220396837"/>
      <w:r>
        <w:t xml:space="preserve">Graf </w:t>
      </w:r>
      <w:r w:rsidR="00AD57C4">
        <w:fldChar w:fldCharType="begin"/>
      </w:r>
      <w:r w:rsidR="00AD57C4">
        <w:instrText xml:space="preserve"> SEQ Graf \* ARABIC </w:instrText>
      </w:r>
      <w:r w:rsidR="00AD57C4">
        <w:fldChar w:fldCharType="separate"/>
      </w:r>
      <w:r w:rsidR="00497F80">
        <w:rPr>
          <w:noProof/>
        </w:rPr>
        <w:t>1</w:t>
      </w:r>
      <w:r w:rsidR="00AD57C4">
        <w:rPr>
          <w:noProof/>
        </w:rPr>
        <w:fldChar w:fldCharType="end"/>
      </w:r>
      <w:r>
        <w:rPr>
          <w:lang w:val="cs-CZ"/>
        </w:rPr>
        <w:t xml:space="preserve"> </w:t>
      </w:r>
      <w:r w:rsidR="003542EB">
        <w:rPr>
          <w:lang w:val="cs-CZ"/>
        </w:rPr>
        <w:t xml:space="preserve"> </w:t>
      </w:r>
      <w:r w:rsidR="00347A74">
        <w:rPr>
          <w:lang w:val="cs-CZ"/>
        </w:rPr>
        <w:t>Růst průměrných čistých peněžních příjmů domácností na osobu v období 2014–2024</w:t>
      </w:r>
      <w:bookmarkEnd w:id="1"/>
    </w:p>
    <w:p w14:paraId="748FFEB2" w14:textId="187E01F8" w:rsidR="0054447C" w:rsidRDefault="006F3BD4" w:rsidP="005F7D68">
      <w:pPr>
        <w:spacing w:after="0" w:line="288" w:lineRule="auto"/>
        <w:rPr>
          <w:rFonts w:ascii="Arial Narrow" w:hAnsi="Arial Narrow"/>
          <w:color w:val="EE0000"/>
          <w:sz w:val="24"/>
          <w:szCs w:val="32"/>
          <w:highlight w:val="yellow"/>
        </w:rPr>
      </w:pPr>
      <w:r w:rsidRPr="006F3BD4">
        <w:rPr>
          <w:rFonts w:ascii="Arial Narrow" w:hAnsi="Arial Narrow"/>
          <w:color w:val="EE0000"/>
          <w:sz w:val="24"/>
          <w:szCs w:val="32"/>
        </w:rPr>
        <w:drawing>
          <wp:inline distT="0" distB="0" distL="0" distR="0" wp14:anchorId="351E425D" wp14:editId="31A85070">
            <wp:extent cx="5759450" cy="2267585"/>
            <wp:effectExtent l="0" t="0" r="0" b="0"/>
            <wp:docPr id="87788078" name="Obrázek 1" descr="Obsah obrázku text, snímek obrazovky, Písmo, Vykreslený graf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88078" name="Obrázek 1" descr="Obsah obrázku text, snímek obrazovky, Písmo, Vykreslený graf&#10;&#10;Obsah generovaný pomocí AI může být nesprávný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7D449" w14:textId="7E335BAF" w:rsidR="005A3EC1" w:rsidRPr="00004A55" w:rsidRDefault="00B740C0" w:rsidP="00004A55">
      <w:r w:rsidRPr="00004A55">
        <w:lastRenderedPageBreak/>
        <w:t>V</w:t>
      </w:r>
      <w:r w:rsidR="005A3EC1" w:rsidRPr="00004A55">
        <w:t xml:space="preserve">ybrané typy domácností </w:t>
      </w:r>
      <w:r w:rsidRPr="00004A55">
        <w:t xml:space="preserve">jsou </w:t>
      </w:r>
      <w:r w:rsidR="005A3EC1" w:rsidRPr="00004A55">
        <w:t>srovnávány podle dvou hledisek. Za</w:t>
      </w:r>
      <w:r w:rsidR="00321353" w:rsidRPr="00004A55">
        <w:t> </w:t>
      </w:r>
      <w:r w:rsidR="005A3EC1" w:rsidRPr="00004A55">
        <w:t>prvé podle ekonomické aktivity osoby s nejvyšším příjmem v</w:t>
      </w:r>
      <w:r w:rsidR="004F3CAC" w:rsidRPr="00004A55">
        <w:t> </w:t>
      </w:r>
      <w:r w:rsidR="005A3EC1" w:rsidRPr="00004A55">
        <w:t>domácnosti</w:t>
      </w:r>
      <w:r w:rsidR="004F3CAC" w:rsidRPr="00004A55">
        <w:t>, a to</w:t>
      </w:r>
      <w:r w:rsidR="005A3EC1" w:rsidRPr="00004A55">
        <w:t xml:space="preserve"> na domácnosti zaměstnanců („zaměstnanci“) resp. domácnosti důchodů („důchodci“). Za druhé podle typu rodiny, kde úplná rodina s</w:t>
      </w:r>
      <w:r w:rsidR="004F3CAC" w:rsidRPr="00004A55">
        <w:t> </w:t>
      </w:r>
      <w:r w:rsidR="005A3EC1" w:rsidRPr="00004A55">
        <w:t xml:space="preserve">dětmi představuje </w:t>
      </w:r>
      <w:r w:rsidR="00004A55">
        <w:t>dvě</w:t>
      </w:r>
      <w:r w:rsidR="005A3EC1" w:rsidRPr="00004A55">
        <w:t xml:space="preserve"> dospělé osoby s alespoň jedním závislým</w:t>
      </w:r>
      <w:r w:rsidR="005A3EC1" w:rsidRPr="00004A55">
        <w:rPr>
          <w:rStyle w:val="Znakapoznpodarou"/>
          <w:rFonts w:cs="Arial"/>
          <w:szCs w:val="20"/>
        </w:rPr>
        <w:footnoteReference w:id="1"/>
      </w:r>
      <w:r w:rsidR="005A3EC1" w:rsidRPr="00004A55">
        <w:t xml:space="preserve"> dítětem a neúplná rodina s dětmi je definována </w:t>
      </w:r>
      <w:r w:rsidR="00004A55">
        <w:t>jednou</w:t>
      </w:r>
      <w:r w:rsidR="005A3EC1" w:rsidRPr="00004A55">
        <w:t xml:space="preserve"> dospělou osobou s alespoň jedním závislým dítětem.</w:t>
      </w:r>
    </w:p>
    <w:p w14:paraId="0D2011A3" w14:textId="572F0E7F" w:rsidR="000E5261" w:rsidRPr="00004A55" w:rsidRDefault="000E5261" w:rsidP="00004A55">
      <w:r w:rsidRPr="00004A55">
        <w:t>V roce 2024 rostly příjmy všem vybraným typům domácnost</w:t>
      </w:r>
      <w:r w:rsidR="005632D8" w:rsidRPr="00004A55">
        <w:t xml:space="preserve">em </w:t>
      </w:r>
      <w:r w:rsidR="00E26224" w:rsidRPr="00004A55">
        <w:t xml:space="preserve">na podobné úrovni, </w:t>
      </w:r>
      <w:r w:rsidR="00275954" w:rsidRPr="00004A55">
        <w:t xml:space="preserve">okolo 5 %. </w:t>
      </w:r>
      <w:r w:rsidRPr="00004A55">
        <w:t xml:space="preserve">Odlišná je však výše peněžních příjmů, kdy nejvyšších příjmů ze sledovaných skupin </w:t>
      </w:r>
      <w:r w:rsidR="00E26224" w:rsidRPr="00004A55">
        <w:t xml:space="preserve">dosáhly </w:t>
      </w:r>
      <w:r w:rsidRPr="00004A55">
        <w:t xml:space="preserve">domácnosti zaměstnanců. Tyto domácnosti si měsíčně </w:t>
      </w:r>
      <w:r w:rsidR="00E26224" w:rsidRPr="00004A55">
        <w:t xml:space="preserve">přišly </w:t>
      </w:r>
      <w:r w:rsidRPr="00004A55">
        <w:t>průměrně na 25 tisíc Kč</w:t>
      </w:r>
      <w:r w:rsidR="00474D2E" w:rsidRPr="00004A55">
        <w:t xml:space="preserve"> na osobu</w:t>
      </w:r>
      <w:r w:rsidRPr="00004A55">
        <w:t>, což pro tuto skupinu představuje meziroční růst o 4,6 %. Stejný meziroční růst nastal u domácností úplných rodin s dětmi, u</w:t>
      </w:r>
      <w:r w:rsidR="00933291">
        <w:t> </w:t>
      </w:r>
      <w:r w:rsidRPr="00004A55">
        <w:t>kterých ale měsíční příjem na osobu dělá 19,7 tisíc Kč.</w:t>
      </w:r>
      <w:r w:rsidR="00275954" w:rsidRPr="00004A55">
        <w:t xml:space="preserve"> Vyšších příjmů dosahují domácnosti důchodců, které se pohybují na průměrné měsíční částce 22,6 tisíc Kč, což meziročně dělá růst o 5,1 %. Naopak n</w:t>
      </w:r>
      <w:r w:rsidRPr="00004A55">
        <w:t>eúplné rodiny s dětmi tvoří typ domácnosti s nejnižšími ročními čistými příjmy na osobu vůbec. V přepočtu na měsíc představuje průměrný příjem člena této domácnosti 16,2 tisíc Kč</w:t>
      </w:r>
      <w:r w:rsidR="00275954" w:rsidRPr="00004A55">
        <w:t>.</w:t>
      </w:r>
    </w:p>
    <w:p w14:paraId="32AD990B" w14:textId="5D589DFE" w:rsidR="00933291" w:rsidRDefault="00CB2171" w:rsidP="00533212">
      <w:pPr>
        <w:pStyle w:val="Titulek"/>
        <w:keepNext/>
        <w:spacing w:before="240"/>
      </w:pPr>
      <w:bookmarkStart w:id="2" w:name="_Toc220396838"/>
      <w:r>
        <w:t xml:space="preserve">Graf </w:t>
      </w:r>
      <w:r w:rsidR="00AD57C4">
        <w:fldChar w:fldCharType="begin"/>
      </w:r>
      <w:r w:rsidR="00AD57C4">
        <w:instrText xml:space="preserve"> SEQ Graf \* ARABIC </w:instrText>
      </w:r>
      <w:r w:rsidR="00AD57C4">
        <w:fldChar w:fldCharType="separate"/>
      </w:r>
      <w:r w:rsidR="00497F80">
        <w:rPr>
          <w:noProof/>
        </w:rPr>
        <w:t>2</w:t>
      </w:r>
      <w:r w:rsidR="00AD57C4">
        <w:fldChar w:fldCharType="end"/>
      </w:r>
      <w:r w:rsidR="00347A74">
        <w:t xml:space="preserve"> </w:t>
      </w:r>
      <w:r w:rsidR="003542EB">
        <w:t xml:space="preserve"> </w:t>
      </w:r>
      <w:r w:rsidR="00347A74">
        <w:t xml:space="preserve">Roční čisté peněžní příjmy domácností na osobu podle vybraných druhů domácností </w:t>
      </w:r>
      <w:r w:rsidR="00347A74">
        <w:br/>
        <w:t>v letech 2023 a 2024</w:t>
      </w:r>
      <w:bookmarkEnd w:id="2"/>
    </w:p>
    <w:p w14:paraId="2A2FD8C2" w14:textId="31357C82" w:rsidR="0024552A" w:rsidRDefault="006F3BD4" w:rsidP="00533212">
      <w:pPr>
        <w:pStyle w:val="Titulek"/>
        <w:keepNext/>
        <w:spacing w:before="240"/>
      </w:pPr>
      <w:r w:rsidRPr="006F3BD4">
        <w:drawing>
          <wp:anchor distT="0" distB="0" distL="114300" distR="114300" simplePos="0" relativeHeight="251678720" behindDoc="0" locked="0" layoutInCell="1" allowOverlap="1" wp14:anchorId="6911CD2C" wp14:editId="2DA67F2F">
            <wp:simplePos x="0" y="0"/>
            <wp:positionH relativeFrom="column">
              <wp:posOffset>5521986</wp:posOffset>
            </wp:positionH>
            <wp:positionV relativeFrom="paragraph">
              <wp:posOffset>354914</wp:posOffset>
            </wp:positionV>
            <wp:extent cx="153035" cy="1207008"/>
            <wp:effectExtent l="0" t="0" r="0" b="0"/>
            <wp:wrapNone/>
            <wp:docPr id="81235482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354820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1" b="10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" cy="12070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4A55">
        <w:rPr>
          <w:noProof/>
        </w:rPr>
        <w:drawing>
          <wp:inline distT="0" distB="0" distL="0" distR="0" wp14:anchorId="0D6D8E2E" wp14:editId="4751A3C4">
            <wp:extent cx="5757936" cy="2105246"/>
            <wp:effectExtent l="0" t="0" r="0" b="9525"/>
            <wp:docPr id="116359227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804" cy="21103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EC99F0" w14:textId="6BF4C46E" w:rsidR="00B95AED" w:rsidRDefault="00AB3CFB" w:rsidP="00004A55">
      <w:r w:rsidRPr="00AB3CFB">
        <w:t xml:space="preserve">Průměr je ovlivněn extrémními hodnotami, proto lze využít medián příjmů </w:t>
      </w:r>
      <w:r>
        <w:t>domácností</w:t>
      </w:r>
      <w:r w:rsidRPr="00AB3CFB">
        <w:t xml:space="preserve">. Mediánový </w:t>
      </w:r>
      <w:r>
        <w:t xml:space="preserve">roční </w:t>
      </w:r>
      <w:r w:rsidRPr="00AB3CFB">
        <w:t>příjem domácností na osobu se v roce 2024 rovnal 282,8 tis. Kč</w:t>
      </w:r>
      <w:r>
        <w:t xml:space="preserve">, </w:t>
      </w:r>
      <w:r w:rsidRPr="005E3BC1">
        <w:t>resp. 2</w:t>
      </w:r>
      <w:r>
        <w:t>3 567</w:t>
      </w:r>
      <w:r w:rsidRPr="005E3BC1">
        <w:t xml:space="preserve"> Kč na osobu</w:t>
      </w:r>
      <w:r>
        <w:t xml:space="preserve"> měsíčně</w:t>
      </w:r>
      <w:r w:rsidRPr="005E3BC1">
        <w:t>.</w:t>
      </w:r>
      <w:r>
        <w:t xml:space="preserve"> Nižší hodnota mediánu značí</w:t>
      </w:r>
      <w:r w:rsidRPr="00AB3CFB">
        <w:t>, že na průměrný příjem nedosahuje ani polovina české populace. Při porovnání průměrného a mediánového příjmu jsou rozdíly mezi těmito veličinami nevýrazné u</w:t>
      </w:r>
      <w:r w:rsidR="006C435B">
        <w:t> </w:t>
      </w:r>
      <w:r w:rsidRPr="00AB3CFB">
        <w:t xml:space="preserve">domácností podle ekonomické aktivity. Naopak </w:t>
      </w:r>
      <w:r w:rsidR="00B05DE5">
        <w:t>jsou</w:t>
      </w:r>
      <w:r w:rsidRPr="00AB3CFB">
        <w:t xml:space="preserve"> vidět </w:t>
      </w:r>
      <w:r>
        <w:t>rozdíly</w:t>
      </w:r>
      <w:r w:rsidRPr="00AB3CFB">
        <w:t xml:space="preserve"> u domácností s dětmi.</w:t>
      </w:r>
    </w:p>
    <w:p w14:paraId="259CD431" w14:textId="4DCD7ED2" w:rsidR="004B5698" w:rsidRDefault="004B5698" w:rsidP="00533212">
      <w:pPr>
        <w:pStyle w:val="Titulek"/>
        <w:keepNext/>
        <w:spacing w:before="240"/>
      </w:pPr>
      <w:bookmarkStart w:id="3" w:name="_Toc220396839"/>
      <w:r>
        <w:t xml:space="preserve">Graf </w:t>
      </w:r>
      <w:r w:rsidR="00AD57C4">
        <w:fldChar w:fldCharType="begin"/>
      </w:r>
      <w:r w:rsidR="00AD57C4">
        <w:instrText xml:space="preserve"> SEQ Graf \* ARABIC </w:instrText>
      </w:r>
      <w:r w:rsidR="00AD57C4">
        <w:fldChar w:fldCharType="separate"/>
      </w:r>
      <w:r w:rsidR="00497F80">
        <w:rPr>
          <w:noProof/>
        </w:rPr>
        <w:t>3</w:t>
      </w:r>
      <w:r w:rsidR="00AD57C4">
        <w:rPr>
          <w:noProof/>
        </w:rPr>
        <w:fldChar w:fldCharType="end"/>
      </w:r>
      <w:r>
        <w:t xml:space="preserve"> </w:t>
      </w:r>
      <w:r w:rsidR="003542EB">
        <w:t xml:space="preserve"> </w:t>
      </w:r>
      <w:r>
        <w:t>Roční čisté peněžní příjmy domácností na osobu podle vybraných druhů domácností v</w:t>
      </w:r>
      <w:r w:rsidR="00C57984">
        <w:t> </w:t>
      </w:r>
      <w:r>
        <w:t>roce 2024</w:t>
      </w:r>
      <w:bookmarkEnd w:id="3"/>
      <w:r w:rsidR="002C4114">
        <w:t xml:space="preserve"> (tis. Kč)</w:t>
      </w:r>
    </w:p>
    <w:p w14:paraId="5B9B0C95" w14:textId="731C2FB8" w:rsidR="00E76E54" w:rsidRPr="00E76E54" w:rsidRDefault="00533212" w:rsidP="00E76E54">
      <w:r>
        <w:rPr>
          <w:noProof/>
        </w:rPr>
        <w:drawing>
          <wp:inline distT="0" distB="0" distL="0" distR="0" wp14:anchorId="3B99E0D7" wp14:editId="71510FCB">
            <wp:extent cx="5760000" cy="2146486"/>
            <wp:effectExtent l="0" t="0" r="0" b="6350"/>
            <wp:docPr id="1430928422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1464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33A17F" w14:textId="79364685" w:rsidR="00D66822" w:rsidRDefault="009A692F" w:rsidP="00533212">
      <w:pPr>
        <w:rPr>
          <w:b/>
          <w:bCs/>
        </w:rPr>
      </w:pPr>
      <w:r w:rsidRPr="009A692F">
        <w:t>Struktura hrubých peněžních příjmů domácností zůstává v čase poměrně stabilní</w:t>
      </w:r>
      <w:r>
        <w:t xml:space="preserve"> a mezi lety 2023 a</w:t>
      </w:r>
      <w:r w:rsidR="00EA414D">
        <w:t> </w:t>
      </w:r>
      <w:r>
        <w:t>2024 nedošlo k výraznějším změnám</w:t>
      </w:r>
      <w:r w:rsidRPr="009A692F">
        <w:t>. Nicméně v posledních letech je zřejmý trend postupného růstu podílu důchodů na celkových příjmech. Důchody spolu se sociálními dávkami tvoří již více než pětinu (22,</w:t>
      </w:r>
      <w:r>
        <w:t>3</w:t>
      </w:r>
      <w:r w:rsidRPr="009A692F">
        <w:t xml:space="preserve"> %) objemu všech příjmů domácností. Tento růst sociálních příjmů je na úkor příjmů ze z</w:t>
      </w:r>
      <w:r>
        <w:t xml:space="preserve">aměstnání. </w:t>
      </w:r>
      <w:r w:rsidRPr="009A692F">
        <w:t>V roce 202</w:t>
      </w:r>
      <w:r>
        <w:t>4</w:t>
      </w:r>
      <w:r w:rsidRPr="009A692F">
        <w:t xml:space="preserve"> vycházelo 60,</w:t>
      </w:r>
      <w:r>
        <w:t>0</w:t>
      </w:r>
      <w:r w:rsidRPr="009A692F">
        <w:t xml:space="preserve"> % příjmů ze z</w:t>
      </w:r>
      <w:r>
        <w:t>aměstnání</w:t>
      </w:r>
      <w:r w:rsidRPr="009A692F">
        <w:t xml:space="preserve"> a 13,9 % z podnikání, celkem tedy zhruba tři</w:t>
      </w:r>
      <w:r w:rsidR="00933291">
        <w:t> </w:t>
      </w:r>
      <w:r w:rsidRPr="009A692F">
        <w:t>čtvrtiny příjmů.</w:t>
      </w:r>
      <w:r>
        <w:t xml:space="preserve"> Od roku 20</w:t>
      </w:r>
      <w:r w:rsidR="00D66822">
        <w:t>20</w:t>
      </w:r>
      <w:r>
        <w:t xml:space="preserve"> došlo ke zvýšení ostatních příjm</w:t>
      </w:r>
      <w:r w:rsidR="00347A74">
        <w:t xml:space="preserve">ů </w:t>
      </w:r>
      <w:r w:rsidR="00D66822">
        <w:t xml:space="preserve">o 1 p. b. především </w:t>
      </w:r>
      <w:r w:rsidR="00347A74">
        <w:t>díky nárůstu</w:t>
      </w:r>
      <w:r>
        <w:t xml:space="preserve"> příjmů z pronájmu</w:t>
      </w:r>
      <w:r w:rsidR="00B05DE5">
        <w:t>, které se nominálně zdvojnásobily.</w:t>
      </w:r>
      <w:r>
        <w:t xml:space="preserve"> </w:t>
      </w:r>
    </w:p>
    <w:p w14:paraId="0A1EE6A0" w14:textId="0D617703" w:rsidR="00D66822" w:rsidRDefault="00D66822" w:rsidP="00533212">
      <w:pPr>
        <w:pStyle w:val="Titulek"/>
        <w:keepNext/>
        <w:spacing w:before="240"/>
      </w:pPr>
      <w:bookmarkStart w:id="4" w:name="_Toc220396840"/>
      <w:r>
        <w:t xml:space="preserve">Graf </w:t>
      </w:r>
      <w:r w:rsidR="00AD57C4">
        <w:fldChar w:fldCharType="begin"/>
      </w:r>
      <w:r w:rsidR="00AD57C4">
        <w:instrText xml:space="preserve"> SEQ Graf \* ARABIC </w:instrText>
      </w:r>
      <w:r w:rsidR="00AD57C4">
        <w:fldChar w:fldCharType="separate"/>
      </w:r>
      <w:r w:rsidR="00497F80">
        <w:rPr>
          <w:noProof/>
        </w:rPr>
        <w:t>4</w:t>
      </w:r>
      <w:r w:rsidR="00AD57C4">
        <w:rPr>
          <w:noProof/>
        </w:rPr>
        <w:fldChar w:fldCharType="end"/>
      </w:r>
      <w:r>
        <w:t xml:space="preserve"> </w:t>
      </w:r>
      <w:r w:rsidR="003542EB">
        <w:t xml:space="preserve"> </w:t>
      </w:r>
      <w:r w:rsidRPr="002816F4">
        <w:t>Struktura hrubých peněžních příjmů domácností v letech 2020, 2022 a 2024 (%)</w:t>
      </w:r>
      <w:bookmarkEnd w:id="4"/>
    </w:p>
    <w:p w14:paraId="5921E5D6" w14:textId="1CB7C091" w:rsidR="00347A74" w:rsidRDefault="00D66822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w:drawing>
          <wp:inline distT="0" distB="0" distL="0" distR="0" wp14:anchorId="646DCC04" wp14:editId="082E329E">
            <wp:extent cx="5760000" cy="2624511"/>
            <wp:effectExtent l="0" t="0" r="0" b="4445"/>
            <wp:docPr id="181364065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6245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DDE263" w14:textId="77777777" w:rsidR="00D66822" w:rsidRDefault="00D66822" w:rsidP="00E20729">
      <w:pPr>
        <w:spacing w:after="240" w:line="288" w:lineRule="auto"/>
        <w:rPr>
          <w:rFonts w:ascii="Arial Narrow" w:hAnsi="Arial Narrow"/>
          <w:sz w:val="24"/>
          <w:szCs w:val="24"/>
        </w:rPr>
      </w:pPr>
    </w:p>
    <w:p w14:paraId="07C563EF" w14:textId="1B5DFD16" w:rsidR="00533212" w:rsidRPr="00E20729" w:rsidRDefault="005A211A" w:rsidP="00533212">
      <w:r w:rsidRPr="005A211A">
        <w:t xml:space="preserve">V roce 2024, po dvou předchozích letech, kdy ČR čelila vysoké inflaci, </w:t>
      </w:r>
      <w:r w:rsidR="00611A98">
        <w:t xml:space="preserve">se </w:t>
      </w:r>
      <w:r w:rsidRPr="005A211A">
        <w:t xml:space="preserve">reálné peněžní příjmy domácností </w:t>
      </w:r>
      <w:r w:rsidR="00611A98">
        <w:t>meziročně zvýšily</w:t>
      </w:r>
      <w:r w:rsidR="00611A98" w:rsidRPr="005A211A">
        <w:t xml:space="preserve"> o 3</w:t>
      </w:r>
      <w:r w:rsidR="00611A98">
        <w:t>,0</w:t>
      </w:r>
      <w:r w:rsidR="00611A98" w:rsidRPr="005A211A">
        <w:t xml:space="preserve"> %</w:t>
      </w:r>
      <w:r w:rsidR="00611A98">
        <w:t xml:space="preserve"> a </w:t>
      </w:r>
      <w:r w:rsidRPr="005A211A">
        <w:t xml:space="preserve">dostaly </w:t>
      </w:r>
      <w:r w:rsidR="0045719F">
        <w:t xml:space="preserve">se </w:t>
      </w:r>
      <w:r w:rsidRPr="005A211A">
        <w:t>do kladných hodnot. Vrátily se tak na úroveň obvyklou před rokem 2022 a domácnosti si za své peníze mohly koupit více zboží.</w:t>
      </w:r>
      <w:r>
        <w:t xml:space="preserve"> </w:t>
      </w:r>
      <w:r w:rsidRPr="005A211A">
        <w:t>Došlo však k</w:t>
      </w:r>
      <w:r w:rsidR="00933291">
        <w:t> </w:t>
      </w:r>
      <w:r w:rsidRPr="005A211A">
        <w:t>opětovnému rozevření nůžek mezi růstem čistých a hrubých peněžních příjmů.</w:t>
      </w:r>
      <w:r>
        <w:t xml:space="preserve"> </w:t>
      </w:r>
      <w:r w:rsidR="00611A98">
        <w:t>Č</w:t>
      </w:r>
      <w:r w:rsidRPr="005A211A">
        <w:t>ist</w:t>
      </w:r>
      <w:r w:rsidR="00611A98">
        <w:t>é</w:t>
      </w:r>
      <w:r w:rsidRPr="005A211A">
        <w:t xml:space="preserve"> peněžn</w:t>
      </w:r>
      <w:r w:rsidR="00611A98">
        <w:t>í</w:t>
      </w:r>
      <w:r w:rsidRPr="005A211A">
        <w:t xml:space="preserve"> příjm</w:t>
      </w:r>
      <w:r w:rsidR="00611A98">
        <w:t>y</w:t>
      </w:r>
      <w:r w:rsidRPr="005A211A">
        <w:t xml:space="preserve"> </w:t>
      </w:r>
      <w:r w:rsidR="00611A98">
        <w:t xml:space="preserve">rostly </w:t>
      </w:r>
      <w:r w:rsidR="0045719F">
        <w:t xml:space="preserve">totiž </w:t>
      </w:r>
      <w:r w:rsidR="00611A98">
        <w:t xml:space="preserve">pomaleji (o </w:t>
      </w:r>
      <w:r w:rsidRPr="005A211A">
        <w:t>5,4 %</w:t>
      </w:r>
      <w:r w:rsidR="00611A98">
        <w:t>)</w:t>
      </w:r>
      <w:r w:rsidRPr="005A211A">
        <w:t xml:space="preserve"> než </w:t>
      </w:r>
      <w:r w:rsidR="00611A98">
        <w:t xml:space="preserve">příjmy </w:t>
      </w:r>
      <w:r w:rsidRPr="005A211A">
        <w:t>hrub</w:t>
      </w:r>
      <w:r w:rsidR="00611A98">
        <w:t>é</w:t>
      </w:r>
      <w:r w:rsidRPr="005A211A">
        <w:t xml:space="preserve"> </w:t>
      </w:r>
      <w:r w:rsidR="00611A98">
        <w:t xml:space="preserve">(o </w:t>
      </w:r>
      <w:r w:rsidRPr="005A211A">
        <w:t>6,4 %</w:t>
      </w:r>
      <w:r w:rsidR="00611A98">
        <w:t>),</w:t>
      </w:r>
      <w:r w:rsidRPr="005A211A">
        <w:t xml:space="preserve"> </w:t>
      </w:r>
      <w:r w:rsidR="00611A98">
        <w:t xml:space="preserve">což </w:t>
      </w:r>
      <w:r w:rsidRPr="005A211A">
        <w:t>byl</w:t>
      </w:r>
      <w:r w:rsidR="00611A98">
        <w:t>o</w:t>
      </w:r>
      <w:r>
        <w:t xml:space="preserve"> v</w:t>
      </w:r>
      <w:r w:rsidR="00592193">
        <w:t xml:space="preserve"> roce 2024 </w:t>
      </w:r>
      <w:r w:rsidR="00E20729" w:rsidRPr="00E20729">
        <w:t>zp</w:t>
      </w:r>
      <w:r w:rsidR="00E20729" w:rsidRPr="00E20729">
        <w:rPr>
          <w:rFonts w:cs="Arial Narrow"/>
        </w:rPr>
        <w:t>ů</w:t>
      </w:r>
      <w:r w:rsidR="00E20729" w:rsidRPr="00E20729">
        <w:t>soben</w:t>
      </w:r>
      <w:r w:rsidR="00611A98">
        <w:t>o</w:t>
      </w:r>
      <w:r w:rsidR="00E20729" w:rsidRPr="00E20729">
        <w:t xml:space="preserve"> p</w:t>
      </w:r>
      <w:r w:rsidR="00E20729" w:rsidRPr="00E20729">
        <w:rPr>
          <w:rFonts w:cs="Arial Narrow"/>
        </w:rPr>
        <w:t>ř</w:t>
      </w:r>
      <w:r w:rsidR="00E20729" w:rsidRPr="00E20729">
        <w:t>edev</w:t>
      </w:r>
      <w:r w:rsidR="00E20729" w:rsidRPr="00E20729">
        <w:rPr>
          <w:rFonts w:cs="Arial Narrow"/>
        </w:rPr>
        <w:t>ší</w:t>
      </w:r>
      <w:r w:rsidR="00E20729" w:rsidRPr="00E20729">
        <w:t>m zv</w:t>
      </w:r>
      <w:r w:rsidR="00E20729" w:rsidRPr="00E20729">
        <w:rPr>
          <w:rFonts w:cs="Arial Narrow"/>
        </w:rPr>
        <w:t>ýš</w:t>
      </w:r>
      <w:r w:rsidR="00E20729" w:rsidRPr="00E20729">
        <w:t>en</w:t>
      </w:r>
      <w:r w:rsidR="00E20729" w:rsidRPr="00E20729">
        <w:rPr>
          <w:rFonts w:cs="Arial Narrow"/>
        </w:rPr>
        <w:t>í</w:t>
      </w:r>
      <w:r w:rsidR="00E20729" w:rsidRPr="00E20729">
        <w:t>m odvod</w:t>
      </w:r>
      <w:r w:rsidR="00E20729" w:rsidRPr="00E20729">
        <w:rPr>
          <w:rFonts w:cs="Arial Narrow"/>
        </w:rPr>
        <w:t>ů</w:t>
      </w:r>
      <w:r w:rsidR="00E20729" w:rsidRPr="00E20729">
        <w:t xml:space="preserve"> zam</w:t>
      </w:r>
      <w:r w:rsidR="00E20729" w:rsidRPr="00E20729">
        <w:rPr>
          <w:rFonts w:cs="Arial Narrow"/>
        </w:rPr>
        <w:t>ě</w:t>
      </w:r>
      <w:r w:rsidR="00E20729" w:rsidRPr="00E20729">
        <w:t>stnanc</w:t>
      </w:r>
      <w:r w:rsidR="00E20729" w:rsidRPr="00E20729">
        <w:rPr>
          <w:rFonts w:cs="Arial Narrow"/>
        </w:rPr>
        <w:t>ů</w:t>
      </w:r>
      <w:r w:rsidR="00E20729" w:rsidRPr="00E20729">
        <w:t xml:space="preserve"> na</w:t>
      </w:r>
      <w:r w:rsidR="00E20729" w:rsidRPr="00E20729">
        <w:rPr>
          <w:rFonts w:cs="Arial"/>
        </w:rPr>
        <w:t> </w:t>
      </w:r>
      <w:r w:rsidR="00611A98">
        <w:t>sociální a zdravotní</w:t>
      </w:r>
      <w:r w:rsidR="00E20729" w:rsidRPr="00E20729">
        <w:t xml:space="preserve"> poji</w:t>
      </w:r>
      <w:r w:rsidR="00E20729" w:rsidRPr="00E20729">
        <w:rPr>
          <w:rFonts w:cs="Arial Narrow"/>
        </w:rPr>
        <w:t>š</w:t>
      </w:r>
      <w:r w:rsidR="00E20729" w:rsidRPr="00E20729">
        <w:t>t</w:t>
      </w:r>
      <w:r w:rsidR="00E20729" w:rsidRPr="00E20729">
        <w:rPr>
          <w:rFonts w:cs="Arial Narrow"/>
        </w:rPr>
        <w:t>ě</w:t>
      </w:r>
      <w:r w:rsidR="00E20729" w:rsidRPr="00E20729">
        <w:t>n</w:t>
      </w:r>
      <w:r w:rsidR="00E20729" w:rsidRPr="00E20729">
        <w:rPr>
          <w:rFonts w:cs="Arial Narrow"/>
        </w:rPr>
        <w:t>í</w:t>
      </w:r>
      <w:r w:rsidR="00342A96">
        <w:t xml:space="preserve"> </w:t>
      </w:r>
      <w:r w:rsidR="00E20729" w:rsidRPr="00E20729">
        <w:t>o</w:t>
      </w:r>
      <w:r w:rsidR="00E20729" w:rsidRPr="00E20729">
        <w:rPr>
          <w:rFonts w:cs="Arial"/>
        </w:rPr>
        <w:t> </w:t>
      </w:r>
      <w:proofErr w:type="gramStart"/>
      <w:r w:rsidR="00E20729" w:rsidRPr="00E20729">
        <w:t>0,6</w:t>
      </w:r>
      <w:r w:rsidR="00611A98">
        <w:t xml:space="preserve"> </w:t>
      </w:r>
      <w:r w:rsidR="00E20729" w:rsidRPr="00E20729">
        <w:t>procentn</w:t>
      </w:r>
      <w:r w:rsidR="00E20729" w:rsidRPr="00E20729">
        <w:rPr>
          <w:rFonts w:cs="Arial Narrow"/>
        </w:rPr>
        <w:t>í</w:t>
      </w:r>
      <w:r w:rsidR="00E20729" w:rsidRPr="00E20729">
        <w:t>ho</w:t>
      </w:r>
      <w:proofErr w:type="gramEnd"/>
      <w:r w:rsidR="00E20729" w:rsidRPr="00E20729">
        <w:t xml:space="preserve"> bodu a</w:t>
      </w:r>
      <w:r w:rsidR="00E20729" w:rsidRPr="00E20729">
        <w:rPr>
          <w:rFonts w:cs="Arial"/>
        </w:rPr>
        <w:t> </w:t>
      </w:r>
      <w:r w:rsidR="00E20729" w:rsidRPr="00E20729">
        <w:t>roz</w:t>
      </w:r>
      <w:r w:rsidR="00E20729" w:rsidRPr="00E20729">
        <w:rPr>
          <w:rFonts w:cs="Arial Narrow"/>
        </w:rPr>
        <w:t>šíř</w:t>
      </w:r>
      <w:r w:rsidR="00E20729" w:rsidRPr="00E20729">
        <w:t>en</w:t>
      </w:r>
      <w:r w:rsidR="00E20729" w:rsidRPr="00E20729">
        <w:rPr>
          <w:rFonts w:cs="Arial Narrow"/>
        </w:rPr>
        <w:t>í</w:t>
      </w:r>
      <w:r w:rsidR="00E20729" w:rsidRPr="00E20729">
        <w:t>m z</w:t>
      </w:r>
      <w:r w:rsidR="00E20729" w:rsidRPr="00E20729">
        <w:rPr>
          <w:rFonts w:cs="Arial Narrow"/>
        </w:rPr>
        <w:t>á</w:t>
      </w:r>
      <w:r w:rsidR="00E20729" w:rsidRPr="00E20729">
        <w:t>kladu pro uplatn</w:t>
      </w:r>
      <w:r w:rsidR="00E20729" w:rsidRPr="00E20729">
        <w:rPr>
          <w:rFonts w:cs="Arial Narrow"/>
        </w:rPr>
        <w:t>ě</w:t>
      </w:r>
      <w:r w:rsidR="00E20729" w:rsidRPr="00E20729">
        <w:t>n</w:t>
      </w:r>
      <w:r w:rsidR="00E20729" w:rsidRPr="00E20729">
        <w:rPr>
          <w:rFonts w:cs="Arial Narrow"/>
        </w:rPr>
        <w:t>í</w:t>
      </w:r>
      <w:r w:rsidR="00E20729" w:rsidRPr="00E20729">
        <w:t xml:space="preserve"> progresivn</w:t>
      </w:r>
      <w:r w:rsidR="00E20729" w:rsidRPr="00E20729">
        <w:rPr>
          <w:rFonts w:cs="Arial Narrow"/>
        </w:rPr>
        <w:t>í</w:t>
      </w:r>
      <w:r w:rsidR="00E20729" w:rsidRPr="00E20729">
        <w:t xml:space="preserve"> dan</w:t>
      </w:r>
      <w:r w:rsidR="00E20729" w:rsidRPr="00E20729">
        <w:rPr>
          <w:rFonts w:cs="Arial Narrow"/>
        </w:rPr>
        <w:t>ě</w:t>
      </w:r>
      <w:r>
        <w:rPr>
          <w:rFonts w:cs="Arial Narrow"/>
        </w:rPr>
        <w:t>, která se tak týkala více osob</w:t>
      </w:r>
      <w:r w:rsidR="00E20729" w:rsidRPr="00E20729">
        <w:t xml:space="preserve">. </w:t>
      </w:r>
    </w:p>
    <w:p w14:paraId="7210855C" w14:textId="26F1985B" w:rsidR="00C7352F" w:rsidRDefault="00C7352F" w:rsidP="00533212">
      <w:pPr>
        <w:pStyle w:val="Titulek"/>
        <w:keepNext/>
        <w:spacing w:before="240"/>
      </w:pPr>
      <w:bookmarkStart w:id="5" w:name="_Toc220396841"/>
      <w:r>
        <w:t xml:space="preserve">Graf </w:t>
      </w:r>
      <w:r w:rsidR="00AD57C4">
        <w:fldChar w:fldCharType="begin"/>
      </w:r>
      <w:r w:rsidR="00AD57C4">
        <w:instrText xml:space="preserve"> SEQ Graf \* ARABIC </w:instrText>
      </w:r>
      <w:r w:rsidR="00AD57C4">
        <w:fldChar w:fldCharType="separate"/>
      </w:r>
      <w:r w:rsidR="00497F80">
        <w:rPr>
          <w:noProof/>
        </w:rPr>
        <w:t>5</w:t>
      </w:r>
      <w:r w:rsidR="00AD57C4">
        <w:rPr>
          <w:noProof/>
        </w:rPr>
        <w:fldChar w:fldCharType="end"/>
      </w:r>
      <w:r>
        <w:rPr>
          <w:lang w:val="cs-CZ"/>
        </w:rPr>
        <w:t xml:space="preserve"> </w:t>
      </w:r>
      <w:r w:rsidR="003542EB">
        <w:rPr>
          <w:lang w:val="cs-CZ"/>
        </w:rPr>
        <w:t xml:space="preserve"> </w:t>
      </w:r>
      <w:r>
        <w:rPr>
          <w:lang w:val="cs-CZ"/>
        </w:rPr>
        <w:t xml:space="preserve">Meziroční růst peněžních příjmů domácností </w:t>
      </w:r>
      <w:r w:rsidR="00B56AF8">
        <w:rPr>
          <w:lang w:val="cs-CZ"/>
        </w:rPr>
        <w:t xml:space="preserve">v období </w:t>
      </w:r>
      <w:r>
        <w:rPr>
          <w:lang w:val="cs-CZ"/>
        </w:rPr>
        <w:t>201</w:t>
      </w:r>
      <w:r w:rsidR="00B56AF8">
        <w:rPr>
          <w:lang w:val="cs-CZ"/>
        </w:rPr>
        <w:t>4</w:t>
      </w:r>
      <w:r>
        <w:rPr>
          <w:lang w:val="cs-CZ"/>
        </w:rPr>
        <w:t>–202</w:t>
      </w:r>
      <w:r w:rsidR="00B56AF8">
        <w:rPr>
          <w:lang w:val="cs-CZ"/>
        </w:rPr>
        <w:t>4</w:t>
      </w:r>
      <w:bookmarkEnd w:id="5"/>
      <w:r w:rsidR="002C4114">
        <w:rPr>
          <w:lang w:val="cs-CZ"/>
        </w:rPr>
        <w:t xml:space="preserve"> (%)</w:t>
      </w:r>
    </w:p>
    <w:p w14:paraId="66748C7B" w14:textId="1920F0F6" w:rsidR="00425559" w:rsidRDefault="00533212" w:rsidP="00533212">
      <w:pPr>
        <w:spacing w:before="240" w:after="0" w:line="288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w:drawing>
          <wp:inline distT="0" distB="0" distL="0" distR="0" wp14:anchorId="0B9EF39D" wp14:editId="1674207C">
            <wp:extent cx="5759241" cy="2743200"/>
            <wp:effectExtent l="0" t="0" r="0" b="0"/>
            <wp:docPr id="1497258360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278" cy="2744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95CA55" w14:textId="3BA52E62" w:rsidR="00065BBF" w:rsidRDefault="00065BBF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2E443DB8" w14:textId="50307BC2" w:rsidR="00342A96" w:rsidRPr="003C10BC" w:rsidRDefault="00DF27A3" w:rsidP="00533212">
      <w:r w:rsidRPr="003C10BC">
        <w:t>Příjmovou s</w:t>
      </w:r>
      <w:r w:rsidR="005C6F45" w:rsidRPr="003C10BC">
        <w:t xml:space="preserve">ituaci </w:t>
      </w:r>
      <w:r w:rsidR="00425559">
        <w:t xml:space="preserve">vhodně </w:t>
      </w:r>
      <w:r w:rsidR="005C6F45" w:rsidRPr="003C10BC">
        <w:t>dokresluje i subjektivní vnímání domácností, jak vycházejí se svými příjmy.</w:t>
      </w:r>
      <w:r w:rsidR="002D5931" w:rsidRPr="003C10BC">
        <w:t xml:space="preserve"> </w:t>
      </w:r>
      <w:r w:rsidR="00CE33B9" w:rsidRPr="003C10BC">
        <w:t>V roce 202</w:t>
      </w:r>
      <w:r w:rsidR="00592193">
        <w:t>5</w:t>
      </w:r>
      <w:r w:rsidR="00CE33B9" w:rsidRPr="003C10BC">
        <w:t xml:space="preserve"> </w:t>
      </w:r>
      <w:r w:rsidR="00065BBF" w:rsidRPr="003C10BC">
        <w:t xml:space="preserve">přiznalo </w:t>
      </w:r>
      <w:r w:rsidR="00425559">
        <w:t xml:space="preserve">obtíže </w:t>
      </w:r>
      <w:r w:rsidR="00065BBF" w:rsidRPr="003C10BC">
        <w:t>13,</w:t>
      </w:r>
      <w:r w:rsidR="00592193">
        <w:t>5</w:t>
      </w:r>
      <w:r w:rsidR="00065BBF" w:rsidRPr="003C10BC">
        <w:t xml:space="preserve"> % a snadné vycházení uvedlo 1</w:t>
      </w:r>
      <w:r w:rsidR="008C16C9">
        <w:t>8</w:t>
      </w:r>
      <w:r w:rsidR="00065BBF" w:rsidRPr="003C10BC">
        <w:t>,</w:t>
      </w:r>
      <w:r w:rsidR="008C16C9">
        <w:t>4</w:t>
      </w:r>
      <w:r w:rsidR="00065BBF" w:rsidRPr="003C10BC">
        <w:t xml:space="preserve"> % </w:t>
      </w:r>
      <w:r w:rsidR="00065BBF" w:rsidRPr="00C812FC">
        <w:t>domácností.</w:t>
      </w:r>
      <w:r w:rsidR="00400B1D" w:rsidRPr="00C812FC">
        <w:t xml:space="preserve"> </w:t>
      </w:r>
      <w:r w:rsidR="00AD57C4" w:rsidRPr="00C812FC">
        <w:t>Obdobně tomu bylo i v předchozích letech, v průběhu let nejsou pozorovány zásadní rozdíly.</w:t>
      </w:r>
    </w:p>
    <w:p w14:paraId="1540490C" w14:textId="0A405E60" w:rsidR="003D61B0" w:rsidRDefault="003D61B0" w:rsidP="00A620FD">
      <w:pPr>
        <w:pStyle w:val="Titulek"/>
        <w:keepNext/>
        <w:rPr>
          <w:lang w:val="cs-CZ"/>
        </w:rPr>
      </w:pPr>
      <w:bookmarkStart w:id="6" w:name="_Toc220396842"/>
      <w:r>
        <w:t xml:space="preserve">Graf </w:t>
      </w:r>
      <w:r w:rsidR="00AD57C4">
        <w:fldChar w:fldCharType="begin"/>
      </w:r>
      <w:r w:rsidR="00AD57C4">
        <w:instrText xml:space="preserve"> SEQ Graf \* ARABIC </w:instrText>
      </w:r>
      <w:r w:rsidR="00AD57C4">
        <w:fldChar w:fldCharType="separate"/>
      </w:r>
      <w:r w:rsidR="00497F80">
        <w:rPr>
          <w:noProof/>
        </w:rPr>
        <w:t>6</w:t>
      </w:r>
      <w:r w:rsidR="00AD57C4">
        <w:rPr>
          <w:noProof/>
        </w:rPr>
        <w:fldChar w:fldCharType="end"/>
      </w:r>
      <w:r>
        <w:rPr>
          <w:lang w:val="cs-CZ"/>
        </w:rPr>
        <w:t xml:space="preserve"> </w:t>
      </w:r>
      <w:r w:rsidR="003542EB">
        <w:rPr>
          <w:lang w:val="cs-CZ"/>
        </w:rPr>
        <w:t xml:space="preserve"> </w:t>
      </w:r>
      <w:r w:rsidR="00592193" w:rsidRPr="00592193">
        <w:rPr>
          <w:lang w:val="cs-CZ"/>
        </w:rPr>
        <w:t>Jak domácnosti vycházely se svým celkovým příjmem</w:t>
      </w:r>
      <w:r w:rsidR="00592193">
        <w:rPr>
          <w:lang w:val="cs-CZ"/>
        </w:rPr>
        <w:t xml:space="preserve"> </w:t>
      </w:r>
      <w:r w:rsidR="00592193" w:rsidRPr="00592193">
        <w:rPr>
          <w:lang w:val="cs-CZ"/>
        </w:rPr>
        <w:t>v období 2021–2025 (%)</w:t>
      </w:r>
      <w:bookmarkEnd w:id="6"/>
    </w:p>
    <w:p w14:paraId="4312BFBB" w14:textId="4152526F" w:rsidR="00A620FD" w:rsidRPr="00A620FD" w:rsidRDefault="00533212" w:rsidP="00A620FD">
      <w:pPr>
        <w:rPr>
          <w:lang w:eastAsia="ar-SA"/>
        </w:rPr>
      </w:pPr>
      <w:r>
        <w:rPr>
          <w:noProof/>
          <w:lang w:eastAsia="ar-SA"/>
        </w:rPr>
        <w:drawing>
          <wp:inline distT="0" distB="0" distL="0" distR="0" wp14:anchorId="0872E8D1" wp14:editId="611842C7">
            <wp:extent cx="5758048" cy="1792224"/>
            <wp:effectExtent l="0" t="0" r="0" b="0"/>
            <wp:docPr id="486883436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824" cy="17933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951A0E" w14:textId="0C982010" w:rsidR="003D61B0" w:rsidRPr="00533212" w:rsidRDefault="003D61B0" w:rsidP="00533212">
      <w:pPr>
        <w:spacing w:before="240" w:after="120" w:line="288" w:lineRule="auto"/>
        <w:rPr>
          <w:rFonts w:cs="Arial"/>
          <w:b/>
          <w:sz w:val="26"/>
          <w:szCs w:val="26"/>
        </w:rPr>
      </w:pPr>
      <w:r w:rsidRPr="00533212">
        <w:rPr>
          <w:rFonts w:cs="Arial"/>
          <w:b/>
          <w:sz w:val="26"/>
          <w:szCs w:val="26"/>
        </w:rPr>
        <w:t xml:space="preserve">Výdaje za bydlení </w:t>
      </w:r>
    </w:p>
    <w:p w14:paraId="567D8653" w14:textId="75FDB700" w:rsidR="003D61B0" w:rsidRDefault="003D61B0" w:rsidP="00533212">
      <w:r w:rsidRPr="0042117A">
        <w:t xml:space="preserve">Smyslem </w:t>
      </w:r>
      <w:r w:rsidR="00004A55">
        <w:t>zjišťování</w:t>
      </w:r>
      <w:r w:rsidRPr="0042117A">
        <w:t xml:space="preserve"> Životní podmínky je také získávat údaje o způsobu, kvalitě a finanční náročnosti bydlení.</w:t>
      </w:r>
      <w:r w:rsidR="00533212">
        <w:t xml:space="preserve"> </w:t>
      </w:r>
      <w:r w:rsidRPr="0042117A">
        <w:t xml:space="preserve">Celkové výdaje za bydlení zjištěné </w:t>
      </w:r>
      <w:r w:rsidRPr="0042117A">
        <w:rPr>
          <w:u w:val="single"/>
        </w:rPr>
        <w:t>na jaře roku 202</w:t>
      </w:r>
      <w:r w:rsidR="00EF19DB">
        <w:rPr>
          <w:u w:val="single"/>
        </w:rPr>
        <w:t>5</w:t>
      </w:r>
      <w:r w:rsidRPr="0042117A">
        <w:t xml:space="preserve"> činily v průměru 8 8</w:t>
      </w:r>
      <w:r w:rsidR="00EF19DB">
        <w:t>97</w:t>
      </w:r>
      <w:r w:rsidRPr="0042117A">
        <w:t xml:space="preserve"> Kč měsíčně na domácnost</w:t>
      </w:r>
      <w:r w:rsidR="005632D8">
        <w:t xml:space="preserve">. </w:t>
      </w:r>
      <w:r w:rsidRPr="0042117A">
        <w:t xml:space="preserve">V těchto pravidelných výdajích je zahrnuto nájemné, resp. úhrada za užívání bytu, platby za dodávky energií (elektřina, plyn, teplo a teplá voda), </w:t>
      </w:r>
      <w:r w:rsidR="00E22A46" w:rsidRPr="0042117A">
        <w:t xml:space="preserve">dále </w:t>
      </w:r>
      <w:r w:rsidRPr="0042117A">
        <w:t>vodné a stočné, odvoz odpadků, paliva a</w:t>
      </w:r>
      <w:r w:rsidR="00933291">
        <w:t> </w:t>
      </w:r>
      <w:r w:rsidRPr="0042117A">
        <w:t xml:space="preserve">ostatní služby spojené s bydlením. Naopak zde nejsou zahrnuty náklady na pořízení samotného bydlení, příp. splátky hypotéky či úvěru ani náklady na údržbu či rekonstrukci. </w:t>
      </w:r>
    </w:p>
    <w:p w14:paraId="0F099492" w14:textId="11E79342" w:rsidR="00CD36E9" w:rsidRPr="009D1EFF" w:rsidRDefault="00CD36E9" w:rsidP="00533212">
      <w:r w:rsidRPr="009D1EFF">
        <w:t xml:space="preserve">Výdaje za bydlení se významně liší podle toho, zda domácnost žije ve vlastním (rodinném) domě anebo v bytě. Bydlení v nájmu je pro domácnost dražší než bydlení ve vlastním bytě či domě. Bydlení v rodinném domě vyšlo loni z hlediska průměrných vynaložených nákladů na </w:t>
      </w:r>
      <w:r w:rsidR="009D1EFF">
        <w:t>8 004</w:t>
      </w:r>
      <w:r w:rsidRPr="009D1EFF">
        <w:t xml:space="preserve"> Kč měsíčně. Nejvíce zaplatily domácnosti ve vlastním domě za elektřinu (4</w:t>
      </w:r>
      <w:r w:rsidR="009D1EFF">
        <w:t>3,2</w:t>
      </w:r>
      <w:r w:rsidRPr="009D1EFF">
        <w:t xml:space="preserve"> %) a plyn (2</w:t>
      </w:r>
      <w:r w:rsidR="009D1EFF">
        <w:t>6,7</w:t>
      </w:r>
      <w:r w:rsidRPr="009D1EFF">
        <w:t xml:space="preserve"> %), tj. především za vytápění. Dohromady tak domácnosti ve vlastních domech vynakládají na tyto dvě položky téměř tři čtvrtiny z celkových nákladů na bydlení, ale významné u nich byly též výdaje za paliva a vodné a stočné. </w:t>
      </w:r>
    </w:p>
    <w:p w14:paraId="4526BF63" w14:textId="0A8737E9" w:rsidR="009D1EFF" w:rsidRPr="00533212" w:rsidRDefault="00CD36E9" w:rsidP="00533212">
      <w:r w:rsidRPr="009D1EFF">
        <w:t xml:space="preserve">Oproti tomu domácnosti žijící v bytech a </w:t>
      </w:r>
      <w:r w:rsidRPr="009D1EFF">
        <w:rPr>
          <w:bCs/>
        </w:rPr>
        <w:t>bytových domech</w:t>
      </w:r>
      <w:r w:rsidRPr="009D1EFF">
        <w:t xml:space="preserve"> měly jinou skladbu výdajových položek. Ve vlastních bytech připadla zhruba čtvrtina (2</w:t>
      </w:r>
      <w:r w:rsidR="009D1EFF" w:rsidRPr="009D1EFF">
        <w:t>3,8</w:t>
      </w:r>
      <w:r w:rsidRPr="009D1EFF">
        <w:t xml:space="preserve"> %) na úhradu za užívání bytu, zatímco v pronajatých bytech utratily domácnosti za nájemné v průměru 4</w:t>
      </w:r>
      <w:r w:rsidR="009D1EFF" w:rsidRPr="009D1EFF">
        <w:t>5</w:t>
      </w:r>
      <w:r w:rsidRPr="009D1EFF">
        <w:t xml:space="preserve"> % z celkové částky </w:t>
      </w:r>
      <w:r w:rsidR="00FD402A">
        <w:t>13 572 Kč</w:t>
      </w:r>
      <w:r w:rsidRPr="009D1EFF">
        <w:t>. Za vytápění (tj.</w:t>
      </w:r>
      <w:r w:rsidR="00FD402A">
        <w:t> </w:t>
      </w:r>
      <w:r w:rsidRPr="009D1EFF">
        <w:t>ústřední topení) a</w:t>
      </w:r>
      <w:r w:rsidRPr="009D1EFF">
        <w:rPr>
          <w:spacing w:val="-20"/>
        </w:rPr>
        <w:t xml:space="preserve"> </w:t>
      </w:r>
      <w:r w:rsidRPr="009D1EFF">
        <w:t>teplou vodu vydaly domácnosti v bytech v</w:t>
      </w:r>
      <w:r w:rsidRPr="009D1EFF">
        <w:rPr>
          <w:spacing w:val="-20"/>
        </w:rPr>
        <w:t> </w:t>
      </w:r>
      <w:r w:rsidRPr="009D1EFF">
        <w:t>osobním vlastnictví částku v průměru 1 4</w:t>
      </w:r>
      <w:r w:rsidR="009D1EFF" w:rsidRPr="009D1EFF">
        <w:t>29</w:t>
      </w:r>
      <w:r w:rsidRPr="009D1EFF">
        <w:t xml:space="preserve"> Kč měsíčně, což odpovídá podílu </w:t>
      </w:r>
      <w:r w:rsidR="009D1EFF" w:rsidRPr="009D1EFF">
        <w:t>19,1</w:t>
      </w:r>
      <w:r w:rsidRPr="009D1EFF">
        <w:t xml:space="preserve"> % z celkových nákladů, zatímco v nájemních bytech jde o částku 1 </w:t>
      </w:r>
      <w:r w:rsidR="009D1EFF" w:rsidRPr="009D1EFF">
        <w:t>864</w:t>
      </w:r>
      <w:r w:rsidRPr="009D1EFF">
        <w:t xml:space="preserve"> Kč, která činí 1</w:t>
      </w:r>
      <w:r w:rsidR="009D1EFF" w:rsidRPr="009D1EFF">
        <w:t>3,7</w:t>
      </w:r>
      <w:r w:rsidRPr="009D1EFF">
        <w:t xml:space="preserve"> % z celkových výdajů. Domácnosti, jejichž členové bydlí u příbuzných či známých, uvádějí jako největší položky ze svých výdajů za bydlení výdaje na energie</w:t>
      </w:r>
      <w:r w:rsidR="00C812FC">
        <w:t xml:space="preserve"> a </w:t>
      </w:r>
      <w:r w:rsidR="00F34E58">
        <w:t>úhradu za užívání bytu</w:t>
      </w:r>
      <w:r w:rsidRPr="009D1EFF">
        <w:t xml:space="preserve">. </w:t>
      </w:r>
    </w:p>
    <w:p w14:paraId="750E03BD" w14:textId="531F732C" w:rsidR="00AD57C4" w:rsidRDefault="00AD57C4" w:rsidP="00A620FD">
      <w:pPr>
        <w:pStyle w:val="Titulek"/>
        <w:keepNext/>
      </w:pPr>
      <w:bookmarkStart w:id="7" w:name="_Toc220396843"/>
      <w:r>
        <w:t xml:space="preserve">Graf </w:t>
      </w:r>
      <w:r>
        <w:fldChar w:fldCharType="begin"/>
      </w:r>
      <w:r>
        <w:instrText xml:space="preserve"> SEQ Graf \* ARABIC </w:instrText>
      </w:r>
      <w:r>
        <w:fldChar w:fldCharType="separate"/>
      </w:r>
      <w:r w:rsidR="00497F80">
        <w:rPr>
          <w:noProof/>
        </w:rPr>
        <w:t>7</w:t>
      </w:r>
      <w:r>
        <w:rPr>
          <w:noProof/>
        </w:rPr>
        <w:fldChar w:fldCharType="end"/>
      </w:r>
      <w:r>
        <w:t xml:space="preserve"> </w:t>
      </w:r>
      <w:r w:rsidR="003542EB">
        <w:t xml:space="preserve"> </w:t>
      </w:r>
      <w:r>
        <w:t xml:space="preserve">Měsíční výdaje za bydlení v jednotlivých položkách podle právní formy </w:t>
      </w:r>
      <w:r w:rsidR="00F14C18">
        <w:t xml:space="preserve">v roce </w:t>
      </w:r>
      <w:r>
        <w:t>2025</w:t>
      </w:r>
      <w:bookmarkEnd w:id="7"/>
      <w:r w:rsidR="002C4114">
        <w:t xml:space="preserve"> (Kč)</w:t>
      </w:r>
    </w:p>
    <w:p w14:paraId="77A33A81" w14:textId="24FEFD52" w:rsidR="009D1EFF" w:rsidRDefault="00A620FD" w:rsidP="00533212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w:drawing>
          <wp:inline distT="0" distB="0" distL="0" distR="0" wp14:anchorId="11ED9B7D" wp14:editId="3FCE6B7B">
            <wp:extent cx="5760000" cy="2259088"/>
            <wp:effectExtent l="0" t="0" r="0" b="8255"/>
            <wp:docPr id="2077595802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2590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DD90D2" w14:textId="218CF4EE" w:rsidR="00CD36E9" w:rsidRDefault="009D1EFF" w:rsidP="00533212">
      <w:r w:rsidRPr="00EF19DB">
        <w:t>Podíl výdajů za bydlení na čistém příjmu domácnosti byl v roce 202</w:t>
      </w:r>
      <w:r>
        <w:t>5</w:t>
      </w:r>
      <w:r w:rsidRPr="00EF19DB">
        <w:t xml:space="preserve"> průměrně 1</w:t>
      </w:r>
      <w:r>
        <w:t>5</w:t>
      </w:r>
      <w:r w:rsidRPr="00EF19DB">
        <w:t>,</w:t>
      </w:r>
      <w:r>
        <w:t xml:space="preserve">9 </w:t>
      </w:r>
      <w:r w:rsidRPr="00EF19DB">
        <w:t>%</w:t>
      </w:r>
      <w:r>
        <w:t>, n</w:t>
      </w:r>
      <w:r w:rsidRPr="00EF19DB">
        <w:t xml:space="preserve">icméně nelze pominout významné rozdíly mezi jednotlivými typy domácností. Tyto rozdíly se odvíjejí zejména od toho, zda žijí ve vlastním anebo pronajatém bytě, a pochopitelně také od počtu členů domácnosti.  </w:t>
      </w:r>
      <w:r w:rsidR="00CD36E9" w:rsidRPr="009D1EFF">
        <w:t>U domácností žijících ve vlastním rodinném domě je poměr celkových výdajů za bydlení vůči jejich čistým příjmům nejnižší, a to konkrétně 1</w:t>
      </w:r>
      <w:r>
        <w:t>2,1</w:t>
      </w:r>
      <w:r w:rsidR="00CD36E9" w:rsidRPr="009D1EFF">
        <w:t xml:space="preserve"> %. Naopak rodiny i jednotlivci, kteří žijí v pronajatých bytech a kteří musejí vydat ze své kapsy v průměru více než 1</w:t>
      </w:r>
      <w:r>
        <w:t>3,5 tisíc Kč</w:t>
      </w:r>
      <w:r w:rsidR="00CD36E9" w:rsidRPr="009D1EFF">
        <w:t xml:space="preserve"> měsíčně na bydlení, mají tento poměr vzhledem ke svým čistým</w:t>
      </w:r>
      <w:r w:rsidR="00CD36E9" w:rsidRPr="009D1EFF">
        <w:rPr>
          <w:spacing w:val="-20"/>
        </w:rPr>
        <w:t xml:space="preserve"> </w:t>
      </w:r>
      <w:r w:rsidR="00CD36E9" w:rsidRPr="009D1EFF">
        <w:t>příjmům nejvyšší,</w:t>
      </w:r>
      <w:r w:rsidR="00CD36E9" w:rsidRPr="009D1EFF">
        <w:rPr>
          <w:spacing w:val="-20"/>
        </w:rPr>
        <w:t xml:space="preserve"> </w:t>
      </w:r>
      <w:r w:rsidR="00CD36E9" w:rsidRPr="009D1EFF">
        <w:t>a to 30,</w:t>
      </w:r>
      <w:r>
        <w:t>1</w:t>
      </w:r>
      <w:r w:rsidR="00CD36E9" w:rsidRPr="009D1EFF">
        <w:rPr>
          <w:spacing w:val="-20"/>
        </w:rPr>
        <w:t xml:space="preserve"> </w:t>
      </w:r>
      <w:r w:rsidR="00CD36E9" w:rsidRPr="009D1EFF">
        <w:t xml:space="preserve">%. Jejich průměrné náklady na bydlení byly oproti vlastnickému bydlení téměř dvojnásobné. </w:t>
      </w:r>
      <w:r w:rsidR="00FD402A">
        <w:t>Domácnosti, které</w:t>
      </w:r>
      <w:r w:rsidR="00CD36E9" w:rsidRPr="009D1EFF">
        <w:t xml:space="preserve"> bydlí u příbuzných či známých, sice platí za bydlení výrazně méně</w:t>
      </w:r>
      <w:r w:rsidR="00F34E58">
        <w:t>,</w:t>
      </w:r>
      <w:r w:rsidR="00CD36E9" w:rsidRPr="009D1EFF">
        <w:t xml:space="preserve"> než je</w:t>
      </w:r>
      <w:r w:rsidR="00CD36E9" w:rsidRPr="009D1EFF">
        <w:rPr>
          <w:spacing w:val="-20"/>
        </w:rPr>
        <w:t xml:space="preserve"> </w:t>
      </w:r>
      <w:r w:rsidR="00CD36E9" w:rsidRPr="009D1EFF">
        <w:t>průměr za</w:t>
      </w:r>
      <w:r w:rsidR="00CD36E9" w:rsidRPr="009D1EFF">
        <w:rPr>
          <w:spacing w:val="-20"/>
        </w:rPr>
        <w:t xml:space="preserve"> </w:t>
      </w:r>
      <w:r w:rsidR="00CD36E9" w:rsidRPr="009D1EFF">
        <w:t>ČR,</w:t>
      </w:r>
      <w:r w:rsidR="00CD36E9" w:rsidRPr="009D1EFF">
        <w:rPr>
          <w:spacing w:val="-20"/>
        </w:rPr>
        <w:t xml:space="preserve"> </w:t>
      </w:r>
      <w:r w:rsidR="00CD36E9" w:rsidRPr="009D1EFF">
        <w:t>avšak vzhledem k jejich nižším čistým příjmům jde o</w:t>
      </w:r>
      <w:r w:rsidR="0072752B">
        <w:t> </w:t>
      </w:r>
      <w:r w:rsidR="00CD36E9" w:rsidRPr="009D1EFF">
        <w:t>významnou částku a zmíněný podíl z příjmu činí 1</w:t>
      </w:r>
      <w:r>
        <w:t>6,1</w:t>
      </w:r>
      <w:r w:rsidR="00CD36E9" w:rsidRPr="009D1EFF">
        <w:t xml:space="preserve"> %.</w:t>
      </w:r>
    </w:p>
    <w:p w14:paraId="514F063D" w14:textId="27425E85" w:rsidR="008C16C9" w:rsidRDefault="008C16C9" w:rsidP="00A620FD">
      <w:pPr>
        <w:pStyle w:val="Titulek"/>
        <w:keepNext/>
      </w:pPr>
      <w:bookmarkStart w:id="8" w:name="_Toc220396844"/>
      <w:r>
        <w:t xml:space="preserve">Graf </w:t>
      </w:r>
      <w:r w:rsidR="00400B1D">
        <w:fldChar w:fldCharType="begin"/>
      </w:r>
      <w:r w:rsidR="00400B1D">
        <w:instrText xml:space="preserve"> SEQ Graf \* ARABIC </w:instrText>
      </w:r>
      <w:r w:rsidR="00400B1D">
        <w:fldChar w:fldCharType="separate"/>
      </w:r>
      <w:r w:rsidR="00497F80">
        <w:rPr>
          <w:noProof/>
        </w:rPr>
        <w:t>8</w:t>
      </w:r>
      <w:r w:rsidR="00400B1D">
        <w:rPr>
          <w:noProof/>
        </w:rPr>
        <w:fldChar w:fldCharType="end"/>
      </w:r>
      <w:r>
        <w:t xml:space="preserve"> </w:t>
      </w:r>
      <w:r w:rsidR="003542EB">
        <w:t xml:space="preserve"> </w:t>
      </w:r>
      <w:r w:rsidRPr="008C16C9">
        <w:rPr>
          <w:lang w:val="cs-CZ"/>
        </w:rPr>
        <w:t xml:space="preserve">Podíl výdajů za bydlení na čistém příjmu podle právní formy v roce 2025 </w:t>
      </w:r>
      <w:bookmarkEnd w:id="8"/>
    </w:p>
    <w:p w14:paraId="1766E734" w14:textId="591A3BB4" w:rsidR="005D686B" w:rsidRDefault="00A620FD" w:rsidP="00204B81">
      <w:pPr>
        <w:spacing w:after="240" w:line="288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w:drawing>
          <wp:inline distT="0" distB="0" distL="0" distR="0" wp14:anchorId="58D0DE02" wp14:editId="5E714F1E">
            <wp:extent cx="5760000" cy="2524076"/>
            <wp:effectExtent l="0" t="0" r="0" b="0"/>
            <wp:docPr id="608937959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5240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660D44" w14:textId="4F4F49B4" w:rsidR="003A7ED3" w:rsidRDefault="00F34E58" w:rsidP="00533212">
      <w:r>
        <w:t>V</w:t>
      </w:r>
      <w:r w:rsidR="00EF19E6">
        <w:t>ýdaj</w:t>
      </w:r>
      <w:r>
        <w:t>e</w:t>
      </w:r>
      <w:r w:rsidR="00EF19E6">
        <w:t xml:space="preserve"> za bydlení</w:t>
      </w:r>
      <w:r w:rsidR="00400B1D">
        <w:t xml:space="preserve"> </w:t>
      </w:r>
      <w:r>
        <w:t xml:space="preserve">jsou ovlivněny </w:t>
      </w:r>
      <w:r w:rsidR="00EF19E6">
        <w:t xml:space="preserve">především </w:t>
      </w:r>
      <w:r w:rsidR="00A00032">
        <w:t>právní form</w:t>
      </w:r>
      <w:r>
        <w:t>ou</w:t>
      </w:r>
      <w:r w:rsidR="00A00032">
        <w:t xml:space="preserve"> užívání bytu či domu. </w:t>
      </w:r>
      <w:r w:rsidR="000B66E3">
        <w:t>Č</w:t>
      </w:r>
      <w:r w:rsidR="000B66E3" w:rsidRPr="00C830C5">
        <w:t>esk</w:t>
      </w:r>
      <w:r w:rsidR="000B66E3">
        <w:t>é</w:t>
      </w:r>
      <w:r w:rsidR="000B66E3" w:rsidRPr="00C830C5">
        <w:t xml:space="preserve"> domácnost</w:t>
      </w:r>
      <w:r w:rsidR="000B66E3">
        <w:t>i</w:t>
      </w:r>
      <w:r w:rsidR="000B66E3" w:rsidRPr="00C830C5">
        <w:t xml:space="preserve"> </w:t>
      </w:r>
      <w:r w:rsidR="000B66E3">
        <w:t>n</w:t>
      </w:r>
      <w:r w:rsidR="00C830C5" w:rsidRPr="00C830C5">
        <w:t>ejčastěj</w:t>
      </w:r>
      <w:r w:rsidR="000B66E3">
        <w:t>i bydlí</w:t>
      </w:r>
      <w:r w:rsidR="00C830C5" w:rsidRPr="00C830C5">
        <w:t xml:space="preserve"> </w:t>
      </w:r>
      <w:r w:rsidR="000B66E3">
        <w:t>v</w:t>
      </w:r>
      <w:r w:rsidR="00C830C5" w:rsidRPr="00C830C5">
        <w:t xml:space="preserve"> rodinn</w:t>
      </w:r>
      <w:r w:rsidR="000B66E3">
        <w:t>ých</w:t>
      </w:r>
      <w:r w:rsidR="00C830C5" w:rsidRPr="00C830C5">
        <w:t xml:space="preserve"> dom</w:t>
      </w:r>
      <w:r w:rsidR="000B66E3">
        <w:t>ech</w:t>
      </w:r>
      <w:r w:rsidR="00C830C5" w:rsidRPr="00C830C5">
        <w:t xml:space="preserve">, </w:t>
      </w:r>
      <w:r w:rsidR="000B66E3">
        <w:t>v nichž</w:t>
      </w:r>
      <w:r w:rsidR="00C830C5" w:rsidRPr="00C830C5">
        <w:t xml:space="preserve"> žije téměř </w:t>
      </w:r>
      <w:r w:rsidR="00C830C5">
        <w:t>39</w:t>
      </w:r>
      <w:r w:rsidR="00C830C5" w:rsidRPr="00C830C5">
        <w:rPr>
          <w:rFonts w:cs="Arial"/>
        </w:rPr>
        <w:t> </w:t>
      </w:r>
      <w:r w:rsidR="00C830C5" w:rsidRPr="00C830C5">
        <w:t>% obyvatel. Dal</w:t>
      </w:r>
      <w:r w:rsidR="00C830C5" w:rsidRPr="00C830C5">
        <w:rPr>
          <w:rFonts w:cs="Arial Narrow"/>
        </w:rPr>
        <w:t>ší</w:t>
      </w:r>
      <w:r w:rsidR="00C830C5" w:rsidRPr="00C830C5">
        <w:t>ch p</w:t>
      </w:r>
      <w:r w:rsidR="00C830C5" w:rsidRPr="00C830C5">
        <w:rPr>
          <w:rFonts w:cs="Arial Narrow"/>
        </w:rPr>
        <w:t>ř</w:t>
      </w:r>
      <w:r w:rsidR="00C830C5" w:rsidRPr="00C830C5">
        <w:t>ibli</w:t>
      </w:r>
      <w:r w:rsidR="00C830C5" w:rsidRPr="00C830C5">
        <w:rPr>
          <w:rFonts w:cs="Arial Narrow"/>
        </w:rPr>
        <w:t>ž</w:t>
      </w:r>
      <w:r w:rsidR="00C830C5" w:rsidRPr="00C830C5">
        <w:t>n</w:t>
      </w:r>
      <w:r w:rsidR="00C830C5" w:rsidRPr="00C830C5">
        <w:rPr>
          <w:rFonts w:cs="Arial Narrow"/>
        </w:rPr>
        <w:t>ě</w:t>
      </w:r>
      <w:r w:rsidR="00C830C5" w:rsidRPr="00C830C5">
        <w:t xml:space="preserve"> 3</w:t>
      </w:r>
      <w:r w:rsidR="00C830C5">
        <w:t>4</w:t>
      </w:r>
      <w:r w:rsidR="00C830C5" w:rsidRPr="00C830C5">
        <w:rPr>
          <w:rFonts w:cs="Arial"/>
        </w:rPr>
        <w:t> </w:t>
      </w:r>
      <w:r w:rsidR="00C830C5" w:rsidRPr="00C830C5">
        <w:t>% dom</w:t>
      </w:r>
      <w:r w:rsidR="00C830C5" w:rsidRPr="00C830C5">
        <w:rPr>
          <w:rFonts w:cs="Arial Narrow"/>
        </w:rPr>
        <w:t>á</w:t>
      </w:r>
      <w:r w:rsidR="00C830C5" w:rsidRPr="00C830C5">
        <w:t>cnost</w:t>
      </w:r>
      <w:r w:rsidR="00C830C5" w:rsidRPr="00C830C5">
        <w:rPr>
          <w:rFonts w:cs="Arial Narrow"/>
        </w:rPr>
        <w:t>í</w:t>
      </w:r>
      <w:r w:rsidR="00C830C5" w:rsidRPr="00C830C5">
        <w:t xml:space="preserve"> ob</w:t>
      </w:r>
      <w:r w:rsidR="00C830C5" w:rsidRPr="00C830C5">
        <w:rPr>
          <w:rFonts w:cs="Arial Narrow"/>
        </w:rPr>
        <w:t>ý</w:t>
      </w:r>
      <w:r w:rsidR="00C830C5" w:rsidRPr="00C830C5">
        <w:t>v</w:t>
      </w:r>
      <w:r w:rsidR="00C830C5" w:rsidRPr="00C830C5">
        <w:rPr>
          <w:rFonts w:cs="Arial Narrow"/>
        </w:rPr>
        <w:t>á</w:t>
      </w:r>
      <w:r w:rsidR="00C830C5" w:rsidRPr="00C830C5">
        <w:t xml:space="preserve"> vlastn</w:t>
      </w:r>
      <w:r w:rsidR="00C830C5" w:rsidRPr="00C830C5">
        <w:rPr>
          <w:rFonts w:cs="Arial Narrow"/>
        </w:rPr>
        <w:t>í</w:t>
      </w:r>
      <w:r w:rsidR="00C830C5" w:rsidRPr="00C830C5">
        <w:t xml:space="preserve"> byt. Celkem tedy t</w:t>
      </w:r>
      <w:r w:rsidR="00C830C5" w:rsidRPr="00C830C5">
        <w:rPr>
          <w:rFonts w:cs="Arial Narrow"/>
        </w:rPr>
        <w:t>é</w:t>
      </w:r>
      <w:r w:rsidR="00C830C5" w:rsidRPr="00C830C5">
        <w:t>m</w:t>
      </w:r>
      <w:r w:rsidR="00C830C5" w:rsidRPr="00C830C5">
        <w:rPr>
          <w:rFonts w:cs="Arial Narrow"/>
        </w:rPr>
        <w:t>ěř</w:t>
      </w:r>
      <w:r w:rsidR="00C830C5" w:rsidRPr="00C830C5">
        <w:t xml:space="preserve"> t</w:t>
      </w:r>
      <w:r w:rsidR="00C830C5" w:rsidRPr="00C830C5">
        <w:rPr>
          <w:rFonts w:cs="Arial Narrow"/>
        </w:rPr>
        <w:t>ř</w:t>
      </w:r>
      <w:r w:rsidR="00C830C5" w:rsidRPr="00C830C5">
        <w:t xml:space="preserve">i </w:t>
      </w:r>
      <w:r w:rsidR="00C830C5" w:rsidRPr="00C830C5">
        <w:rPr>
          <w:rFonts w:cs="Arial Narrow"/>
        </w:rPr>
        <w:t>č</w:t>
      </w:r>
      <w:r w:rsidR="00C830C5" w:rsidRPr="00C830C5">
        <w:t>tvrtiny dom</w:t>
      </w:r>
      <w:r w:rsidR="00C830C5" w:rsidRPr="00C830C5">
        <w:rPr>
          <w:rFonts w:cs="Arial Narrow"/>
        </w:rPr>
        <w:t>á</w:t>
      </w:r>
      <w:r w:rsidR="00C830C5" w:rsidRPr="00C830C5">
        <w:t>cnost</w:t>
      </w:r>
      <w:r w:rsidR="00C830C5" w:rsidRPr="00C830C5">
        <w:rPr>
          <w:rFonts w:cs="Arial Narrow"/>
        </w:rPr>
        <w:t>í</w:t>
      </w:r>
      <w:r w:rsidR="00C830C5" w:rsidRPr="00C830C5">
        <w:t xml:space="preserve"> v </w:t>
      </w:r>
      <w:r w:rsidR="00C830C5" w:rsidRPr="00C830C5">
        <w:rPr>
          <w:rFonts w:cs="Arial Narrow"/>
        </w:rPr>
        <w:t>Č</w:t>
      </w:r>
      <w:r w:rsidR="00C830C5" w:rsidRPr="00C830C5">
        <w:t>esku bydl</w:t>
      </w:r>
      <w:r w:rsidR="00C830C5" w:rsidRPr="00C830C5">
        <w:rPr>
          <w:rFonts w:cs="Arial Narrow"/>
        </w:rPr>
        <w:t>í</w:t>
      </w:r>
      <w:r w:rsidR="00C830C5" w:rsidRPr="00C830C5">
        <w:t xml:space="preserve"> ve vlastn</w:t>
      </w:r>
      <w:r w:rsidR="00C830C5" w:rsidRPr="00C830C5">
        <w:rPr>
          <w:rFonts w:cs="Arial Narrow"/>
        </w:rPr>
        <w:t>í</w:t>
      </w:r>
      <w:r w:rsidR="00C830C5" w:rsidRPr="00C830C5">
        <w:t>m, zat</w:t>
      </w:r>
      <w:r w:rsidR="00C830C5" w:rsidRPr="00C830C5">
        <w:rPr>
          <w:rFonts w:cs="Arial Narrow"/>
        </w:rPr>
        <w:t>í</w:t>
      </w:r>
      <w:r w:rsidR="00C830C5" w:rsidRPr="00C830C5">
        <w:t>mco n</w:t>
      </w:r>
      <w:r w:rsidR="00C830C5" w:rsidRPr="00C830C5">
        <w:rPr>
          <w:rFonts w:cs="Arial Narrow"/>
        </w:rPr>
        <w:t>á</w:t>
      </w:r>
      <w:r w:rsidR="00C830C5" w:rsidRPr="00C830C5">
        <w:t>jemn</w:t>
      </w:r>
      <w:r w:rsidR="00C830C5" w:rsidRPr="00C830C5">
        <w:rPr>
          <w:rFonts w:cs="Arial Narrow"/>
        </w:rPr>
        <w:t>í</w:t>
      </w:r>
      <w:r w:rsidR="00C830C5" w:rsidRPr="00C830C5">
        <w:t xml:space="preserve"> bydlen</w:t>
      </w:r>
      <w:r w:rsidR="00C830C5" w:rsidRPr="00C830C5">
        <w:rPr>
          <w:rFonts w:cs="Arial Narrow"/>
        </w:rPr>
        <w:t>í</w:t>
      </w:r>
      <w:r w:rsidR="00C830C5" w:rsidRPr="00C830C5">
        <w:t xml:space="preserve"> se t</w:t>
      </w:r>
      <w:r w:rsidR="00C830C5" w:rsidRPr="00C830C5">
        <w:rPr>
          <w:rFonts w:cs="Arial Narrow"/>
        </w:rPr>
        <w:t>ý</w:t>
      </w:r>
      <w:r w:rsidR="00C830C5" w:rsidRPr="00C830C5">
        <w:t>k</w:t>
      </w:r>
      <w:r w:rsidR="00C830C5" w:rsidRPr="00C830C5">
        <w:rPr>
          <w:rFonts w:cs="Arial Narrow"/>
        </w:rPr>
        <w:t>á</w:t>
      </w:r>
      <w:r w:rsidR="00C830C5" w:rsidRPr="00C830C5">
        <w:t xml:space="preserve"> asi p</w:t>
      </w:r>
      <w:r w:rsidR="00C830C5" w:rsidRPr="00C830C5">
        <w:rPr>
          <w:rFonts w:cs="Arial Narrow"/>
        </w:rPr>
        <w:t>ě</w:t>
      </w:r>
      <w:r w:rsidR="00C830C5" w:rsidRPr="00C830C5">
        <w:t>tiny z nich.</w:t>
      </w:r>
      <w:r w:rsidR="00C830C5">
        <w:t xml:space="preserve"> </w:t>
      </w:r>
    </w:p>
    <w:p w14:paraId="6F02B015" w14:textId="1F519764" w:rsidR="0024160B" w:rsidRDefault="00A92313" w:rsidP="00533212">
      <w:r>
        <w:t>Odlišné</w:t>
      </w:r>
      <w:r w:rsidR="00C830C5" w:rsidRPr="00C830C5">
        <w:t xml:space="preserve"> rozložení forem bydlení </w:t>
      </w:r>
      <w:r w:rsidR="003A7ED3">
        <w:t>lze pozorovat</w:t>
      </w:r>
      <w:r w:rsidR="00C830C5" w:rsidRPr="00C830C5">
        <w:t xml:space="preserve"> u jednotlivých sledovaných typů domácností.</w:t>
      </w:r>
      <w:r w:rsidR="00C830C5">
        <w:t xml:space="preserve"> </w:t>
      </w:r>
      <w:r>
        <w:t>D</w:t>
      </w:r>
      <w:r w:rsidR="00C830C5">
        <w:t>omácnost</w:t>
      </w:r>
      <w:r>
        <w:t>i</w:t>
      </w:r>
      <w:r w:rsidR="00C830C5">
        <w:t xml:space="preserve"> důchodců </w:t>
      </w:r>
      <w:r>
        <w:t xml:space="preserve">mají </w:t>
      </w:r>
      <w:r w:rsidR="00C830C5">
        <w:t xml:space="preserve">menší podíl </w:t>
      </w:r>
      <w:r w:rsidR="00C830C5" w:rsidRPr="000B66E3">
        <w:t xml:space="preserve">nájemního bydlení, pouze 16,5 %, ale zároveň nejvyšší (13,2 %) podíl bydlení u příbuzných či známých. </w:t>
      </w:r>
      <w:r w:rsidR="000B66E3" w:rsidRPr="000B66E3">
        <w:t xml:space="preserve">V nich </w:t>
      </w:r>
      <w:r w:rsidR="003A7ED3" w:rsidRPr="000B66E3">
        <w:t xml:space="preserve">dochází k </w:t>
      </w:r>
      <w:r w:rsidR="00C830C5" w:rsidRPr="000B66E3">
        <w:t>formálním převod</w:t>
      </w:r>
      <w:r w:rsidR="003A7ED3" w:rsidRPr="000B66E3">
        <w:t>ům</w:t>
      </w:r>
      <w:r w:rsidR="00C830C5" w:rsidRPr="000B66E3">
        <w:t xml:space="preserve"> </w:t>
      </w:r>
      <w:r w:rsidR="003A7ED3" w:rsidRPr="000B66E3">
        <w:t xml:space="preserve">domů či </w:t>
      </w:r>
      <w:r w:rsidR="00C830C5" w:rsidRPr="000B66E3">
        <w:t>bytů</w:t>
      </w:r>
      <w:r w:rsidR="003A7ED3" w:rsidRPr="000B66E3">
        <w:t xml:space="preserve"> </w:t>
      </w:r>
      <w:r w:rsidR="000B66E3" w:rsidRPr="000B66E3">
        <w:t xml:space="preserve">od osob, které zde i nadále bydlí, </w:t>
      </w:r>
      <w:r w:rsidR="00C830C5" w:rsidRPr="000B66E3">
        <w:t xml:space="preserve">na </w:t>
      </w:r>
      <w:r w:rsidR="000B66E3" w:rsidRPr="000B66E3">
        <w:t xml:space="preserve">jejich </w:t>
      </w:r>
      <w:r w:rsidR="00C830C5" w:rsidRPr="000B66E3">
        <w:t>blízké příbuzné</w:t>
      </w:r>
      <w:r w:rsidR="000B66E3" w:rsidRPr="000B66E3">
        <w:t>,</w:t>
      </w:r>
      <w:r w:rsidR="00C830C5" w:rsidRPr="000B66E3">
        <w:t xml:space="preserve"> nejčastěji děti či vnoučata. </w:t>
      </w:r>
      <w:bookmarkStart w:id="9" w:name="_Ref219882645"/>
      <w:r w:rsidR="0024160B" w:rsidRPr="000B66E3">
        <w:t xml:space="preserve">Úplné rodiny s dětmi nejčastěji </w:t>
      </w:r>
      <w:r w:rsidRPr="000B66E3">
        <w:t>bydlí</w:t>
      </w:r>
      <w:r w:rsidR="0024160B" w:rsidRPr="000B66E3">
        <w:t xml:space="preserve"> </w:t>
      </w:r>
      <w:r w:rsidRPr="000B66E3">
        <w:t xml:space="preserve">ve </w:t>
      </w:r>
      <w:r w:rsidR="0024160B" w:rsidRPr="000B66E3">
        <w:t>vlastní</w:t>
      </w:r>
      <w:r w:rsidRPr="000B66E3">
        <w:t>m</w:t>
      </w:r>
      <w:r w:rsidR="0024160B" w:rsidRPr="000B66E3">
        <w:t xml:space="preserve"> rodinné</w:t>
      </w:r>
      <w:r w:rsidRPr="000B66E3">
        <w:t>m</w:t>
      </w:r>
      <w:r w:rsidR="0024160B" w:rsidRPr="000B66E3">
        <w:t xml:space="preserve"> dom</w:t>
      </w:r>
      <w:r w:rsidRPr="000B66E3">
        <w:t>ě</w:t>
      </w:r>
      <w:r w:rsidR="000B66E3" w:rsidRPr="000B66E3">
        <w:t xml:space="preserve"> (44,4 %)</w:t>
      </w:r>
      <w:r w:rsidR="0024160B" w:rsidRPr="000B66E3">
        <w:t>, což odpovídá</w:t>
      </w:r>
      <w:r w:rsidR="0024160B" w:rsidRPr="0024160B">
        <w:t xml:space="preserve"> jejich zvýšeným </w:t>
      </w:r>
      <w:r>
        <w:t xml:space="preserve">nárokům na </w:t>
      </w:r>
      <w:r w:rsidR="0024160B" w:rsidRPr="0024160B">
        <w:t xml:space="preserve">prostor pro výchovu dětí a lepší finanční situaci, která jim to umožňuje. Naopak neúplné rodiny s dětmi kvůli horší ekonomické situaci nejčastěji </w:t>
      </w:r>
      <w:r>
        <w:t xml:space="preserve">žijí v nájmu </w:t>
      </w:r>
      <w:r w:rsidR="0024160B">
        <w:t>(46,1 %)</w:t>
      </w:r>
      <w:r w:rsidR="0024160B" w:rsidRPr="0024160B">
        <w:t xml:space="preserve">. Tento kontrast ukazuje, jak bydlení závisí na ekonomické stabilitě rodiny, </w:t>
      </w:r>
      <w:r w:rsidR="00521C4F">
        <w:t xml:space="preserve">na </w:t>
      </w:r>
      <w:r w:rsidR="00400B1D">
        <w:t xml:space="preserve">výši </w:t>
      </w:r>
      <w:r w:rsidR="00400B1D" w:rsidRPr="0024160B">
        <w:t>příjmů</w:t>
      </w:r>
      <w:r w:rsidR="0024160B" w:rsidRPr="0024160B">
        <w:t xml:space="preserve"> a </w:t>
      </w:r>
      <w:r w:rsidR="00521C4F">
        <w:t>počtu výdělečných členů domácnosti</w:t>
      </w:r>
      <w:r w:rsidR="0024160B" w:rsidRPr="0024160B">
        <w:t>.</w:t>
      </w:r>
    </w:p>
    <w:p w14:paraId="11FABFD8" w14:textId="2FF3A55A" w:rsidR="00333EFA" w:rsidRDefault="00333EFA" w:rsidP="00333EFA">
      <w:pPr>
        <w:pStyle w:val="Titulek"/>
        <w:keepNext/>
      </w:pPr>
      <w:bookmarkStart w:id="10" w:name="_Toc220396845"/>
      <w:bookmarkEnd w:id="9"/>
      <w:r>
        <w:t xml:space="preserve">Graf </w:t>
      </w:r>
      <w:r w:rsidR="00400B1D">
        <w:fldChar w:fldCharType="begin"/>
      </w:r>
      <w:r w:rsidR="00400B1D">
        <w:instrText xml:space="preserve"> SEQ Graf \* ARABIC </w:instrText>
      </w:r>
      <w:r w:rsidR="00400B1D">
        <w:fldChar w:fldCharType="separate"/>
      </w:r>
      <w:r w:rsidR="00497F80">
        <w:rPr>
          <w:noProof/>
        </w:rPr>
        <w:t>9</w:t>
      </w:r>
      <w:r w:rsidR="00400B1D">
        <w:rPr>
          <w:noProof/>
        </w:rPr>
        <w:fldChar w:fldCharType="end"/>
      </w:r>
      <w:r>
        <w:t xml:space="preserve"> </w:t>
      </w:r>
      <w:r w:rsidR="003542EB">
        <w:t xml:space="preserve"> </w:t>
      </w:r>
      <w:r w:rsidR="00C343FF">
        <w:t>Právní f</w:t>
      </w:r>
      <w:r w:rsidRPr="00967A17">
        <w:t>ormy bydlení podle vybraných druhů domácností v roce 2025</w:t>
      </w:r>
      <w:bookmarkEnd w:id="10"/>
      <w:r w:rsidR="00C343FF">
        <w:t xml:space="preserve"> (%)</w:t>
      </w:r>
    </w:p>
    <w:p w14:paraId="5D17DA33" w14:textId="0CE19DFA" w:rsidR="0024552A" w:rsidRDefault="00A620FD" w:rsidP="00204B81">
      <w:pPr>
        <w:spacing w:after="240" w:line="288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w:drawing>
          <wp:inline distT="0" distB="0" distL="0" distR="0" wp14:anchorId="194AC3D4" wp14:editId="64785649">
            <wp:extent cx="5756795" cy="2128723"/>
            <wp:effectExtent l="0" t="0" r="0" b="5080"/>
            <wp:docPr id="1118375358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393" cy="21319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AF6196" w14:textId="77777777" w:rsidR="00497F80" w:rsidRDefault="00D87224" w:rsidP="00533212">
      <w:r w:rsidRPr="005B668E">
        <w:t>Při porovnání výdajů na bydlení mezi vybranými druhy domácností nejvíce z</w:t>
      </w:r>
      <w:r w:rsidR="009D1EFF" w:rsidRPr="005B668E">
        <w:t>aplatily</w:t>
      </w:r>
      <w:r w:rsidR="00521C4F">
        <w:t xml:space="preserve"> </w:t>
      </w:r>
      <w:r w:rsidR="00521C4F" w:rsidRPr="005B668E">
        <w:t>za své bydlení</w:t>
      </w:r>
      <w:r w:rsidR="00EF19E6" w:rsidRPr="005B668E">
        <w:t xml:space="preserve"> domácnosti s dětmi. </w:t>
      </w:r>
      <w:r w:rsidR="005B668E" w:rsidRPr="005B668E">
        <w:t>Konkrétně n</w:t>
      </w:r>
      <w:r w:rsidR="009D1EFF" w:rsidRPr="005B668E">
        <w:t>eúplné rodiny s dětmi, a to jak v absolutním vyjádření (v průměru 10</w:t>
      </w:r>
      <w:r w:rsidR="005B668E" w:rsidRPr="005B668E">
        <w:t> </w:t>
      </w:r>
      <w:r w:rsidR="009D1EFF" w:rsidRPr="005B668E">
        <w:t xml:space="preserve">587 Kč měsíčně), tak relativně vzhledem k jejich příjmům (26,6 %). Důvodem je, že </w:t>
      </w:r>
      <w:r w:rsidRPr="005B668E">
        <w:t>polovina</w:t>
      </w:r>
      <w:r w:rsidR="009D1EFF" w:rsidRPr="005B668E">
        <w:t xml:space="preserve"> těchto neúplných rodin bydlí v nájemních bytech</w:t>
      </w:r>
      <w:r w:rsidR="00EF19E6" w:rsidRPr="005B668E">
        <w:t xml:space="preserve"> (viz </w:t>
      </w:r>
      <w:r w:rsidR="00EF19E6" w:rsidRPr="005B668E">
        <w:fldChar w:fldCharType="begin"/>
      </w:r>
      <w:r w:rsidR="00EF19E6" w:rsidRPr="005B668E">
        <w:instrText xml:space="preserve"> REF _Ref219882645 \h  \* MERGEFORMAT </w:instrText>
      </w:r>
      <w:r w:rsidR="00EF19E6" w:rsidRPr="005B668E">
        <w:fldChar w:fldCharType="separate"/>
      </w:r>
      <w:r w:rsidR="00497F80" w:rsidRPr="000B66E3">
        <w:t xml:space="preserve">Úplné </w:t>
      </w:r>
      <w:r w:rsidR="00497F80" w:rsidRPr="000B66E3">
        <w:rPr>
          <w:noProof/>
        </w:rPr>
        <w:t>rodiny</w:t>
      </w:r>
      <w:r w:rsidR="00497F80" w:rsidRPr="000B66E3">
        <w:t xml:space="preserve"> s dětmi nejčastěji bydlí ve vlastním rodinném domě (44,4 %), což odpovídá</w:t>
      </w:r>
      <w:r w:rsidR="00497F80" w:rsidRPr="0024160B">
        <w:t xml:space="preserve"> jejich zvýšeným </w:t>
      </w:r>
      <w:r w:rsidR="00497F80">
        <w:t xml:space="preserve">nárokům na </w:t>
      </w:r>
      <w:r w:rsidR="00497F80" w:rsidRPr="0024160B">
        <w:t xml:space="preserve">prostor pro výchovu dětí a lepší finanční situaci, která jim to umožňuje. Naopak neúplné rodiny s dětmi kvůli horší ekonomické situaci nejčastěji </w:t>
      </w:r>
      <w:r w:rsidR="00497F80">
        <w:t>žijí v nájmu (46,1 %)</w:t>
      </w:r>
      <w:r w:rsidR="00497F80" w:rsidRPr="0024160B">
        <w:t xml:space="preserve">. Tento kontrast ukazuje, jak bydlení závisí na ekonomické stabilitě rodiny, </w:t>
      </w:r>
      <w:r w:rsidR="00497F80">
        <w:t xml:space="preserve">na výši </w:t>
      </w:r>
      <w:r w:rsidR="00497F80" w:rsidRPr="0024160B">
        <w:t xml:space="preserve">příjmů a </w:t>
      </w:r>
      <w:r w:rsidR="00497F80">
        <w:t>počtu výdělečných členů domácnosti</w:t>
      </w:r>
      <w:r w:rsidR="00497F80" w:rsidRPr="0024160B">
        <w:t>.</w:t>
      </w:r>
    </w:p>
    <w:p w14:paraId="13BE9563" w14:textId="4E6C4C54" w:rsidR="00D87224" w:rsidRPr="00EF19DB" w:rsidRDefault="00EF19E6" w:rsidP="00FF6E4D">
      <w:r w:rsidRPr="005B668E">
        <w:fldChar w:fldCharType="end"/>
      </w:r>
      <w:r w:rsidRPr="005B668E">
        <w:t>).</w:t>
      </w:r>
      <w:r w:rsidR="00B925B0" w:rsidRPr="005B668E">
        <w:t xml:space="preserve"> </w:t>
      </w:r>
      <w:r w:rsidR="00400B1D" w:rsidRPr="00400B1D">
        <w:t>Vysoký podíl výdajů na bydlení, který činí 21</w:t>
      </w:r>
      <w:r w:rsidR="00400B1D">
        <w:t>,7</w:t>
      </w:r>
      <w:r w:rsidR="00400B1D" w:rsidRPr="00400B1D">
        <w:rPr>
          <w:rFonts w:cs="Arial"/>
        </w:rPr>
        <w:t> </w:t>
      </w:r>
      <w:r w:rsidR="00400B1D" w:rsidRPr="00400B1D">
        <w:t xml:space="preserve">% </w:t>
      </w:r>
      <w:r w:rsidR="00400B1D" w:rsidRPr="00400B1D">
        <w:rPr>
          <w:rFonts w:cs="Arial Narrow"/>
        </w:rPr>
        <w:t>č</w:t>
      </w:r>
      <w:r w:rsidR="00400B1D" w:rsidRPr="00400B1D">
        <w:t>ist</w:t>
      </w:r>
      <w:r w:rsidR="00400B1D" w:rsidRPr="00400B1D">
        <w:rPr>
          <w:rFonts w:cs="Arial Narrow"/>
        </w:rPr>
        <w:t>ý</w:t>
      </w:r>
      <w:r w:rsidR="00400B1D" w:rsidRPr="00400B1D">
        <w:t>ch p</w:t>
      </w:r>
      <w:r w:rsidR="00400B1D" w:rsidRPr="00400B1D">
        <w:rPr>
          <w:rFonts w:cs="Arial Narrow"/>
        </w:rPr>
        <w:t>ří</w:t>
      </w:r>
      <w:r w:rsidR="00400B1D" w:rsidRPr="00400B1D">
        <w:t>jm</w:t>
      </w:r>
      <w:r w:rsidR="00400B1D" w:rsidRPr="00400B1D">
        <w:rPr>
          <w:rFonts w:cs="Arial Narrow"/>
        </w:rPr>
        <w:t>ů</w:t>
      </w:r>
      <w:r w:rsidR="00FC4283">
        <w:rPr>
          <w:rFonts w:cs="Arial Narrow"/>
        </w:rPr>
        <w:t>,</w:t>
      </w:r>
      <w:r w:rsidR="00B925B0" w:rsidRPr="005B668E">
        <w:t xml:space="preserve"> </w:t>
      </w:r>
      <w:r w:rsidR="00823B7F" w:rsidRPr="005B668E">
        <w:t>vykazují t</w:t>
      </w:r>
      <w:r w:rsidR="00B925B0" w:rsidRPr="005B668E">
        <w:t xml:space="preserve">aké domácnosti důchodců, </w:t>
      </w:r>
      <w:r w:rsidR="00823B7F" w:rsidRPr="005B668E">
        <w:t xml:space="preserve">přestože jejich měsíční náklady byly nejnižší – pouze 7 287 Kč. </w:t>
      </w:r>
      <w:r w:rsidR="00D87224" w:rsidRPr="005B668E">
        <w:t xml:space="preserve">Nízké náklady jsou způsobeny především tím, že přes 70 % </w:t>
      </w:r>
      <w:r w:rsidR="00823B7F" w:rsidRPr="005B668E">
        <w:t>domácností důchodců</w:t>
      </w:r>
      <w:r w:rsidR="00D87224" w:rsidRPr="005B668E">
        <w:t xml:space="preserve"> žije ve vlastním</w:t>
      </w:r>
      <w:r w:rsidR="00823B7F" w:rsidRPr="005B668E">
        <w:t xml:space="preserve"> domě či bytě</w:t>
      </w:r>
      <w:r w:rsidR="00D87224" w:rsidRPr="005B668E">
        <w:t xml:space="preserve">. </w:t>
      </w:r>
      <w:r w:rsidR="00823B7F" w:rsidRPr="005B668E">
        <w:t>Nejnižší poměr výdajů za bydlení vůči čistým příjmům mají ze sledovaných druhů domácností ú</w:t>
      </w:r>
      <w:r w:rsidR="00D87224" w:rsidRPr="005B668E">
        <w:t xml:space="preserve">plné rodiny s dětmi </w:t>
      </w:r>
      <w:r w:rsidR="00823B7F" w:rsidRPr="005B668E">
        <w:t xml:space="preserve">ve výši 13,8 %. A to i přes </w:t>
      </w:r>
      <w:r w:rsidR="00D87224" w:rsidRPr="005B668E">
        <w:t xml:space="preserve">druhý nejvyšší </w:t>
      </w:r>
      <w:r w:rsidR="00FC745F">
        <w:t>výdaj</w:t>
      </w:r>
      <w:r w:rsidR="00D87224" w:rsidRPr="005B668E">
        <w:t xml:space="preserve"> </w:t>
      </w:r>
      <w:r w:rsidR="00FC745F">
        <w:t>za</w:t>
      </w:r>
      <w:r w:rsidR="00D87224" w:rsidRPr="005B668E">
        <w:t xml:space="preserve"> bydlení v hodnotě 10 201 Kč</w:t>
      </w:r>
      <w:r w:rsidR="00823B7F" w:rsidRPr="005B668E">
        <w:t xml:space="preserve"> měsíčně. Domácnosti zaměstnanců</w:t>
      </w:r>
      <w:r w:rsidR="00FC745F">
        <w:t xml:space="preserve">, kde </w:t>
      </w:r>
      <w:r w:rsidR="00FC745F" w:rsidRPr="005B668E">
        <w:t>převažuje vlastnické bydlení</w:t>
      </w:r>
      <w:r w:rsidR="00FC745F">
        <w:t xml:space="preserve"> </w:t>
      </w:r>
      <w:r w:rsidR="00FC745F" w:rsidRPr="005B668E">
        <w:t>(přes 73 %)</w:t>
      </w:r>
      <w:r w:rsidR="00FC745F">
        <w:t>,</w:t>
      </w:r>
      <w:r w:rsidR="00823B7F" w:rsidRPr="005B668E">
        <w:t xml:space="preserve"> zaplatily měsíčně za bydlení 9 497 Kč, </w:t>
      </w:r>
      <w:r w:rsidR="005B668E" w:rsidRPr="005B668E">
        <w:t>což</w:t>
      </w:r>
      <w:r w:rsidR="00823B7F" w:rsidRPr="005B668E">
        <w:t xml:space="preserve"> činilo 14,3 % jejich </w:t>
      </w:r>
      <w:r w:rsidR="00521C4F">
        <w:t xml:space="preserve">čistých </w:t>
      </w:r>
      <w:r w:rsidR="00823B7F" w:rsidRPr="005B668E">
        <w:t>příjmů</w:t>
      </w:r>
      <w:r w:rsidR="00FC745F">
        <w:t>.</w:t>
      </w:r>
    </w:p>
    <w:p w14:paraId="676B9C43" w14:textId="67C6E151" w:rsidR="00DA3DF4" w:rsidRPr="008C16C9" w:rsidRDefault="00DA3DF4" w:rsidP="00DA3DF4">
      <w:pPr>
        <w:pStyle w:val="Titulek"/>
        <w:keepNext/>
        <w:rPr>
          <w:lang w:val="cs-CZ"/>
        </w:rPr>
      </w:pPr>
      <w:bookmarkStart w:id="11" w:name="_Toc220396846"/>
      <w:r w:rsidRPr="008C16C9">
        <w:t xml:space="preserve">Graf </w:t>
      </w:r>
      <w:r w:rsidR="00400B1D">
        <w:fldChar w:fldCharType="begin"/>
      </w:r>
      <w:r w:rsidR="00400B1D">
        <w:instrText xml:space="preserve"> SEQ Graf \* ARABIC </w:instrText>
      </w:r>
      <w:r w:rsidR="00400B1D">
        <w:fldChar w:fldCharType="separate"/>
      </w:r>
      <w:r w:rsidR="00497F80">
        <w:rPr>
          <w:noProof/>
        </w:rPr>
        <w:t>10</w:t>
      </w:r>
      <w:r w:rsidR="00400B1D">
        <w:rPr>
          <w:noProof/>
        </w:rPr>
        <w:fldChar w:fldCharType="end"/>
      </w:r>
      <w:r w:rsidRPr="008C16C9">
        <w:rPr>
          <w:lang w:val="cs-CZ"/>
        </w:rPr>
        <w:t xml:space="preserve"> </w:t>
      </w:r>
      <w:r w:rsidR="003542EB">
        <w:rPr>
          <w:lang w:val="cs-CZ"/>
        </w:rPr>
        <w:t xml:space="preserve"> </w:t>
      </w:r>
      <w:r w:rsidR="008C16C9" w:rsidRPr="008C16C9">
        <w:rPr>
          <w:lang w:val="cs-CZ"/>
        </w:rPr>
        <w:t>Podíl výdajů za bydlení na čistém příjmu podle vybraných druhů domácností</w:t>
      </w:r>
      <w:r w:rsidR="00180DFD">
        <w:rPr>
          <w:lang w:val="cs-CZ"/>
        </w:rPr>
        <w:t> </w:t>
      </w:r>
      <w:r w:rsidR="00180DFD">
        <w:rPr>
          <w:lang w:val="cs-CZ"/>
        </w:rPr>
        <w:br/>
      </w:r>
      <w:r w:rsidR="008C16C9" w:rsidRPr="008C16C9">
        <w:rPr>
          <w:lang w:val="cs-CZ"/>
        </w:rPr>
        <w:t xml:space="preserve">v roce 2025 </w:t>
      </w:r>
      <w:bookmarkEnd w:id="11"/>
    </w:p>
    <w:p w14:paraId="623FE83A" w14:textId="300A73FD" w:rsidR="00533212" w:rsidRDefault="00533212" w:rsidP="007D6103">
      <w:pPr>
        <w:spacing w:after="0" w:line="240" w:lineRule="auto"/>
        <w:rPr>
          <w:rFonts w:ascii="Arial Narrow" w:hAnsi="Arial Narrow"/>
          <w:b/>
          <w:sz w:val="26"/>
          <w:szCs w:val="26"/>
        </w:rPr>
      </w:pPr>
    </w:p>
    <w:p w14:paraId="4CDC09B3" w14:textId="37DF5377" w:rsidR="007D6103" w:rsidRDefault="007D6103">
      <w:pPr>
        <w:spacing w:after="0" w:line="240" w:lineRule="auto"/>
        <w:jc w:val="left"/>
        <w:rPr>
          <w:rFonts w:cs="Arial"/>
          <w:b/>
          <w:sz w:val="26"/>
          <w:szCs w:val="26"/>
        </w:rPr>
      </w:pPr>
      <w:r>
        <w:rPr>
          <w:rFonts w:cs="Arial"/>
          <w:b/>
          <w:noProof/>
          <w:sz w:val="26"/>
          <w:szCs w:val="26"/>
        </w:rPr>
        <w:drawing>
          <wp:inline distT="0" distB="0" distL="0" distR="0" wp14:anchorId="02F6AD90" wp14:editId="22EEA291">
            <wp:extent cx="5760000" cy="2809001"/>
            <wp:effectExtent l="0" t="0" r="0" b="0"/>
            <wp:docPr id="1609501299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8090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BA050F" w14:textId="0D91DE51" w:rsidR="007638EE" w:rsidRPr="0025619F" w:rsidRDefault="007D6103" w:rsidP="007638EE">
      <w:pPr>
        <w:spacing w:after="120" w:line="288" w:lineRule="auto"/>
        <w:rPr>
          <w:rFonts w:cs="Arial"/>
          <w:b/>
          <w:sz w:val="26"/>
          <w:szCs w:val="26"/>
        </w:rPr>
      </w:pPr>
      <w:r>
        <w:rPr>
          <w:rFonts w:cs="Arial"/>
          <w:b/>
          <w:sz w:val="26"/>
          <w:szCs w:val="26"/>
        </w:rPr>
        <w:br w:type="column"/>
      </w:r>
      <w:r w:rsidR="006124DE" w:rsidRPr="0025619F">
        <w:rPr>
          <w:rFonts w:cs="Arial"/>
          <w:b/>
          <w:sz w:val="26"/>
          <w:szCs w:val="26"/>
        </w:rPr>
        <w:t>Míra</w:t>
      </w:r>
      <w:r w:rsidR="00034970" w:rsidRPr="0025619F">
        <w:rPr>
          <w:rFonts w:cs="Arial"/>
          <w:b/>
          <w:sz w:val="26"/>
          <w:szCs w:val="26"/>
        </w:rPr>
        <w:t xml:space="preserve"> ohrože</w:t>
      </w:r>
      <w:r w:rsidR="00B9778E" w:rsidRPr="0025619F">
        <w:rPr>
          <w:rFonts w:cs="Arial"/>
          <w:b/>
          <w:sz w:val="26"/>
          <w:szCs w:val="26"/>
        </w:rPr>
        <w:t>n</w:t>
      </w:r>
      <w:r w:rsidR="00E21FC5" w:rsidRPr="0025619F">
        <w:rPr>
          <w:rFonts w:cs="Arial"/>
          <w:b/>
          <w:sz w:val="26"/>
          <w:szCs w:val="26"/>
        </w:rPr>
        <w:t>í příjmovou chudobou v roce 202</w:t>
      </w:r>
      <w:r w:rsidR="00592193" w:rsidRPr="0025619F">
        <w:rPr>
          <w:rFonts w:cs="Arial"/>
          <w:b/>
          <w:sz w:val="26"/>
          <w:szCs w:val="26"/>
        </w:rPr>
        <w:t>5</w:t>
      </w:r>
    </w:p>
    <w:p w14:paraId="45B6C5BC" w14:textId="71786617" w:rsidR="00014639" w:rsidRPr="007C2171" w:rsidRDefault="00034970" w:rsidP="0025619F">
      <w:r w:rsidRPr="007C2171">
        <w:t xml:space="preserve">Míra ohrožení příjmovou chudobou </w:t>
      </w:r>
      <w:r w:rsidR="008D6564" w:rsidRPr="007C2171">
        <w:t xml:space="preserve">je indikátor, který </w:t>
      </w:r>
      <w:r w:rsidR="00B46AFB" w:rsidRPr="007C2171">
        <w:t>se</w:t>
      </w:r>
      <w:r w:rsidR="008D6564" w:rsidRPr="007C2171">
        <w:t xml:space="preserve"> počítá podle </w:t>
      </w:r>
      <w:r w:rsidR="00FD3EA7" w:rsidRPr="007C2171">
        <w:t xml:space="preserve">mezinárodně platné </w:t>
      </w:r>
      <w:r w:rsidR="008D6564" w:rsidRPr="007C2171">
        <w:t xml:space="preserve">metodiky </w:t>
      </w:r>
      <w:r w:rsidR="00E25D4D" w:rsidRPr="007C2171">
        <w:t xml:space="preserve">dané </w:t>
      </w:r>
      <w:r w:rsidR="008D6564" w:rsidRPr="007C2171">
        <w:t>Eurostatem. U</w:t>
      </w:r>
      <w:r w:rsidRPr="007C2171">
        <w:t>dává podíl osob</w:t>
      </w:r>
      <w:r w:rsidR="00AE410E" w:rsidRPr="007C2171">
        <w:t xml:space="preserve"> v domácnostech</w:t>
      </w:r>
      <w:r w:rsidRPr="007C2171">
        <w:t>, které nedosahují svými příjmy na</w:t>
      </w:r>
      <w:r w:rsidR="002F0144" w:rsidRPr="007C2171">
        <w:t> </w:t>
      </w:r>
      <w:r w:rsidRPr="007C2171">
        <w:t xml:space="preserve">stanovenou hranici příjmů. </w:t>
      </w:r>
      <w:r w:rsidR="00BA77A4" w:rsidRPr="007C2171">
        <w:t xml:space="preserve">Nevypovídá </w:t>
      </w:r>
      <w:r w:rsidR="00847307">
        <w:t xml:space="preserve">však </w:t>
      </w:r>
      <w:r w:rsidR="00BA77A4" w:rsidRPr="007C2171">
        <w:t xml:space="preserve">nic o počtu „chudých“ lidí </w:t>
      </w:r>
      <w:r w:rsidR="00E25D4D" w:rsidRPr="007C2171">
        <w:t xml:space="preserve">v zemi </w:t>
      </w:r>
      <w:r w:rsidR="00BA77A4" w:rsidRPr="007C2171">
        <w:t xml:space="preserve">ve smyslu </w:t>
      </w:r>
      <w:r w:rsidR="00444DAF" w:rsidRPr="007C2171">
        <w:t>hmotné nouze</w:t>
      </w:r>
      <w:r w:rsidR="00BA77A4" w:rsidRPr="007C2171">
        <w:t xml:space="preserve">. </w:t>
      </w:r>
      <w:r w:rsidR="00014639" w:rsidRPr="007C2171">
        <w:t xml:space="preserve">Spíše </w:t>
      </w:r>
      <w:r w:rsidR="00E25D4D" w:rsidRPr="007C2171">
        <w:t>jde</w:t>
      </w:r>
      <w:r w:rsidR="0025619F">
        <w:t> </w:t>
      </w:r>
      <w:r w:rsidR="00014639" w:rsidRPr="007C2171">
        <w:t>o</w:t>
      </w:r>
      <w:r w:rsidR="0025619F">
        <w:t> </w:t>
      </w:r>
      <w:r w:rsidR="00014639" w:rsidRPr="007C2171">
        <w:t>ukazatel</w:t>
      </w:r>
      <w:r w:rsidR="00E25D4D" w:rsidRPr="007C2171">
        <w:t xml:space="preserve"> </w:t>
      </w:r>
      <w:r w:rsidR="00014639" w:rsidRPr="007C2171">
        <w:t xml:space="preserve">příjmové </w:t>
      </w:r>
      <w:r w:rsidR="00E25D4D" w:rsidRPr="007C2171">
        <w:t>(ne)</w:t>
      </w:r>
      <w:r w:rsidR="00014639" w:rsidRPr="007C2171">
        <w:t>rovnosti.</w:t>
      </w:r>
    </w:p>
    <w:p w14:paraId="4F966BC9" w14:textId="128F9B02" w:rsidR="006E119F" w:rsidRPr="002C08F4" w:rsidRDefault="002F0144" w:rsidP="0025619F">
      <w:pPr>
        <w:rPr>
          <w:rFonts w:cs="Arial"/>
          <w:szCs w:val="20"/>
        </w:rPr>
      </w:pPr>
      <w:r w:rsidRPr="002C08F4">
        <w:rPr>
          <w:rFonts w:cs="Arial"/>
          <w:szCs w:val="20"/>
        </w:rPr>
        <w:t>H</w:t>
      </w:r>
      <w:r w:rsidR="00034970" w:rsidRPr="002C08F4">
        <w:rPr>
          <w:rFonts w:cs="Arial"/>
          <w:szCs w:val="20"/>
        </w:rPr>
        <w:t xml:space="preserve">ranice </w:t>
      </w:r>
      <w:r w:rsidR="007D3270" w:rsidRPr="002C08F4">
        <w:rPr>
          <w:rFonts w:cs="Arial"/>
          <w:szCs w:val="20"/>
        </w:rPr>
        <w:t>ohrožení příjmovou chudobou</w:t>
      </w:r>
      <w:r w:rsidR="008D6564" w:rsidRPr="002C08F4">
        <w:rPr>
          <w:rFonts w:cs="Arial"/>
          <w:szCs w:val="20"/>
        </w:rPr>
        <w:t xml:space="preserve"> </w:t>
      </w:r>
      <w:r w:rsidR="00034970" w:rsidRPr="002C08F4">
        <w:rPr>
          <w:rFonts w:cs="Arial"/>
          <w:szCs w:val="20"/>
        </w:rPr>
        <w:t>je odvozena z příjmového rozdělení v dané zemi a je definována jako 60</w:t>
      </w:r>
      <w:r w:rsidR="00033534" w:rsidRPr="002C08F4">
        <w:rPr>
          <w:rFonts w:cs="Arial"/>
          <w:szCs w:val="20"/>
        </w:rPr>
        <w:t> </w:t>
      </w:r>
      <w:r w:rsidR="00034970" w:rsidRPr="002C08F4">
        <w:rPr>
          <w:rFonts w:cs="Arial"/>
          <w:szCs w:val="20"/>
        </w:rPr>
        <w:t xml:space="preserve">% mediánu národního </w:t>
      </w:r>
      <w:r w:rsidR="00E70B54" w:rsidRPr="002C08F4">
        <w:rPr>
          <w:rFonts w:cs="Arial"/>
          <w:szCs w:val="20"/>
        </w:rPr>
        <w:t>ekvivalizovaného</w:t>
      </w:r>
      <w:r w:rsidR="003A5F67" w:rsidRPr="002C08F4">
        <w:rPr>
          <w:rStyle w:val="Znakapoznpodarou"/>
          <w:rFonts w:cs="Arial"/>
          <w:szCs w:val="20"/>
        </w:rPr>
        <w:footnoteReference w:id="2"/>
      </w:r>
      <w:r w:rsidR="00E70B54" w:rsidRPr="002C08F4">
        <w:rPr>
          <w:rFonts w:cs="Arial"/>
          <w:szCs w:val="20"/>
        </w:rPr>
        <w:t xml:space="preserve"> </w:t>
      </w:r>
      <w:r w:rsidR="00034970" w:rsidRPr="002C08F4">
        <w:rPr>
          <w:rFonts w:cs="Arial"/>
          <w:szCs w:val="20"/>
        </w:rPr>
        <w:t>di</w:t>
      </w:r>
      <w:r w:rsidR="00F46EE0" w:rsidRPr="002C08F4">
        <w:rPr>
          <w:rFonts w:cs="Arial"/>
          <w:szCs w:val="20"/>
        </w:rPr>
        <w:t xml:space="preserve">sponibilního příjmu. </w:t>
      </w:r>
      <w:r w:rsidR="003751CC" w:rsidRPr="002C08F4">
        <w:rPr>
          <w:rFonts w:cs="Arial"/>
          <w:szCs w:val="20"/>
        </w:rPr>
        <w:t xml:space="preserve">Při hodnocení rizika příjmové chudoby je </w:t>
      </w:r>
      <w:r w:rsidR="00847307" w:rsidRPr="002C08F4">
        <w:rPr>
          <w:rFonts w:cs="Arial"/>
          <w:szCs w:val="20"/>
        </w:rPr>
        <w:t>zohledněna</w:t>
      </w:r>
      <w:r w:rsidR="003751CC" w:rsidRPr="002C08F4">
        <w:rPr>
          <w:rFonts w:cs="Arial"/>
          <w:szCs w:val="20"/>
        </w:rPr>
        <w:t xml:space="preserve"> </w:t>
      </w:r>
      <w:r w:rsidR="002D5931" w:rsidRPr="002C08F4">
        <w:rPr>
          <w:rFonts w:cs="Arial"/>
          <w:szCs w:val="20"/>
        </w:rPr>
        <w:t xml:space="preserve">také </w:t>
      </w:r>
      <w:r w:rsidR="003751CC" w:rsidRPr="002C08F4">
        <w:rPr>
          <w:rFonts w:cs="Arial"/>
          <w:szCs w:val="20"/>
        </w:rPr>
        <w:t xml:space="preserve">velikost a </w:t>
      </w:r>
      <w:r w:rsidR="00847307" w:rsidRPr="002C08F4">
        <w:rPr>
          <w:rFonts w:cs="Arial"/>
          <w:szCs w:val="20"/>
        </w:rPr>
        <w:t>struktura každé</w:t>
      </w:r>
      <w:r w:rsidR="003751CC" w:rsidRPr="002C08F4">
        <w:rPr>
          <w:rFonts w:cs="Arial"/>
          <w:szCs w:val="20"/>
        </w:rPr>
        <w:t xml:space="preserve"> domácnosti. </w:t>
      </w:r>
      <w:r w:rsidR="00F46EE0" w:rsidRPr="002C08F4">
        <w:rPr>
          <w:rFonts w:cs="Arial"/>
          <w:szCs w:val="20"/>
        </w:rPr>
        <w:t>V roce 20</w:t>
      </w:r>
      <w:r w:rsidR="00E21FC5" w:rsidRPr="002C08F4">
        <w:rPr>
          <w:rFonts w:cs="Arial"/>
          <w:szCs w:val="20"/>
        </w:rPr>
        <w:t>2</w:t>
      </w:r>
      <w:r w:rsidR="00592193" w:rsidRPr="002C08F4">
        <w:rPr>
          <w:rFonts w:cs="Arial"/>
          <w:szCs w:val="20"/>
        </w:rPr>
        <w:t>5</w:t>
      </w:r>
      <w:r w:rsidR="00E21FC5" w:rsidRPr="002C08F4">
        <w:rPr>
          <w:rFonts w:cs="Arial"/>
          <w:szCs w:val="20"/>
        </w:rPr>
        <w:t xml:space="preserve"> (</w:t>
      </w:r>
      <w:r w:rsidR="00D404C5" w:rsidRPr="002C08F4">
        <w:rPr>
          <w:rFonts w:cs="Arial"/>
          <w:szCs w:val="20"/>
        </w:rPr>
        <w:t>na základě příjmů za</w:t>
      </w:r>
      <w:r w:rsidR="00721D2E" w:rsidRPr="002C08F4">
        <w:rPr>
          <w:rFonts w:cs="Arial"/>
          <w:szCs w:val="20"/>
        </w:rPr>
        <w:t> </w:t>
      </w:r>
      <w:r w:rsidR="00D404C5" w:rsidRPr="002C08F4">
        <w:rPr>
          <w:rFonts w:cs="Arial"/>
          <w:szCs w:val="20"/>
        </w:rPr>
        <w:t>rok 20</w:t>
      </w:r>
      <w:r w:rsidR="00E21FC5" w:rsidRPr="002C08F4">
        <w:rPr>
          <w:rFonts w:cs="Arial"/>
          <w:szCs w:val="20"/>
        </w:rPr>
        <w:t>2</w:t>
      </w:r>
      <w:r w:rsidR="00592193" w:rsidRPr="002C08F4">
        <w:rPr>
          <w:rFonts w:cs="Arial"/>
          <w:szCs w:val="20"/>
        </w:rPr>
        <w:t>4</w:t>
      </w:r>
      <w:r w:rsidR="00D404C5" w:rsidRPr="002C08F4">
        <w:rPr>
          <w:rFonts w:cs="Arial"/>
          <w:szCs w:val="20"/>
        </w:rPr>
        <w:t>)</w:t>
      </w:r>
      <w:r w:rsidRPr="002C08F4">
        <w:rPr>
          <w:rFonts w:cs="Arial"/>
          <w:szCs w:val="20"/>
        </w:rPr>
        <w:t xml:space="preserve"> </w:t>
      </w:r>
      <w:r w:rsidR="003751CC" w:rsidRPr="002C08F4">
        <w:rPr>
          <w:rFonts w:cs="Arial"/>
          <w:szCs w:val="20"/>
        </w:rPr>
        <w:t xml:space="preserve">činila </w:t>
      </w:r>
      <w:r w:rsidR="00FE4435" w:rsidRPr="002C08F4">
        <w:rPr>
          <w:rFonts w:cs="Arial"/>
          <w:szCs w:val="20"/>
        </w:rPr>
        <w:t xml:space="preserve">hranice </w:t>
      </w:r>
      <w:r w:rsidR="004242D2" w:rsidRPr="002C08F4">
        <w:rPr>
          <w:rFonts w:cs="Arial"/>
          <w:szCs w:val="20"/>
        </w:rPr>
        <w:t>1</w:t>
      </w:r>
      <w:r w:rsidR="00C75734" w:rsidRPr="002C08F4">
        <w:rPr>
          <w:rFonts w:cs="Arial"/>
          <w:szCs w:val="20"/>
        </w:rPr>
        <w:t xml:space="preserve">9 090 </w:t>
      </w:r>
      <w:r w:rsidR="00034970" w:rsidRPr="002C08F4">
        <w:rPr>
          <w:rFonts w:cs="Arial"/>
          <w:szCs w:val="20"/>
        </w:rPr>
        <w:t>Kč</w:t>
      </w:r>
      <w:r w:rsidR="00721D2E" w:rsidRPr="002C08F4">
        <w:rPr>
          <w:rFonts w:cs="Arial"/>
          <w:szCs w:val="20"/>
        </w:rPr>
        <w:t xml:space="preserve"> za </w:t>
      </w:r>
      <w:r w:rsidR="00034970" w:rsidRPr="002C08F4">
        <w:rPr>
          <w:rFonts w:cs="Arial"/>
          <w:szCs w:val="20"/>
        </w:rPr>
        <w:t>měsíc</w:t>
      </w:r>
      <w:r w:rsidR="00346FF8" w:rsidRPr="002C08F4">
        <w:rPr>
          <w:rFonts w:cs="Arial"/>
          <w:szCs w:val="20"/>
        </w:rPr>
        <w:t xml:space="preserve"> (</w:t>
      </w:r>
      <w:r w:rsidR="00721D2E" w:rsidRPr="002C08F4">
        <w:rPr>
          <w:rFonts w:cs="Arial"/>
          <w:szCs w:val="20"/>
        </w:rPr>
        <w:t xml:space="preserve">tzn. </w:t>
      </w:r>
      <w:r w:rsidR="004242D2" w:rsidRPr="002C08F4">
        <w:rPr>
          <w:rFonts w:cs="Arial"/>
          <w:szCs w:val="20"/>
        </w:rPr>
        <w:t>2</w:t>
      </w:r>
      <w:r w:rsidR="00C75734" w:rsidRPr="002C08F4">
        <w:rPr>
          <w:rFonts w:cs="Arial"/>
          <w:szCs w:val="20"/>
        </w:rPr>
        <w:t>29 080</w:t>
      </w:r>
      <w:r w:rsidR="000D4ABE" w:rsidRPr="002C08F4">
        <w:rPr>
          <w:rFonts w:cs="Arial"/>
          <w:szCs w:val="20"/>
        </w:rPr>
        <w:t xml:space="preserve"> </w:t>
      </w:r>
      <w:r w:rsidR="00B04D54" w:rsidRPr="002C08F4">
        <w:rPr>
          <w:rFonts w:cs="Arial"/>
          <w:szCs w:val="20"/>
        </w:rPr>
        <w:t>Kč</w:t>
      </w:r>
      <w:r w:rsidR="00721D2E" w:rsidRPr="002C08F4">
        <w:rPr>
          <w:rFonts w:cs="Arial"/>
          <w:szCs w:val="20"/>
        </w:rPr>
        <w:t xml:space="preserve"> za </w:t>
      </w:r>
      <w:r w:rsidR="00B04D54" w:rsidRPr="002C08F4">
        <w:rPr>
          <w:rFonts w:cs="Arial"/>
          <w:szCs w:val="20"/>
        </w:rPr>
        <w:t>rok)</w:t>
      </w:r>
      <w:r w:rsidR="003751CC" w:rsidRPr="002C08F4">
        <w:rPr>
          <w:rFonts w:cs="Arial"/>
          <w:szCs w:val="20"/>
        </w:rPr>
        <w:t xml:space="preserve">. </w:t>
      </w:r>
      <w:r w:rsidR="00034970" w:rsidRPr="002C08F4">
        <w:rPr>
          <w:rFonts w:cs="Arial"/>
          <w:szCs w:val="20"/>
        </w:rPr>
        <w:t xml:space="preserve">Tato částka představuje hranici </w:t>
      </w:r>
      <w:r w:rsidR="00880A08" w:rsidRPr="002C08F4">
        <w:rPr>
          <w:rFonts w:cs="Arial"/>
          <w:szCs w:val="20"/>
        </w:rPr>
        <w:t>pr</w:t>
      </w:r>
      <w:r w:rsidR="00034970" w:rsidRPr="002C08F4">
        <w:rPr>
          <w:rFonts w:cs="Arial"/>
          <w:szCs w:val="20"/>
        </w:rPr>
        <w:t>o</w:t>
      </w:r>
      <w:r w:rsidR="00352E2D" w:rsidRPr="002C08F4">
        <w:rPr>
          <w:rFonts w:cs="Arial"/>
          <w:szCs w:val="20"/>
        </w:rPr>
        <w:t> </w:t>
      </w:r>
      <w:r w:rsidR="00247399" w:rsidRPr="002C08F4">
        <w:rPr>
          <w:rFonts w:cs="Arial"/>
          <w:szCs w:val="20"/>
        </w:rPr>
        <w:t>domácnost jednotlivce. Například p</w:t>
      </w:r>
      <w:r w:rsidR="00EA6C9E" w:rsidRPr="002C08F4">
        <w:rPr>
          <w:rFonts w:cs="Arial"/>
          <w:szCs w:val="20"/>
        </w:rPr>
        <w:t>ro domácnost</w:t>
      </w:r>
      <w:r w:rsidR="00F6087E" w:rsidRPr="002C08F4">
        <w:rPr>
          <w:rFonts w:cs="Arial"/>
          <w:szCs w:val="20"/>
        </w:rPr>
        <w:t xml:space="preserve"> rodičů se dvěma dětmi </w:t>
      </w:r>
      <w:r w:rsidR="00EA6C9E" w:rsidRPr="002C08F4">
        <w:rPr>
          <w:rFonts w:cs="Arial"/>
          <w:szCs w:val="20"/>
        </w:rPr>
        <w:t>mladšími</w:t>
      </w:r>
      <w:r w:rsidR="00F6087E" w:rsidRPr="002C08F4">
        <w:rPr>
          <w:rFonts w:cs="Arial"/>
          <w:szCs w:val="20"/>
        </w:rPr>
        <w:t xml:space="preserve"> 13 let </w:t>
      </w:r>
      <w:r w:rsidR="002D5931" w:rsidRPr="002C08F4">
        <w:rPr>
          <w:rFonts w:cs="Arial"/>
          <w:szCs w:val="20"/>
        </w:rPr>
        <w:t xml:space="preserve">činila </w:t>
      </w:r>
      <w:r w:rsidR="00F6087E" w:rsidRPr="002C08F4">
        <w:rPr>
          <w:rFonts w:cs="Arial"/>
          <w:szCs w:val="20"/>
        </w:rPr>
        <w:t>měsíční hranice</w:t>
      </w:r>
      <w:r w:rsidR="00EA6C9E" w:rsidRPr="002C08F4">
        <w:rPr>
          <w:rFonts w:cs="Arial"/>
          <w:szCs w:val="20"/>
        </w:rPr>
        <w:t xml:space="preserve"> ohrožení příjmovou chudobou částku </w:t>
      </w:r>
      <w:r w:rsidR="00C75734" w:rsidRPr="002C08F4">
        <w:rPr>
          <w:rFonts w:cs="Arial"/>
          <w:szCs w:val="20"/>
        </w:rPr>
        <w:t>40 089</w:t>
      </w:r>
      <w:r w:rsidR="00247399" w:rsidRPr="002C08F4">
        <w:rPr>
          <w:rFonts w:cs="Arial"/>
          <w:szCs w:val="20"/>
        </w:rPr>
        <w:t xml:space="preserve"> </w:t>
      </w:r>
      <w:r w:rsidR="004F5023" w:rsidRPr="002C08F4">
        <w:rPr>
          <w:rFonts w:cs="Arial"/>
          <w:szCs w:val="20"/>
        </w:rPr>
        <w:t>Kč.</w:t>
      </w:r>
      <w:r w:rsidR="00EA6C9E" w:rsidRPr="002C08F4">
        <w:rPr>
          <w:rFonts w:cs="Arial"/>
          <w:szCs w:val="20"/>
        </w:rPr>
        <w:t xml:space="preserve"> </w:t>
      </w:r>
    </w:p>
    <w:p w14:paraId="687917FD" w14:textId="7BD9739A" w:rsidR="00DA3DF4" w:rsidRDefault="00DA3DF4" w:rsidP="0025619F">
      <w:pPr>
        <w:pStyle w:val="Titulek"/>
        <w:keepNext/>
        <w:spacing w:before="240"/>
        <w:divId w:val="1074475251"/>
      </w:pPr>
      <w:r>
        <w:t xml:space="preserve">Tab. </w:t>
      </w:r>
      <w:r w:rsidR="00613C36">
        <w:fldChar w:fldCharType="begin"/>
      </w:r>
      <w:r w:rsidR="00613C36">
        <w:instrText xml:space="preserve"> SEQ Tab. \* ARABIC </w:instrText>
      </w:r>
      <w:r w:rsidR="00613C36">
        <w:fldChar w:fldCharType="separate"/>
      </w:r>
      <w:r w:rsidR="00497F80">
        <w:rPr>
          <w:noProof/>
        </w:rPr>
        <w:t>1</w:t>
      </w:r>
      <w:r w:rsidR="00613C36">
        <w:rPr>
          <w:noProof/>
        </w:rPr>
        <w:fldChar w:fldCharType="end"/>
      </w:r>
      <w:r>
        <w:rPr>
          <w:lang w:val="cs-CZ"/>
        </w:rPr>
        <w:t xml:space="preserve"> Měsíční hranice ohrožení příjmovou chudobou pro vybrané složení domácnosti</w:t>
      </w:r>
      <w:r w:rsidR="00180DFD">
        <w:rPr>
          <w:lang w:val="cs-CZ"/>
        </w:rPr>
        <w:br/>
      </w:r>
      <w:r>
        <w:rPr>
          <w:lang w:val="cs-CZ"/>
        </w:rPr>
        <w:t>v roce 202</w:t>
      </w:r>
      <w:r w:rsidR="00C75734">
        <w:rPr>
          <w:lang w:val="cs-CZ"/>
        </w:rPr>
        <w:t>5</w:t>
      </w:r>
    </w:p>
    <w:tbl>
      <w:tblPr>
        <w:tblW w:w="90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95"/>
        <w:gridCol w:w="1688"/>
        <w:gridCol w:w="2092"/>
      </w:tblGrid>
      <w:tr w:rsidR="006E119F" w:rsidRPr="006E119F" w14:paraId="068E6282" w14:textId="77777777" w:rsidTr="006E119F">
        <w:trPr>
          <w:divId w:val="1074475251"/>
          <w:trHeight w:val="302"/>
        </w:trPr>
        <w:tc>
          <w:tcPr>
            <w:tcW w:w="5295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60B828D8" w14:textId="7EA9B51F" w:rsidR="006E119F" w:rsidRPr="006E119F" w:rsidRDefault="006E119F" w:rsidP="006E119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</w:pPr>
            <w:r w:rsidRPr="006E119F"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6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1403D058" w14:textId="2ECC929F" w:rsidR="006E119F" w:rsidRPr="006E119F" w:rsidRDefault="006E119F" w:rsidP="006E119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</w:pPr>
            <w:r w:rsidRPr="006E119F"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  <w:t>202</w:t>
            </w:r>
            <w:r w:rsidR="00C75734"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20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715C8CB1" w14:textId="77777777" w:rsidR="006E119F" w:rsidRPr="006E119F" w:rsidRDefault="006E119F" w:rsidP="006E119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</w:pPr>
            <w:r w:rsidRPr="006E119F"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  <w:t>meziroční nárůst</w:t>
            </w:r>
          </w:p>
        </w:tc>
      </w:tr>
      <w:tr w:rsidR="006E119F" w:rsidRPr="006E119F" w14:paraId="7020F137" w14:textId="77777777" w:rsidTr="006E119F">
        <w:trPr>
          <w:divId w:val="1074475251"/>
          <w:trHeight w:val="335"/>
        </w:trPr>
        <w:tc>
          <w:tcPr>
            <w:tcW w:w="52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65C09D" w14:textId="77777777" w:rsidR="006E119F" w:rsidRPr="006E119F" w:rsidRDefault="006E119F" w:rsidP="006E119F">
            <w:pPr>
              <w:spacing w:after="0" w:line="240" w:lineRule="auto"/>
              <w:ind w:firstLineChars="100" w:firstLine="18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6E119F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Jednotlivec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9B0108" w14:textId="6E357A24" w:rsidR="006E119F" w:rsidRPr="006E119F" w:rsidRDefault="006E119F" w:rsidP="006E119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6E119F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 1</w:t>
            </w:r>
            <w:r w:rsidR="00C75734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9 090</w:t>
            </w:r>
            <w:r w:rsidRPr="006E119F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 Kč 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35A02" w14:textId="372B567D" w:rsidR="006E119F" w:rsidRPr="006E119F" w:rsidRDefault="006E119F" w:rsidP="006E119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6E119F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       </w:t>
            </w:r>
            <w:r w:rsidR="00227A02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+</w:t>
            </w:r>
            <w:r w:rsidRPr="006E119F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C75734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927</w:t>
            </w:r>
            <w:r w:rsidRPr="006E119F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 Kč </w:t>
            </w:r>
          </w:p>
        </w:tc>
      </w:tr>
      <w:tr w:rsidR="006E119F" w:rsidRPr="006E119F" w14:paraId="47E2A65E" w14:textId="77777777" w:rsidTr="006E119F">
        <w:trPr>
          <w:divId w:val="1074475251"/>
          <w:trHeight w:val="335"/>
        </w:trPr>
        <w:tc>
          <w:tcPr>
            <w:tcW w:w="52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D2B9CD" w14:textId="77777777" w:rsidR="006E119F" w:rsidRPr="006E119F" w:rsidRDefault="006E119F" w:rsidP="006E119F">
            <w:pPr>
              <w:spacing w:after="0" w:line="240" w:lineRule="auto"/>
              <w:ind w:firstLineChars="100" w:firstLine="18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6E119F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Dvě dospělé osoby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2EB9D3" w14:textId="1AD7D164" w:rsidR="006E119F" w:rsidRPr="006E119F" w:rsidRDefault="006E119F" w:rsidP="006E119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6E119F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 2</w:t>
            </w:r>
            <w:r w:rsidR="00C75734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8 635</w:t>
            </w:r>
            <w:r w:rsidRPr="006E119F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 Kč 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BB104" w14:textId="2DD2059A" w:rsidR="006E119F" w:rsidRPr="006E119F" w:rsidRDefault="006E119F" w:rsidP="006E119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6E119F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       </w:t>
            </w:r>
            <w:r w:rsidR="00227A02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+</w:t>
            </w:r>
            <w:r w:rsidRPr="006E119F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C75734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1 391</w:t>
            </w:r>
            <w:r w:rsidRPr="006E119F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 Kč </w:t>
            </w:r>
          </w:p>
        </w:tc>
      </w:tr>
      <w:tr w:rsidR="006E119F" w:rsidRPr="006E119F" w14:paraId="4D4E6341" w14:textId="77777777" w:rsidTr="006E119F">
        <w:trPr>
          <w:divId w:val="1074475251"/>
          <w:trHeight w:val="335"/>
        </w:trPr>
        <w:tc>
          <w:tcPr>
            <w:tcW w:w="52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153BAA" w14:textId="77777777" w:rsidR="006E119F" w:rsidRPr="006E119F" w:rsidRDefault="006E119F" w:rsidP="006E119F">
            <w:pPr>
              <w:spacing w:after="0" w:line="240" w:lineRule="auto"/>
              <w:ind w:firstLineChars="100" w:firstLine="18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6E119F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Rodič s dítětem do 13 let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9EC898" w14:textId="4E54FA4B" w:rsidR="006E119F" w:rsidRPr="006E119F" w:rsidRDefault="006E119F" w:rsidP="006E119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6E119F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 2</w:t>
            </w:r>
            <w:r w:rsidR="00C75734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4 817</w:t>
            </w:r>
            <w:r w:rsidRPr="006E119F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 Kč 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22EE8" w14:textId="4B5D4983" w:rsidR="006E119F" w:rsidRPr="006E119F" w:rsidRDefault="006E119F" w:rsidP="006E119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6E119F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       </w:t>
            </w:r>
            <w:r w:rsidR="00227A02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+</w:t>
            </w:r>
            <w:r w:rsidRPr="006E119F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C75734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1 206</w:t>
            </w:r>
            <w:r w:rsidRPr="006E119F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 Kč </w:t>
            </w:r>
          </w:p>
        </w:tc>
      </w:tr>
      <w:tr w:rsidR="006E119F" w:rsidRPr="006E119F" w14:paraId="7AB5B5BE" w14:textId="77777777" w:rsidTr="006E119F">
        <w:trPr>
          <w:divId w:val="1074475251"/>
          <w:trHeight w:val="335"/>
        </w:trPr>
        <w:tc>
          <w:tcPr>
            <w:tcW w:w="52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42A0E2" w14:textId="77777777" w:rsidR="006E119F" w:rsidRPr="006E119F" w:rsidRDefault="006E119F" w:rsidP="006E119F">
            <w:pPr>
              <w:spacing w:after="0" w:line="240" w:lineRule="auto"/>
              <w:ind w:firstLineChars="100" w:firstLine="18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6E119F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Rodič se dvěma dětmi staršími 13 let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22EA00" w14:textId="6A43FBDD" w:rsidR="006E119F" w:rsidRPr="006E119F" w:rsidRDefault="006E119F" w:rsidP="006E119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6E119F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 3</w:t>
            </w:r>
            <w:r w:rsidR="00C75734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8 180</w:t>
            </w:r>
            <w:r w:rsidRPr="006E119F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 Kč 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7CB0E" w14:textId="4CB9C369" w:rsidR="006E119F" w:rsidRPr="006E119F" w:rsidRDefault="006E119F" w:rsidP="006E119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6E119F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       </w:t>
            </w:r>
            <w:r w:rsidR="00227A02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+</w:t>
            </w:r>
            <w:r w:rsidRPr="006E119F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C75734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1 855</w:t>
            </w:r>
            <w:r w:rsidRPr="006E119F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 Kč </w:t>
            </w:r>
          </w:p>
        </w:tc>
      </w:tr>
      <w:tr w:rsidR="006E119F" w:rsidRPr="006E119F" w14:paraId="15B23DE6" w14:textId="77777777" w:rsidTr="006E119F">
        <w:trPr>
          <w:divId w:val="1074475251"/>
          <w:trHeight w:val="335"/>
        </w:trPr>
        <w:tc>
          <w:tcPr>
            <w:tcW w:w="52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0A3C2D" w14:textId="77777777" w:rsidR="006E119F" w:rsidRPr="006E119F" w:rsidRDefault="006E119F" w:rsidP="006E119F">
            <w:pPr>
              <w:spacing w:after="0" w:line="240" w:lineRule="auto"/>
              <w:ind w:firstLineChars="100" w:firstLine="18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6E119F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Rodiče s dítětem do 13 let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B35175" w14:textId="19E2A8E9" w:rsidR="006E119F" w:rsidRPr="006E119F" w:rsidRDefault="006E119F" w:rsidP="006E119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6E119F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 3</w:t>
            </w:r>
            <w:r w:rsidR="00C75734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4 362</w:t>
            </w:r>
            <w:r w:rsidRPr="006E119F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 Kč 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8B772" w14:textId="70C495DA" w:rsidR="006E119F" w:rsidRPr="006E119F" w:rsidRDefault="006E119F" w:rsidP="006E119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6E119F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       </w:t>
            </w:r>
            <w:r w:rsidR="00227A02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+</w:t>
            </w:r>
            <w:r w:rsidRPr="006E119F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C75734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1 669</w:t>
            </w:r>
            <w:r w:rsidRPr="006E119F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 Kč </w:t>
            </w:r>
          </w:p>
        </w:tc>
      </w:tr>
      <w:tr w:rsidR="006E119F" w:rsidRPr="006E119F" w14:paraId="4C6E0A30" w14:textId="77777777" w:rsidTr="006E119F">
        <w:trPr>
          <w:divId w:val="1074475251"/>
          <w:trHeight w:val="335"/>
        </w:trPr>
        <w:tc>
          <w:tcPr>
            <w:tcW w:w="52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FD5DD8" w14:textId="77777777" w:rsidR="006E119F" w:rsidRPr="006E119F" w:rsidRDefault="006E119F" w:rsidP="006E119F">
            <w:pPr>
              <w:spacing w:after="0"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cs-CZ"/>
              </w:rPr>
            </w:pPr>
            <w:r w:rsidRPr="006E119F">
              <w:rPr>
                <w:rFonts w:eastAsia="Times New Roman" w:cs="Arial"/>
                <w:sz w:val="18"/>
                <w:szCs w:val="18"/>
                <w:lang w:eastAsia="cs-CZ"/>
              </w:rPr>
              <w:t>Rodiče se dvěma dětmi do 13 let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0617A4" w14:textId="025951CB" w:rsidR="006E119F" w:rsidRPr="006E119F" w:rsidRDefault="006E119F" w:rsidP="006E119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6E119F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C75734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40 089</w:t>
            </w:r>
            <w:r w:rsidRPr="006E119F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 Kč 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59EE9" w14:textId="5F9DB036" w:rsidR="006E119F" w:rsidRPr="006E119F" w:rsidRDefault="006E119F" w:rsidP="006E119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6E119F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       </w:t>
            </w:r>
            <w:r w:rsidR="00227A02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+</w:t>
            </w:r>
            <w:r w:rsidRPr="006E119F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C75734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1 947</w:t>
            </w:r>
            <w:r w:rsidRPr="006E119F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 Kč </w:t>
            </w:r>
          </w:p>
        </w:tc>
      </w:tr>
      <w:tr w:rsidR="006E119F" w:rsidRPr="006E119F" w14:paraId="5E1249E5" w14:textId="77777777" w:rsidTr="006E119F">
        <w:trPr>
          <w:divId w:val="1074475251"/>
          <w:trHeight w:val="335"/>
        </w:trPr>
        <w:tc>
          <w:tcPr>
            <w:tcW w:w="52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89C076" w14:textId="77777777" w:rsidR="006E119F" w:rsidRPr="006E119F" w:rsidRDefault="006E119F" w:rsidP="006E119F">
            <w:pPr>
              <w:spacing w:after="0"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cs-CZ"/>
              </w:rPr>
            </w:pPr>
            <w:r w:rsidRPr="006E119F">
              <w:rPr>
                <w:rFonts w:eastAsia="Times New Roman" w:cs="Arial"/>
                <w:sz w:val="18"/>
                <w:szCs w:val="18"/>
                <w:lang w:eastAsia="cs-CZ"/>
              </w:rPr>
              <w:t>Rodiče se třemi dětmi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A92D5C" w14:textId="49CEBB43" w:rsidR="006E119F" w:rsidRPr="006E119F" w:rsidRDefault="006E119F" w:rsidP="006E119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6E119F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 5</w:t>
            </w:r>
            <w:r w:rsidR="00C75734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3 452</w:t>
            </w:r>
            <w:r w:rsidRPr="006E119F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 Kč 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DE8A2" w14:textId="4ADCFA54" w:rsidR="006E119F" w:rsidRPr="006E119F" w:rsidRDefault="006E119F" w:rsidP="006E119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6E119F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       </w:t>
            </w:r>
            <w:r w:rsidR="00227A02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+</w:t>
            </w:r>
            <w:r w:rsidRPr="006E119F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C75734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2 597</w:t>
            </w:r>
            <w:r w:rsidRPr="006E119F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 Kč </w:t>
            </w:r>
          </w:p>
        </w:tc>
      </w:tr>
    </w:tbl>
    <w:p w14:paraId="6CAC17C5" w14:textId="74CA454D" w:rsidR="004F5023" w:rsidRDefault="004F5023" w:rsidP="004F5023">
      <w:pPr>
        <w:spacing w:after="0" w:line="288" w:lineRule="auto"/>
        <w:rPr>
          <w:b/>
        </w:rPr>
      </w:pPr>
    </w:p>
    <w:p w14:paraId="232482BE" w14:textId="22878A80" w:rsidR="004F5023" w:rsidRPr="004F5023" w:rsidRDefault="004F5023" w:rsidP="0025619F">
      <w:r w:rsidRPr="004F5023">
        <w:t xml:space="preserve">Ukazatel míry ohrožení příjmovou chudobou se dlouhodobě pohybuje v rozmezí od 8,5 % do 10,5 %. </w:t>
      </w:r>
      <w:r w:rsidR="00FC4283" w:rsidRPr="00FC4283">
        <w:t>Podíl osob, které se ocitly pod hranicí ohrožení příjmovou chudobou v roce 2025, činil 9,6 %. To</w:t>
      </w:r>
      <w:r w:rsidR="0072752B">
        <w:t> </w:t>
      </w:r>
      <w:r w:rsidR="00FC4283" w:rsidRPr="00FC4283">
        <w:t xml:space="preserve">znamená, že přibližně 1 milion osob žije v domácnostech s výrazně nízkými příjmy. </w:t>
      </w:r>
      <w:r w:rsidRPr="004F5023">
        <w:t xml:space="preserve"> </w:t>
      </w:r>
    </w:p>
    <w:p w14:paraId="24CCAF6D" w14:textId="30043252" w:rsidR="00DA3DF4" w:rsidRDefault="00DA3DF4" w:rsidP="0025619F">
      <w:pPr>
        <w:pStyle w:val="Titulek"/>
        <w:keepNext/>
        <w:spacing w:before="240" w:after="160" w:line="288" w:lineRule="auto"/>
        <w:rPr>
          <w:lang w:val="cs-CZ"/>
        </w:rPr>
      </w:pPr>
      <w:bookmarkStart w:id="12" w:name="_Toc220396847"/>
      <w:r>
        <w:t xml:space="preserve">Graf </w:t>
      </w:r>
      <w:r w:rsidR="005B0B2E">
        <w:fldChar w:fldCharType="begin"/>
      </w:r>
      <w:r w:rsidR="005B0B2E">
        <w:instrText xml:space="preserve"> SEQ Graf \* ARABIC </w:instrText>
      </w:r>
      <w:r w:rsidR="005B0B2E">
        <w:fldChar w:fldCharType="separate"/>
      </w:r>
      <w:r w:rsidR="00497F80">
        <w:rPr>
          <w:noProof/>
        </w:rPr>
        <w:t>11</w:t>
      </w:r>
      <w:r w:rsidR="005B0B2E">
        <w:rPr>
          <w:noProof/>
        </w:rPr>
        <w:fldChar w:fldCharType="end"/>
      </w:r>
      <w:r>
        <w:rPr>
          <w:lang w:val="cs-CZ"/>
        </w:rPr>
        <w:t xml:space="preserve"> </w:t>
      </w:r>
      <w:r w:rsidR="003542EB">
        <w:rPr>
          <w:lang w:val="cs-CZ"/>
        </w:rPr>
        <w:t xml:space="preserve"> </w:t>
      </w:r>
      <w:r>
        <w:rPr>
          <w:lang w:val="cs-CZ"/>
        </w:rPr>
        <w:t xml:space="preserve">Vývoj míry ohrožení příjmovou chudobou v </w:t>
      </w:r>
      <w:r w:rsidR="00DB3F46">
        <w:rPr>
          <w:lang w:val="cs-CZ"/>
        </w:rPr>
        <w:t>období</w:t>
      </w:r>
      <w:r>
        <w:rPr>
          <w:lang w:val="cs-CZ"/>
        </w:rPr>
        <w:t xml:space="preserve"> 201</w:t>
      </w:r>
      <w:r w:rsidR="00DB3F46">
        <w:rPr>
          <w:lang w:val="cs-CZ"/>
        </w:rPr>
        <w:t>5</w:t>
      </w:r>
      <w:r>
        <w:rPr>
          <w:lang w:val="cs-CZ"/>
        </w:rPr>
        <w:t>–202</w:t>
      </w:r>
      <w:r w:rsidR="00DB3F46">
        <w:rPr>
          <w:lang w:val="cs-CZ"/>
        </w:rPr>
        <w:t>5</w:t>
      </w:r>
      <w:bookmarkEnd w:id="12"/>
    </w:p>
    <w:p w14:paraId="0AA672C8" w14:textId="4EDC4D30" w:rsidR="00DB3F46" w:rsidRPr="00AF6CC5" w:rsidRDefault="003A6E8A" w:rsidP="00AF6CC5">
      <w:pPr>
        <w:rPr>
          <w:lang w:eastAsia="ar-SA"/>
        </w:rPr>
      </w:pPr>
      <w:r>
        <w:rPr>
          <w:noProof/>
          <w:lang w:eastAsia="ar-SA"/>
        </w:rPr>
        <w:drawing>
          <wp:inline distT="0" distB="0" distL="0" distR="0" wp14:anchorId="76A94CF9" wp14:editId="772732D4">
            <wp:extent cx="5759450" cy="3048000"/>
            <wp:effectExtent l="0" t="0" r="0" b="0"/>
            <wp:docPr id="52934199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0482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292DFE" w14:textId="77777777" w:rsidR="0025619F" w:rsidRDefault="0025619F">
      <w:pPr>
        <w:spacing w:after="0" w:line="240" w:lineRule="auto"/>
        <w:jc w:val="left"/>
        <w:rPr>
          <w:rFonts w:ascii="Arial Narrow" w:hAnsi="Arial Narrow"/>
          <w:sz w:val="24"/>
          <w:szCs w:val="32"/>
        </w:rPr>
      </w:pPr>
      <w:r>
        <w:rPr>
          <w:rFonts w:ascii="Arial Narrow" w:hAnsi="Arial Narrow"/>
          <w:sz w:val="24"/>
          <w:szCs w:val="32"/>
        </w:rPr>
        <w:br w:type="page"/>
      </w:r>
    </w:p>
    <w:p w14:paraId="05B79583" w14:textId="1305A66B" w:rsidR="00DB4984" w:rsidRDefault="004F5023" w:rsidP="0025619F">
      <w:r w:rsidRPr="00521F14">
        <w:t xml:space="preserve">U </w:t>
      </w:r>
      <w:r w:rsidR="00BB0360" w:rsidRPr="00521F14">
        <w:t xml:space="preserve">většiny sledovaných typů domácností </w:t>
      </w:r>
      <w:r w:rsidR="00D87224" w:rsidRPr="00521F14">
        <w:t xml:space="preserve">nedošlo oproti roku 2024 k výrazné změně. </w:t>
      </w:r>
      <w:r w:rsidR="00DB4984" w:rsidRPr="00521F14">
        <w:t xml:space="preserve">Nejvíce ohrožené </w:t>
      </w:r>
      <w:r w:rsidR="00521C4F">
        <w:t xml:space="preserve">zůstaly i nadále </w:t>
      </w:r>
      <w:r w:rsidR="00DB4984" w:rsidRPr="00521F14">
        <w:t xml:space="preserve">neúplné rodiny s dětmi, tedy takové rodiny, kde žije pouze jeden rodič s jedním nebo více dětmi. U tohoto typu domácnosti došlo </w:t>
      </w:r>
      <w:r w:rsidR="00847307" w:rsidRPr="00521F14">
        <w:t xml:space="preserve">k </w:t>
      </w:r>
      <w:r w:rsidR="00DB4984" w:rsidRPr="00521F14">
        <w:t xml:space="preserve">meziročnímu </w:t>
      </w:r>
      <w:r w:rsidR="00521F14" w:rsidRPr="00521F14">
        <w:t>poklesu</w:t>
      </w:r>
      <w:r w:rsidR="00DB4984" w:rsidRPr="00521F14">
        <w:t xml:space="preserve"> ohrožení příjmovou chudobou z</w:t>
      </w:r>
      <w:r w:rsidR="00521F14" w:rsidRPr="00521F14">
        <w:t> 36,3</w:t>
      </w:r>
      <w:r w:rsidR="00521C4F">
        <w:t> </w:t>
      </w:r>
      <w:r w:rsidR="00DB4984" w:rsidRPr="00521F14">
        <w:t xml:space="preserve">% na </w:t>
      </w:r>
      <w:r w:rsidR="00521F14" w:rsidRPr="00521F14">
        <w:t>34,1</w:t>
      </w:r>
      <w:r w:rsidRPr="00521F14">
        <w:t> %.</w:t>
      </w:r>
      <w:r w:rsidR="00DB4984" w:rsidRPr="00521F14">
        <w:t xml:space="preserve"> </w:t>
      </w:r>
      <w:r w:rsidR="007C3008" w:rsidRPr="00521F14">
        <w:t>U úplných rodin s dětmi došlo</w:t>
      </w:r>
      <w:r w:rsidR="00521F14" w:rsidRPr="00521F14">
        <w:t xml:space="preserve"> </w:t>
      </w:r>
      <w:r w:rsidR="007C3008" w:rsidRPr="00521F14">
        <w:t>k mírnému zvýšení ohrožení příjmovou chudobou (</w:t>
      </w:r>
      <w:r w:rsidR="007C3008" w:rsidRPr="0072752B">
        <w:t>o</w:t>
      </w:r>
      <w:r w:rsidR="0072752B">
        <w:t> </w:t>
      </w:r>
      <w:r w:rsidR="00521F14" w:rsidRPr="0072752B">
        <w:t>0</w:t>
      </w:r>
      <w:r w:rsidR="00521F14" w:rsidRPr="00521F14">
        <w:t>,9</w:t>
      </w:r>
      <w:r w:rsidR="007C3008" w:rsidRPr="00521F14">
        <w:t xml:space="preserve"> p. b.) a</w:t>
      </w:r>
      <w:r w:rsidR="00521F14" w:rsidRPr="00521F14">
        <w:t xml:space="preserve"> nepatrné z</w:t>
      </w:r>
      <w:r w:rsidR="007C3008" w:rsidRPr="00521F14">
        <w:t xml:space="preserve">výšení (o </w:t>
      </w:r>
      <w:r w:rsidR="00521F14" w:rsidRPr="00521F14">
        <w:t>0,5</w:t>
      </w:r>
      <w:r w:rsidR="007C3008" w:rsidRPr="00521F14">
        <w:t xml:space="preserve"> p. b.) nastalo také u</w:t>
      </w:r>
      <w:r w:rsidR="00676F81" w:rsidRPr="00521F14">
        <w:t> </w:t>
      </w:r>
      <w:r w:rsidR="007C3008" w:rsidRPr="00521F14">
        <w:t xml:space="preserve">domácností zaměstnanců. </w:t>
      </w:r>
      <w:r w:rsidR="00DB4984" w:rsidRPr="00521F14">
        <w:t>D</w:t>
      </w:r>
      <w:r w:rsidR="00770C2F">
        <w:t xml:space="preserve">ruhou </w:t>
      </w:r>
      <w:r w:rsidR="00DB4984" w:rsidRPr="00521F14">
        <w:t xml:space="preserve">dlouhodobě </w:t>
      </w:r>
      <w:r w:rsidR="007C3008" w:rsidRPr="00521F14">
        <w:t xml:space="preserve">významně </w:t>
      </w:r>
      <w:r w:rsidR="00DB4984" w:rsidRPr="00521F14">
        <w:t xml:space="preserve">ohroženou skupinu tvoří </w:t>
      </w:r>
      <w:r w:rsidR="00907CD0" w:rsidRPr="00521F14">
        <w:t>důchodci, u</w:t>
      </w:r>
      <w:r w:rsidR="00521C4F">
        <w:t> </w:t>
      </w:r>
      <w:r w:rsidR="00907CD0" w:rsidRPr="00521F14">
        <w:t xml:space="preserve">kterých ale došlo </w:t>
      </w:r>
      <w:r w:rsidR="007C3008" w:rsidRPr="00521F14">
        <w:t>v roce 202</w:t>
      </w:r>
      <w:r w:rsidR="00521F14" w:rsidRPr="00521F14">
        <w:t>5</w:t>
      </w:r>
      <w:r w:rsidR="007C3008" w:rsidRPr="00521F14">
        <w:t xml:space="preserve"> </w:t>
      </w:r>
      <w:r w:rsidR="00907CD0" w:rsidRPr="00521F14">
        <w:t>k</w:t>
      </w:r>
      <w:r w:rsidR="00521F14" w:rsidRPr="00521F14">
        <w:t xml:space="preserve"> drobnému </w:t>
      </w:r>
      <w:r w:rsidR="00907CD0" w:rsidRPr="00521F14">
        <w:t>poklesu osob ohrožených příjm</w:t>
      </w:r>
      <w:r w:rsidR="00847307" w:rsidRPr="00521F14">
        <w:t>ovou chudobou, a to z</w:t>
      </w:r>
      <w:r w:rsidR="00521F14" w:rsidRPr="00521F14">
        <w:t> 12,5</w:t>
      </w:r>
      <w:r w:rsidR="00847307" w:rsidRPr="00521F14">
        <w:t xml:space="preserve"> % na </w:t>
      </w:r>
      <w:r w:rsidR="00907CD0" w:rsidRPr="00521F14">
        <w:t>1</w:t>
      </w:r>
      <w:r w:rsidR="00BB0360" w:rsidRPr="00521F14">
        <w:t>2,</w:t>
      </w:r>
      <w:r w:rsidR="00521F14" w:rsidRPr="00521F14">
        <w:t>3</w:t>
      </w:r>
      <w:r w:rsidR="00BB0360" w:rsidRPr="00521F14">
        <w:t> </w:t>
      </w:r>
      <w:r w:rsidR="007C3008" w:rsidRPr="00521F14">
        <w:t>%</w:t>
      </w:r>
      <w:r w:rsidR="00521F14" w:rsidRPr="00521F14">
        <w:t>.</w:t>
      </w:r>
    </w:p>
    <w:p w14:paraId="74671FB9" w14:textId="6F634078" w:rsidR="0036113A" w:rsidRDefault="0036113A" w:rsidP="00A620FD">
      <w:pPr>
        <w:pStyle w:val="Titulek"/>
        <w:keepNext/>
        <w:rPr>
          <w:lang w:val="cs-CZ"/>
        </w:rPr>
      </w:pPr>
      <w:bookmarkStart w:id="13" w:name="_Toc220396848"/>
      <w:r>
        <w:t xml:space="preserve">Graf </w:t>
      </w:r>
      <w:r w:rsidR="00D5241C">
        <w:fldChar w:fldCharType="begin"/>
      </w:r>
      <w:r w:rsidR="00D5241C">
        <w:instrText xml:space="preserve"> SEQ Graf \* ARABIC </w:instrText>
      </w:r>
      <w:r w:rsidR="00D5241C">
        <w:fldChar w:fldCharType="separate"/>
      </w:r>
      <w:r w:rsidR="00497F80">
        <w:rPr>
          <w:noProof/>
        </w:rPr>
        <w:t>12</w:t>
      </w:r>
      <w:r w:rsidR="00D5241C">
        <w:rPr>
          <w:noProof/>
        </w:rPr>
        <w:fldChar w:fldCharType="end"/>
      </w:r>
      <w:r>
        <w:rPr>
          <w:lang w:val="cs-CZ"/>
        </w:rPr>
        <w:t xml:space="preserve"> </w:t>
      </w:r>
      <w:r w:rsidR="003542EB">
        <w:rPr>
          <w:lang w:val="cs-CZ"/>
        </w:rPr>
        <w:t xml:space="preserve"> </w:t>
      </w:r>
      <w:r>
        <w:rPr>
          <w:lang w:val="cs-CZ"/>
        </w:rPr>
        <w:t xml:space="preserve">Podíl </w:t>
      </w:r>
      <w:r w:rsidR="007C3008">
        <w:rPr>
          <w:lang w:val="cs-CZ"/>
        </w:rPr>
        <w:t xml:space="preserve">osob </w:t>
      </w:r>
      <w:r>
        <w:rPr>
          <w:lang w:val="cs-CZ"/>
        </w:rPr>
        <w:t xml:space="preserve">ohrožených příjmovou chudobou </w:t>
      </w:r>
      <w:r w:rsidR="007C3008">
        <w:rPr>
          <w:lang w:val="cs-CZ"/>
        </w:rPr>
        <w:t xml:space="preserve">podle vybraných </w:t>
      </w:r>
      <w:r w:rsidR="00F14C18">
        <w:rPr>
          <w:lang w:val="cs-CZ"/>
        </w:rPr>
        <w:t>druh</w:t>
      </w:r>
      <w:r w:rsidR="007C3008">
        <w:rPr>
          <w:lang w:val="cs-CZ"/>
        </w:rPr>
        <w:t>ů domácností</w:t>
      </w:r>
      <w:r w:rsidR="0072752B">
        <w:rPr>
          <w:lang w:val="cs-CZ"/>
        </w:rPr>
        <w:t xml:space="preserve"> </w:t>
      </w:r>
      <w:r w:rsidR="007F68C0">
        <w:rPr>
          <w:lang w:val="cs-CZ"/>
        </w:rPr>
        <w:br/>
        <w:t xml:space="preserve">v letech </w:t>
      </w:r>
      <w:r>
        <w:rPr>
          <w:lang w:val="cs-CZ"/>
        </w:rPr>
        <w:t>202</w:t>
      </w:r>
      <w:r w:rsidR="00A14631">
        <w:rPr>
          <w:lang w:val="cs-CZ"/>
        </w:rPr>
        <w:t>4</w:t>
      </w:r>
      <w:r w:rsidR="0072752B">
        <w:rPr>
          <w:lang w:val="cs-CZ"/>
        </w:rPr>
        <w:t> </w:t>
      </w:r>
      <w:r>
        <w:rPr>
          <w:lang w:val="cs-CZ"/>
        </w:rPr>
        <w:t>a 202</w:t>
      </w:r>
      <w:r w:rsidR="00A14631">
        <w:rPr>
          <w:lang w:val="cs-CZ"/>
        </w:rPr>
        <w:t>5</w:t>
      </w:r>
      <w:r w:rsidR="007F68C0">
        <w:rPr>
          <w:lang w:val="cs-CZ"/>
        </w:rPr>
        <w:t xml:space="preserve"> (</w:t>
      </w:r>
      <w:r>
        <w:rPr>
          <w:lang w:val="cs-CZ"/>
        </w:rPr>
        <w:t>%)</w:t>
      </w:r>
      <w:bookmarkEnd w:id="13"/>
    </w:p>
    <w:p w14:paraId="4A7A66AE" w14:textId="12ED3BC7" w:rsidR="00F14C18" w:rsidRPr="00A620FD" w:rsidRDefault="00A620FD" w:rsidP="00A620FD">
      <w:pPr>
        <w:rPr>
          <w:lang w:eastAsia="ar-SA"/>
        </w:rPr>
      </w:pPr>
      <w:r>
        <w:rPr>
          <w:noProof/>
          <w:lang w:eastAsia="ar-SA"/>
        </w:rPr>
        <w:drawing>
          <wp:inline distT="0" distB="0" distL="0" distR="0" wp14:anchorId="4536C0E8" wp14:editId="321B0926">
            <wp:extent cx="5760000" cy="2639397"/>
            <wp:effectExtent l="0" t="0" r="0" b="8890"/>
            <wp:docPr id="1514954648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6393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CD2F49" w14:textId="649F160E" w:rsidR="0025619F" w:rsidRDefault="0025619F" w:rsidP="0025619F">
      <w:pPr>
        <w:spacing w:after="120" w:line="288" w:lineRule="auto"/>
        <w:rPr>
          <w:b/>
          <w:bCs/>
          <w:sz w:val="24"/>
          <w:szCs w:val="32"/>
        </w:rPr>
      </w:pPr>
      <w:r>
        <w:rPr>
          <w:rFonts w:cs="Arial"/>
          <w:b/>
          <w:sz w:val="26"/>
          <w:szCs w:val="26"/>
        </w:rPr>
        <w:t>Mezinárodní srovnání</w:t>
      </w:r>
    </w:p>
    <w:p w14:paraId="049FBD6E" w14:textId="2C42F567" w:rsidR="00613C36" w:rsidRDefault="00B0577A" w:rsidP="0025619F">
      <w:pPr>
        <w:rPr>
          <w:b/>
          <w:bCs/>
        </w:rPr>
      </w:pPr>
      <w:r w:rsidRPr="00F14C18">
        <w:t>V rámci mezinárodního srovnání patří Če</w:t>
      </w:r>
      <w:r w:rsidR="000C76F4" w:rsidRPr="00F14C18">
        <w:t xml:space="preserve">sko </w:t>
      </w:r>
      <w:r w:rsidRPr="00F14C18">
        <w:t>dlouhodobě mezi státy s nejnižší mírou ohrožení příjmovou chudobou. Nejnovější dostupná data jsou za rok 202</w:t>
      </w:r>
      <w:r w:rsidR="00A14631" w:rsidRPr="00F14C18">
        <w:t>4</w:t>
      </w:r>
      <w:r w:rsidRPr="00F14C18">
        <w:t xml:space="preserve">, podle kterých činí průměrná míra ohrožení příjmovou chudobou u sledovaných evropských států 16,2 %. Mezi státy s nejnižším podílem osob ohrožených příjmovou chudobou se kromě Česka řadí dále </w:t>
      </w:r>
      <w:r w:rsidR="00A14631" w:rsidRPr="00F14C18">
        <w:t>Belgie, Dánsko nebo Nor</w:t>
      </w:r>
      <w:r w:rsidRPr="00F14C18">
        <w:t xml:space="preserve">sko. Naopak země s nejvyšší mírou ohrožení příjmovou chudobou </w:t>
      </w:r>
      <w:r w:rsidR="008E740B" w:rsidRPr="00F14C18">
        <w:t xml:space="preserve">jsou </w:t>
      </w:r>
      <w:r w:rsidR="00A14631" w:rsidRPr="00F14C18">
        <w:t>Turecko, Bulharsko, Lotyšsko a Litva</w:t>
      </w:r>
      <w:r w:rsidRPr="00F14C18">
        <w:t>.</w:t>
      </w:r>
      <w:bookmarkEnd w:id="0"/>
    </w:p>
    <w:p w14:paraId="14553396" w14:textId="4420867F" w:rsidR="00B0577A" w:rsidRDefault="00A620FD" w:rsidP="00A620FD">
      <w:pPr>
        <w:pStyle w:val="Titulek"/>
        <w:keepNext/>
        <w:rPr>
          <w:lang w:val="cs-CZ"/>
        </w:rPr>
      </w:pPr>
      <w:bookmarkStart w:id="14" w:name="_Toc220396849"/>
      <w:r w:rsidRPr="00B369D0">
        <w:rPr>
          <w:noProof/>
        </w:rPr>
        <w:drawing>
          <wp:anchor distT="0" distB="0" distL="114300" distR="114300" simplePos="0" relativeHeight="251675648" behindDoc="0" locked="0" layoutInCell="1" allowOverlap="1" wp14:anchorId="0A6874F7" wp14:editId="7269EB64">
            <wp:simplePos x="0" y="0"/>
            <wp:positionH relativeFrom="column">
              <wp:posOffset>3438220</wp:posOffset>
            </wp:positionH>
            <wp:positionV relativeFrom="paragraph">
              <wp:posOffset>219710</wp:posOffset>
            </wp:positionV>
            <wp:extent cx="998076" cy="1046073"/>
            <wp:effectExtent l="0" t="0" r="0" b="1905"/>
            <wp:wrapNone/>
            <wp:docPr id="9" name="Obrázek 8" descr="Obsah obrázku text, snímek obrazovky, Písmo, design&#10;&#10;Obsah generovaný pomocí AI může být nesprávný.">
              <a:extLst xmlns:a="http://schemas.openxmlformats.org/drawingml/2006/main">
                <a:ext uri="{FF2B5EF4-FFF2-40B4-BE49-F238E27FC236}">
                  <a16:creationId xmlns:a16="http://schemas.microsoft.com/office/drawing/2014/main" id="{DC913B73-E59B-4A4B-42B1-FEE0E1F2A0B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8" descr="Obsah obrázku text, snímek obrazovky, Písmo, design&#10;&#10;Obsah generovaný pomocí AI může být nesprávný.">
                      <a:extLst>
                        <a:ext uri="{FF2B5EF4-FFF2-40B4-BE49-F238E27FC236}">
                          <a16:creationId xmlns:a16="http://schemas.microsoft.com/office/drawing/2014/main" id="{DC913B73-E59B-4A4B-42B1-FEE0E1F2A0B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076" cy="10460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69D0">
        <w:rPr>
          <w:rFonts w:ascii="Arial Narrow" w:hAnsi="Arial Narrow"/>
          <w:b w:val="0"/>
          <w:noProof/>
          <w:sz w:val="26"/>
          <w:szCs w:val="26"/>
        </w:rPr>
        <w:drawing>
          <wp:anchor distT="0" distB="0" distL="114300" distR="114300" simplePos="0" relativeHeight="251674624" behindDoc="1" locked="0" layoutInCell="1" allowOverlap="1" wp14:anchorId="34CEBEF3" wp14:editId="50C29AB3">
            <wp:simplePos x="0" y="0"/>
            <wp:positionH relativeFrom="page">
              <wp:align>center</wp:align>
            </wp:positionH>
            <wp:positionV relativeFrom="page">
              <wp:posOffset>6693535</wp:posOffset>
            </wp:positionV>
            <wp:extent cx="3099600" cy="3063600"/>
            <wp:effectExtent l="0" t="0" r="5715" b="3810"/>
            <wp:wrapTight wrapText="bothSides">
              <wp:wrapPolygon edited="0">
                <wp:start x="0" y="0"/>
                <wp:lineTo x="0" y="21493"/>
                <wp:lineTo x="21507" y="21493"/>
                <wp:lineTo x="21507" y="0"/>
                <wp:lineTo x="0" y="0"/>
              </wp:wrapPolygon>
            </wp:wrapTight>
            <wp:docPr id="6" name="Obrázek 5" descr="Obsah obrázku mapa, atlas, text&#10;&#10;Obsah generovaný pomocí AI může být nesprávný.">
              <a:extLst xmlns:a="http://schemas.openxmlformats.org/drawingml/2006/main">
                <a:ext uri="{FF2B5EF4-FFF2-40B4-BE49-F238E27FC236}">
                  <a16:creationId xmlns:a16="http://schemas.microsoft.com/office/drawing/2014/main" id="{2C746661-5F2A-48A3-5BB7-6B2C5D3287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5" descr="Obsah obrázku mapa, atlas, text&#10;&#10;Obsah generovaný pomocí AI může být nesprávný.">
                      <a:extLst>
                        <a:ext uri="{FF2B5EF4-FFF2-40B4-BE49-F238E27FC236}">
                          <a16:creationId xmlns:a16="http://schemas.microsoft.com/office/drawing/2014/main" id="{2C746661-5F2A-48A3-5BB7-6B2C5D32873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9600" cy="306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3C36">
        <w:t xml:space="preserve">Graf </w:t>
      </w:r>
      <w:r w:rsidR="00F14C18">
        <w:fldChar w:fldCharType="begin"/>
      </w:r>
      <w:r w:rsidR="00F14C18">
        <w:instrText xml:space="preserve"> SEQ Graf \* ARABIC </w:instrText>
      </w:r>
      <w:r w:rsidR="00F14C18">
        <w:fldChar w:fldCharType="separate"/>
      </w:r>
      <w:r w:rsidR="00497F80">
        <w:rPr>
          <w:noProof/>
        </w:rPr>
        <w:t>13</w:t>
      </w:r>
      <w:r w:rsidR="00F14C18">
        <w:rPr>
          <w:noProof/>
        </w:rPr>
        <w:fldChar w:fldCharType="end"/>
      </w:r>
      <w:r w:rsidR="00613C36">
        <w:rPr>
          <w:lang w:val="cs-CZ"/>
        </w:rPr>
        <w:t xml:space="preserve"> </w:t>
      </w:r>
      <w:r w:rsidR="00A4318E">
        <w:rPr>
          <w:lang w:val="cs-CZ"/>
        </w:rPr>
        <w:t xml:space="preserve"> </w:t>
      </w:r>
      <w:r w:rsidR="00613C36" w:rsidRPr="00206CDC">
        <w:rPr>
          <w:lang w:val="cs-CZ"/>
        </w:rPr>
        <w:t xml:space="preserve">Ohrožení příjmovou chudobou v Evropě </w:t>
      </w:r>
      <w:r w:rsidR="001E7174">
        <w:rPr>
          <w:lang w:val="cs-CZ"/>
        </w:rPr>
        <w:t xml:space="preserve">v roce </w:t>
      </w:r>
      <w:r w:rsidR="00613C36" w:rsidRPr="00206CDC">
        <w:rPr>
          <w:lang w:val="cs-CZ"/>
        </w:rPr>
        <w:t>202</w:t>
      </w:r>
      <w:r w:rsidR="00A14631">
        <w:rPr>
          <w:lang w:val="cs-CZ"/>
        </w:rPr>
        <w:t>4</w:t>
      </w:r>
      <w:r w:rsidR="001E7174">
        <w:rPr>
          <w:lang w:val="cs-CZ"/>
        </w:rPr>
        <w:t xml:space="preserve"> (</w:t>
      </w:r>
      <w:r w:rsidR="00613C36" w:rsidRPr="00206CDC">
        <w:rPr>
          <w:lang w:val="cs-CZ"/>
        </w:rPr>
        <w:t>%)</w:t>
      </w:r>
      <w:bookmarkEnd w:id="14"/>
    </w:p>
    <w:p w14:paraId="484875EE" w14:textId="4D7D5A0B" w:rsidR="00B369D0" w:rsidRDefault="00B369D0" w:rsidP="00B369D0">
      <w:pPr>
        <w:rPr>
          <w:lang w:eastAsia="ar-SA"/>
        </w:rPr>
      </w:pPr>
    </w:p>
    <w:p w14:paraId="3A4E95A5" w14:textId="2D49DB7C" w:rsidR="00B369D0" w:rsidRDefault="00B369D0" w:rsidP="00B369D0">
      <w:pPr>
        <w:rPr>
          <w:lang w:eastAsia="ar-SA"/>
        </w:rPr>
      </w:pPr>
    </w:p>
    <w:p w14:paraId="0DE9CF41" w14:textId="03E2287A" w:rsidR="00B369D0" w:rsidRDefault="00B369D0" w:rsidP="00B369D0">
      <w:pPr>
        <w:rPr>
          <w:lang w:eastAsia="ar-SA"/>
        </w:rPr>
      </w:pPr>
    </w:p>
    <w:p w14:paraId="42E81214" w14:textId="38D1D871" w:rsidR="00B369D0" w:rsidRDefault="00B369D0" w:rsidP="00B369D0">
      <w:pPr>
        <w:rPr>
          <w:lang w:eastAsia="ar-SA"/>
        </w:rPr>
      </w:pPr>
    </w:p>
    <w:p w14:paraId="15CDD161" w14:textId="05991DDC" w:rsidR="00B369D0" w:rsidRDefault="00B369D0" w:rsidP="00B369D0">
      <w:pPr>
        <w:rPr>
          <w:lang w:eastAsia="ar-SA"/>
        </w:rPr>
      </w:pPr>
    </w:p>
    <w:p w14:paraId="0236C7FF" w14:textId="782BD778" w:rsidR="00B369D0" w:rsidRDefault="00B369D0" w:rsidP="00B369D0">
      <w:pPr>
        <w:rPr>
          <w:lang w:eastAsia="ar-SA"/>
        </w:rPr>
      </w:pPr>
    </w:p>
    <w:p w14:paraId="34B1CEC2" w14:textId="0434528C" w:rsidR="00B369D0" w:rsidRDefault="00B369D0" w:rsidP="00B369D0">
      <w:pPr>
        <w:rPr>
          <w:lang w:eastAsia="ar-SA"/>
        </w:rPr>
      </w:pPr>
    </w:p>
    <w:p w14:paraId="08C9F61A" w14:textId="1A0603E7" w:rsidR="00B369D0" w:rsidRDefault="00B369D0" w:rsidP="00B369D0">
      <w:pPr>
        <w:rPr>
          <w:lang w:eastAsia="ar-SA"/>
        </w:rPr>
      </w:pPr>
    </w:p>
    <w:p w14:paraId="367FAED0" w14:textId="77777777" w:rsidR="00A620FD" w:rsidRDefault="00A620FD" w:rsidP="00B369D0">
      <w:pPr>
        <w:rPr>
          <w:lang w:eastAsia="ar-SA"/>
        </w:rPr>
      </w:pPr>
    </w:p>
    <w:p w14:paraId="2DB8F0B2" w14:textId="5D9A39D6" w:rsidR="0025619F" w:rsidRDefault="00B369D0" w:rsidP="00A620FD">
      <w:pPr>
        <w:spacing w:before="120" w:after="0" w:line="240" w:lineRule="auto"/>
        <w:rPr>
          <w:rFonts w:ascii="Arial Narrow" w:hAnsi="Arial Narrow"/>
        </w:rPr>
      </w:pPr>
      <w:r w:rsidRPr="00F14C18">
        <w:rPr>
          <w:rFonts w:ascii="Arial Narrow" w:hAnsi="Arial Narrow"/>
        </w:rPr>
        <w:t xml:space="preserve">        </w:t>
      </w:r>
    </w:p>
    <w:p w14:paraId="431152BA" w14:textId="77777777" w:rsidR="0025619F" w:rsidRDefault="0025619F" w:rsidP="0025619F">
      <w:pPr>
        <w:spacing w:before="120" w:after="0" w:line="240" w:lineRule="auto"/>
        <w:rPr>
          <w:rFonts w:ascii="Arial Narrow" w:hAnsi="Arial Narrow"/>
        </w:rPr>
      </w:pPr>
    </w:p>
    <w:p w14:paraId="5B2F5B9C" w14:textId="766A48F5" w:rsidR="00B369D0" w:rsidRPr="00F14C18" w:rsidRDefault="00A620FD" w:rsidP="00A620FD">
      <w:pPr>
        <w:spacing w:before="120" w:after="0" w:line="240" w:lineRule="auto"/>
        <w:ind w:left="708" w:firstLine="708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</w:t>
      </w:r>
      <w:r w:rsidR="00BB0360" w:rsidRPr="00F14C18">
        <w:rPr>
          <w:rFonts w:ascii="Arial Narrow" w:hAnsi="Arial Narrow"/>
        </w:rPr>
        <w:t xml:space="preserve">Zdroj: </w:t>
      </w:r>
      <w:hyperlink r:id="rId27" w:history="1">
        <w:proofErr w:type="spellStart"/>
        <w:r w:rsidR="00B369D0" w:rsidRPr="00F14C18">
          <w:rPr>
            <w:rStyle w:val="Hypertextovodkaz"/>
            <w:rFonts w:ascii="Arial Narrow" w:hAnsi="Arial Narrow"/>
          </w:rPr>
          <w:t>Statistics</w:t>
        </w:r>
        <w:proofErr w:type="spellEnd"/>
      </w:hyperlink>
      <w:hyperlink r:id="rId28" w:history="1">
        <w:r w:rsidR="00B369D0" w:rsidRPr="00F14C18">
          <w:rPr>
            <w:rStyle w:val="Hypertextovodkaz"/>
            <w:rFonts w:ascii="Arial Narrow" w:hAnsi="Arial Narrow"/>
          </w:rPr>
          <w:t xml:space="preserve"> | </w:t>
        </w:r>
      </w:hyperlink>
      <w:hyperlink r:id="rId29" w:history="1">
        <w:proofErr w:type="spellStart"/>
        <w:r w:rsidR="00B369D0" w:rsidRPr="00F14C18">
          <w:rPr>
            <w:rStyle w:val="Hypertextovodkaz"/>
            <w:rFonts w:ascii="Arial Narrow" w:hAnsi="Arial Narrow"/>
          </w:rPr>
          <w:t>Eurostat</w:t>
        </w:r>
        <w:proofErr w:type="spellEnd"/>
      </w:hyperlink>
    </w:p>
    <w:p w14:paraId="27E07CB6" w14:textId="32E7C81C" w:rsidR="006A53D1" w:rsidRPr="0025619F" w:rsidRDefault="000C76F4" w:rsidP="009211C0">
      <w:pPr>
        <w:spacing w:line="240" w:lineRule="auto"/>
        <w:rPr>
          <w:rFonts w:cs="Arial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br w:type="page"/>
      </w:r>
      <w:r w:rsidRPr="0025619F">
        <w:rPr>
          <w:rFonts w:cs="Arial"/>
          <w:b/>
          <w:sz w:val="26"/>
          <w:szCs w:val="26"/>
        </w:rPr>
        <w:t>Mí</w:t>
      </w:r>
      <w:r w:rsidR="009D005B" w:rsidRPr="0025619F">
        <w:rPr>
          <w:rFonts w:cs="Arial"/>
          <w:b/>
          <w:sz w:val="26"/>
          <w:szCs w:val="26"/>
        </w:rPr>
        <w:t xml:space="preserve">ra materiální </w:t>
      </w:r>
      <w:r w:rsidR="0024337B" w:rsidRPr="0025619F">
        <w:rPr>
          <w:rFonts w:cs="Arial"/>
          <w:b/>
          <w:sz w:val="26"/>
          <w:szCs w:val="26"/>
        </w:rPr>
        <w:t xml:space="preserve">a sociální </w:t>
      </w:r>
      <w:r w:rsidR="00C16B01" w:rsidRPr="0025619F">
        <w:rPr>
          <w:rFonts w:cs="Arial"/>
          <w:b/>
          <w:sz w:val="26"/>
          <w:szCs w:val="26"/>
        </w:rPr>
        <w:t>deprivace v roce 202</w:t>
      </w:r>
      <w:r w:rsidR="00B369D0" w:rsidRPr="0025619F">
        <w:rPr>
          <w:rFonts w:cs="Arial"/>
          <w:b/>
          <w:sz w:val="26"/>
          <w:szCs w:val="26"/>
        </w:rPr>
        <w:t>5</w:t>
      </w:r>
    </w:p>
    <w:p w14:paraId="15C6A47D" w14:textId="5BC4B799" w:rsidR="00F14C18" w:rsidRDefault="00AA41C4" w:rsidP="0025619F">
      <w:pPr>
        <w:rPr>
          <w:szCs w:val="32"/>
        </w:rPr>
      </w:pPr>
      <w:r w:rsidRPr="000C76F4">
        <w:t xml:space="preserve">Indikátor materiální </w:t>
      </w:r>
      <w:r w:rsidR="00ED570D" w:rsidRPr="000C76F4">
        <w:t xml:space="preserve">a sociální </w:t>
      </w:r>
      <w:r w:rsidRPr="000C76F4">
        <w:t xml:space="preserve">deprivace udává podíl osob, </w:t>
      </w:r>
      <w:r w:rsidR="007D2B59" w:rsidRPr="000C76F4">
        <w:t>jejichž domácnosti</w:t>
      </w:r>
      <w:r w:rsidRPr="000C76F4">
        <w:t xml:space="preserve"> si nemohou </w:t>
      </w:r>
      <w:r w:rsidR="00421909" w:rsidRPr="000C76F4">
        <w:t xml:space="preserve">z finančních důvodů </w:t>
      </w:r>
      <w:r w:rsidRPr="000C76F4">
        <w:t xml:space="preserve">dovolit </w:t>
      </w:r>
      <w:r w:rsidR="00ED570D" w:rsidRPr="000C76F4">
        <w:t>pět</w:t>
      </w:r>
      <w:r w:rsidRPr="000C76F4">
        <w:t xml:space="preserve"> a více </w:t>
      </w:r>
      <w:r w:rsidR="001A54CD" w:rsidRPr="000C76F4">
        <w:t>z</w:t>
      </w:r>
      <w:r w:rsidR="0017469E" w:rsidRPr="000C76F4">
        <w:t>e</w:t>
      </w:r>
      <w:r w:rsidR="00ED570D" w:rsidRPr="000C76F4">
        <w:t> třinácti</w:t>
      </w:r>
      <w:r w:rsidR="00DD1829" w:rsidRPr="000C76F4">
        <w:t xml:space="preserve"> </w:t>
      </w:r>
      <w:r w:rsidR="00F11508" w:rsidRPr="000C76F4">
        <w:t xml:space="preserve">sledovaných </w:t>
      </w:r>
      <w:r w:rsidR="001A54CD" w:rsidRPr="000C76F4">
        <w:t>položek.</w:t>
      </w:r>
      <w:r w:rsidR="008E36DE" w:rsidRPr="000C76F4">
        <w:t xml:space="preserve"> Podobně jako u míry ohrožení příjmovou chudobou </w:t>
      </w:r>
      <w:r w:rsidR="00CC4602" w:rsidRPr="000C76F4">
        <w:t>jde</w:t>
      </w:r>
      <w:r w:rsidR="008E36DE" w:rsidRPr="000C76F4">
        <w:t xml:space="preserve"> o </w:t>
      </w:r>
      <w:r w:rsidR="008E36DE" w:rsidRPr="000C76F4">
        <w:rPr>
          <w:szCs w:val="32"/>
        </w:rPr>
        <w:t xml:space="preserve">indikátor, který vychází z metodiky dané </w:t>
      </w:r>
      <w:r w:rsidR="00CC4602" w:rsidRPr="000C76F4">
        <w:rPr>
          <w:szCs w:val="32"/>
        </w:rPr>
        <w:t>Eurostatem.</w:t>
      </w:r>
      <w:r w:rsidR="001A54CD" w:rsidRPr="000C76F4">
        <w:t xml:space="preserve"> </w:t>
      </w:r>
      <w:r w:rsidR="0024337B" w:rsidRPr="000C76F4">
        <w:t>V roce 20</w:t>
      </w:r>
      <w:r w:rsidR="00C16B01" w:rsidRPr="000C76F4">
        <w:t>2</w:t>
      </w:r>
      <w:r w:rsidR="00050404">
        <w:t>5</w:t>
      </w:r>
      <w:r w:rsidR="0024337B" w:rsidRPr="000C76F4">
        <w:t xml:space="preserve"> </w:t>
      </w:r>
      <w:r w:rsidR="00B52C1D" w:rsidRPr="000C76F4">
        <w:t xml:space="preserve">dosáhla </w:t>
      </w:r>
      <w:r w:rsidR="00F11508" w:rsidRPr="000C76F4">
        <w:t xml:space="preserve">tato míra </w:t>
      </w:r>
      <w:r w:rsidR="00B52C1D" w:rsidRPr="000C76F4">
        <w:t>hodnoty</w:t>
      </w:r>
      <w:r w:rsidR="004E3901" w:rsidRPr="000C76F4">
        <w:t xml:space="preserve"> </w:t>
      </w:r>
      <w:r w:rsidR="00050404" w:rsidRPr="005D1DF7">
        <w:rPr>
          <w:b/>
          <w:bCs/>
        </w:rPr>
        <w:t>5,</w:t>
      </w:r>
      <w:r w:rsidR="0025619F" w:rsidRPr="005D1DF7">
        <w:rPr>
          <w:b/>
          <w:bCs/>
        </w:rPr>
        <w:t>8</w:t>
      </w:r>
      <w:r w:rsidR="00240483" w:rsidRPr="005D1DF7">
        <w:rPr>
          <w:b/>
          <w:bCs/>
        </w:rPr>
        <w:t xml:space="preserve"> </w:t>
      </w:r>
      <w:r w:rsidR="0024337B" w:rsidRPr="005D1DF7">
        <w:rPr>
          <w:b/>
          <w:bCs/>
        </w:rPr>
        <w:t>%</w:t>
      </w:r>
      <w:r w:rsidR="001D47A8">
        <w:t xml:space="preserve">. </w:t>
      </w:r>
      <w:r w:rsidR="003E474B" w:rsidRPr="000C76F4">
        <w:t xml:space="preserve">Jedná </w:t>
      </w:r>
      <w:r w:rsidR="00FD3EA7" w:rsidRPr="000C76F4">
        <w:t>se o</w:t>
      </w:r>
      <w:r w:rsidR="00F11508" w:rsidRPr="000C76F4">
        <w:t> </w:t>
      </w:r>
      <w:r w:rsidR="00FD3EA7" w:rsidRPr="000C76F4">
        <w:t>měření podle metodiky</w:t>
      </w:r>
      <w:r w:rsidR="00B52C1D" w:rsidRPr="000C76F4">
        <w:t>, kter</w:t>
      </w:r>
      <w:r w:rsidR="00B46AFB" w:rsidRPr="000C76F4">
        <w:t>á</w:t>
      </w:r>
      <w:r w:rsidR="00B52C1D" w:rsidRPr="000C76F4">
        <w:t xml:space="preserve"> </w:t>
      </w:r>
      <w:r w:rsidR="00F11508" w:rsidRPr="000C76F4">
        <w:t xml:space="preserve">posuzuje nejen </w:t>
      </w:r>
      <w:r w:rsidR="00052267" w:rsidRPr="00A54FA7">
        <w:t>materiální položk</w:t>
      </w:r>
      <w:r w:rsidR="00C16B01" w:rsidRPr="00A54FA7">
        <w:t>y</w:t>
      </w:r>
      <w:r w:rsidR="00F11508" w:rsidRPr="00A54FA7">
        <w:t>, ale i</w:t>
      </w:r>
      <w:r w:rsidR="0072752B">
        <w:t> </w:t>
      </w:r>
      <w:r w:rsidR="003E474B" w:rsidRPr="00A54FA7">
        <w:t>sociální prvk</w:t>
      </w:r>
      <w:r w:rsidR="00C16B01" w:rsidRPr="00A54FA7">
        <w:t>y</w:t>
      </w:r>
      <w:r w:rsidR="003E474B" w:rsidRPr="00A54FA7">
        <w:t xml:space="preserve"> života</w:t>
      </w:r>
      <w:r w:rsidR="00DE5642" w:rsidRPr="00A54FA7">
        <w:t xml:space="preserve"> (</w:t>
      </w:r>
      <w:r w:rsidR="00F11508" w:rsidRPr="00A54FA7">
        <w:t>jako je v</w:t>
      </w:r>
      <w:r w:rsidR="003E474B" w:rsidRPr="00A54FA7">
        <w:t>olnočasová aktivita, kontakt s</w:t>
      </w:r>
      <w:r w:rsidR="00DE5642" w:rsidRPr="00A54FA7">
        <w:t> </w:t>
      </w:r>
      <w:r w:rsidR="003E474B" w:rsidRPr="00A54FA7">
        <w:t>přáteli</w:t>
      </w:r>
      <w:r w:rsidR="00DE5642" w:rsidRPr="00A54FA7">
        <w:t xml:space="preserve"> či</w:t>
      </w:r>
      <w:r w:rsidR="003E474B" w:rsidRPr="00A54FA7">
        <w:t xml:space="preserve"> útrata pro sebe</w:t>
      </w:r>
      <w:r w:rsidR="00DE5642" w:rsidRPr="00A54FA7">
        <w:t>)</w:t>
      </w:r>
      <w:r w:rsidR="00D9342F" w:rsidRPr="00A54FA7">
        <w:t>.</w:t>
      </w:r>
      <w:r w:rsidR="00756F7C" w:rsidRPr="00A54FA7">
        <w:t xml:space="preserve"> </w:t>
      </w:r>
      <w:r w:rsidR="006B49FA" w:rsidRPr="00A54FA7">
        <w:t xml:space="preserve">Téměř </w:t>
      </w:r>
      <w:r w:rsidR="00431129" w:rsidRPr="00A54FA7">
        <w:t>tři čtvrtiny</w:t>
      </w:r>
      <w:r w:rsidR="00756F7C" w:rsidRPr="00A54FA7">
        <w:t xml:space="preserve"> </w:t>
      </w:r>
      <w:r w:rsidR="00431129" w:rsidRPr="00A54FA7">
        <w:t>(</w:t>
      </w:r>
      <w:r w:rsidR="00050404" w:rsidRPr="00A54FA7">
        <w:t>72,2</w:t>
      </w:r>
      <w:r w:rsidR="00431129" w:rsidRPr="00A54FA7">
        <w:t xml:space="preserve"> %) </w:t>
      </w:r>
      <w:r w:rsidR="00756F7C" w:rsidRPr="00A54FA7">
        <w:t xml:space="preserve">respondentů </w:t>
      </w:r>
      <w:r w:rsidR="00DE5642" w:rsidRPr="00A54FA7">
        <w:t xml:space="preserve">přitom </w:t>
      </w:r>
      <w:r w:rsidR="00756F7C" w:rsidRPr="00A54FA7">
        <w:t>nebyly deprivovány ani jednou položkou.</w:t>
      </w:r>
      <w:r w:rsidR="00C2787D" w:rsidRPr="00A54FA7">
        <w:t xml:space="preserve"> </w:t>
      </w:r>
      <w:r w:rsidR="000C76F4" w:rsidRPr="00A54FA7">
        <w:rPr>
          <w:szCs w:val="32"/>
        </w:rPr>
        <w:t>Nejčastěji si domácnosti</w:t>
      </w:r>
      <w:r w:rsidR="000C76F4" w:rsidRPr="000C76F4">
        <w:rPr>
          <w:szCs w:val="32"/>
        </w:rPr>
        <w:t xml:space="preserve"> nemohly dovolit pořídit nový nábytek za opotřebovaný</w:t>
      </w:r>
      <w:r w:rsidR="000C76F4">
        <w:rPr>
          <w:szCs w:val="32"/>
        </w:rPr>
        <w:t xml:space="preserve"> (27</w:t>
      </w:r>
      <w:r w:rsidR="00050404">
        <w:rPr>
          <w:szCs w:val="32"/>
        </w:rPr>
        <w:t>,0</w:t>
      </w:r>
      <w:r w:rsidR="001E7174">
        <w:rPr>
          <w:szCs w:val="32"/>
        </w:rPr>
        <w:t xml:space="preserve"> </w:t>
      </w:r>
      <w:r w:rsidR="000C76F4">
        <w:rPr>
          <w:szCs w:val="32"/>
        </w:rPr>
        <w:t>%)</w:t>
      </w:r>
      <w:r w:rsidR="000C76F4" w:rsidRPr="000C76F4">
        <w:rPr>
          <w:szCs w:val="32"/>
        </w:rPr>
        <w:t>,</w:t>
      </w:r>
      <w:r w:rsidR="00050404">
        <w:rPr>
          <w:szCs w:val="32"/>
        </w:rPr>
        <w:t xml:space="preserve"> </w:t>
      </w:r>
      <w:r w:rsidR="00050404" w:rsidRPr="000C76F4">
        <w:rPr>
          <w:szCs w:val="32"/>
        </w:rPr>
        <w:t>týdenní dovolenou pro všechny členy domácnosti</w:t>
      </w:r>
      <w:r w:rsidR="00050404">
        <w:rPr>
          <w:szCs w:val="32"/>
        </w:rPr>
        <w:t xml:space="preserve"> (19,0 %) nebo </w:t>
      </w:r>
      <w:r w:rsidR="000C76F4" w:rsidRPr="000C76F4">
        <w:rPr>
          <w:szCs w:val="32"/>
        </w:rPr>
        <w:t>zaplatit neočekávaný výdaj ve výši 1</w:t>
      </w:r>
      <w:r w:rsidR="00050404">
        <w:rPr>
          <w:szCs w:val="32"/>
        </w:rPr>
        <w:t>6 800</w:t>
      </w:r>
      <w:r w:rsidR="000C76F4" w:rsidRPr="000C76F4">
        <w:rPr>
          <w:szCs w:val="32"/>
        </w:rPr>
        <w:t xml:space="preserve"> Kč</w:t>
      </w:r>
      <w:r w:rsidR="000C76F4">
        <w:rPr>
          <w:szCs w:val="32"/>
        </w:rPr>
        <w:t xml:space="preserve"> </w:t>
      </w:r>
      <w:r w:rsidR="001D47A8">
        <w:rPr>
          <w:szCs w:val="32"/>
        </w:rPr>
        <w:t>(</w:t>
      </w:r>
      <w:r w:rsidR="00050404">
        <w:rPr>
          <w:szCs w:val="32"/>
        </w:rPr>
        <w:t>18,7</w:t>
      </w:r>
      <w:r w:rsidR="001D47A8">
        <w:rPr>
          <w:szCs w:val="32"/>
        </w:rPr>
        <w:t xml:space="preserve"> %)</w:t>
      </w:r>
      <w:r w:rsidR="00050404">
        <w:rPr>
          <w:szCs w:val="32"/>
        </w:rPr>
        <w:t>.</w:t>
      </w:r>
    </w:p>
    <w:p w14:paraId="08619F7A" w14:textId="14AF754B" w:rsidR="00613C36" w:rsidRPr="000C76F4" w:rsidRDefault="00613C36" w:rsidP="0025619F">
      <w:pPr>
        <w:pStyle w:val="Titulek"/>
        <w:keepNext/>
        <w:divId w:val="1016074479"/>
      </w:pPr>
      <w:r w:rsidRPr="000C76F4">
        <w:t xml:space="preserve">Tab. </w:t>
      </w:r>
      <w:r>
        <w:fldChar w:fldCharType="begin"/>
      </w:r>
      <w:r>
        <w:instrText xml:space="preserve"> SEQ Tab. \* ARABIC </w:instrText>
      </w:r>
      <w:r>
        <w:fldChar w:fldCharType="separate"/>
      </w:r>
      <w:r w:rsidR="00497F80">
        <w:rPr>
          <w:noProof/>
        </w:rPr>
        <w:t>2</w:t>
      </w:r>
      <w:r>
        <w:rPr>
          <w:noProof/>
        </w:rPr>
        <w:fldChar w:fldCharType="end"/>
      </w:r>
      <w:r w:rsidRPr="000C76F4">
        <w:rPr>
          <w:lang w:val="cs-CZ"/>
        </w:rPr>
        <w:t xml:space="preserve"> Podíl osob v domácnostech, které si </w:t>
      </w:r>
      <w:r w:rsidR="007F68C0">
        <w:rPr>
          <w:lang w:val="cs-CZ"/>
        </w:rPr>
        <w:t>v letech</w:t>
      </w:r>
      <w:r w:rsidRPr="000C76F4">
        <w:rPr>
          <w:lang w:val="cs-CZ"/>
        </w:rPr>
        <w:t xml:space="preserve"> 202</w:t>
      </w:r>
      <w:r w:rsidR="00050404">
        <w:rPr>
          <w:lang w:val="cs-CZ"/>
        </w:rPr>
        <w:t>4</w:t>
      </w:r>
      <w:r w:rsidRPr="000C76F4">
        <w:rPr>
          <w:lang w:val="cs-CZ"/>
        </w:rPr>
        <w:t xml:space="preserve"> a 202</w:t>
      </w:r>
      <w:r w:rsidR="00050404">
        <w:rPr>
          <w:lang w:val="cs-CZ"/>
        </w:rPr>
        <w:t>5</w:t>
      </w:r>
      <w:r w:rsidRPr="000C76F4">
        <w:rPr>
          <w:lang w:val="cs-CZ"/>
        </w:rPr>
        <w:t xml:space="preserve"> nemohly dovolit z finančních důvodů danou položku (%)</w:t>
      </w:r>
    </w:p>
    <w:tbl>
      <w:tblPr>
        <w:tblW w:w="8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2156"/>
        <w:gridCol w:w="2156"/>
      </w:tblGrid>
      <w:tr w:rsidR="00B8229B" w:rsidRPr="000C76F4" w14:paraId="3CE62DB1" w14:textId="77777777" w:rsidTr="00B8229B">
        <w:trPr>
          <w:divId w:val="1016074479"/>
          <w:trHeight w:val="315"/>
        </w:trPr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27D97158" w14:textId="7CA67168" w:rsidR="00B8229B" w:rsidRPr="000C76F4" w:rsidRDefault="00B8229B" w:rsidP="00B8229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</w:pPr>
            <w:r w:rsidRPr="000C76F4"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1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5BDE06D9" w14:textId="538A8DAB" w:rsidR="00B8229B" w:rsidRPr="000C76F4" w:rsidRDefault="00B8229B" w:rsidP="00B8229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</w:pPr>
            <w:r w:rsidRPr="000C76F4"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  <w:t>202</w:t>
            </w:r>
            <w:r w:rsidR="00050404"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21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6FB9906A" w14:textId="4450CA0A" w:rsidR="00B8229B" w:rsidRPr="000C76F4" w:rsidRDefault="00B8229B" w:rsidP="00B8229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</w:pPr>
            <w:r w:rsidRPr="000C76F4"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  <w:t>202</w:t>
            </w:r>
            <w:r w:rsidR="00050404"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  <w:t>5</w:t>
            </w:r>
          </w:p>
        </w:tc>
      </w:tr>
      <w:tr w:rsidR="00050404" w:rsidRPr="000C76F4" w14:paraId="7C52918F" w14:textId="77777777" w:rsidTr="00B8229B">
        <w:trPr>
          <w:divId w:val="1016074479"/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73AA74" w14:textId="77777777" w:rsidR="00050404" w:rsidRPr="000C76F4" w:rsidRDefault="00050404" w:rsidP="00050404">
            <w:pPr>
              <w:spacing w:after="0" w:line="240" w:lineRule="auto"/>
              <w:ind w:firstLineChars="100" w:firstLine="18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0C76F4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Pořizovat nový nábytek za opotřebovaný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5F051A" w14:textId="525F3F71" w:rsidR="00050404" w:rsidRPr="000C76F4" w:rsidRDefault="00050404" w:rsidP="000504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0C76F4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27,8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36B92" w14:textId="08CAB0E6" w:rsidR="00050404" w:rsidRPr="000C76F4" w:rsidRDefault="00050404" w:rsidP="000504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0C76F4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27,</w:t>
            </w:r>
            <w:r w:rsidR="00090D0C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050404" w:rsidRPr="000C76F4" w14:paraId="2ED67E53" w14:textId="77777777" w:rsidTr="00B8229B">
        <w:trPr>
          <w:divId w:val="1016074479"/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A70CC5" w14:textId="45940D6D" w:rsidR="00050404" w:rsidRPr="000C76F4" w:rsidRDefault="00050404" w:rsidP="00050404">
            <w:pPr>
              <w:spacing w:after="0" w:line="240" w:lineRule="auto"/>
              <w:ind w:firstLineChars="100" w:firstLine="18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050404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Týdenní dovolená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A191BF" w14:textId="154B7511" w:rsidR="00050404" w:rsidRPr="000C76F4" w:rsidRDefault="00050404" w:rsidP="000504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0C76F4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1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8,5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11E5C" w14:textId="57BDA708" w:rsidR="00050404" w:rsidRPr="000C76F4" w:rsidRDefault="00050404" w:rsidP="000504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0C76F4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19,</w:t>
            </w:r>
            <w:r w:rsidR="00090D0C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050404" w:rsidRPr="000C76F4" w14:paraId="78DC5F64" w14:textId="77777777" w:rsidTr="00B8229B">
        <w:trPr>
          <w:divId w:val="1016074479"/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B8F3E4" w14:textId="11D8A1C4" w:rsidR="00050404" w:rsidRPr="000C76F4" w:rsidRDefault="00050404" w:rsidP="00050404">
            <w:pPr>
              <w:spacing w:after="0" w:line="240" w:lineRule="auto"/>
              <w:ind w:firstLineChars="100" w:firstLine="18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050404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Neočekávaný výdaj ve výši 16 800 Kč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716571" w14:textId="20D2B461" w:rsidR="00050404" w:rsidRPr="000C76F4" w:rsidRDefault="00050404" w:rsidP="000504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19,2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D8461" w14:textId="0983666E" w:rsidR="00050404" w:rsidRPr="000C76F4" w:rsidRDefault="00050404" w:rsidP="000504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0C76F4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18,</w:t>
            </w:r>
            <w:r w:rsidR="00090D0C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7</w:t>
            </w:r>
          </w:p>
        </w:tc>
      </w:tr>
      <w:tr w:rsidR="00050404" w:rsidRPr="000C76F4" w14:paraId="0DC43DE1" w14:textId="77777777" w:rsidTr="00B8229B">
        <w:trPr>
          <w:divId w:val="1016074479"/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447D95" w14:textId="77777777" w:rsidR="00050404" w:rsidRPr="000C76F4" w:rsidRDefault="00050404" w:rsidP="00050404">
            <w:pPr>
              <w:spacing w:after="0" w:line="240" w:lineRule="auto"/>
              <w:ind w:firstLineChars="100" w:firstLine="18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0C76F4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Jíst maso, ryby, drůbež, obden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929985" w14:textId="0F98AD47" w:rsidR="00050404" w:rsidRPr="000C76F4" w:rsidRDefault="00050404" w:rsidP="000504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0C76F4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6,2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8355E" w14:textId="15C2A8BE" w:rsidR="00050404" w:rsidRPr="000C76F4" w:rsidRDefault="00090D0C" w:rsidP="000504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5,7</w:t>
            </w:r>
          </w:p>
        </w:tc>
      </w:tr>
      <w:tr w:rsidR="00050404" w:rsidRPr="000C76F4" w14:paraId="1AB31BEC" w14:textId="77777777" w:rsidTr="00B8229B">
        <w:trPr>
          <w:divId w:val="1016074479"/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86956A" w14:textId="77777777" w:rsidR="00050404" w:rsidRPr="000C76F4" w:rsidRDefault="00050404" w:rsidP="00050404">
            <w:pPr>
              <w:spacing w:after="0"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cs-CZ"/>
              </w:rPr>
            </w:pPr>
            <w:r w:rsidRPr="000C76F4">
              <w:rPr>
                <w:rFonts w:eastAsia="Times New Roman" w:cs="Arial"/>
                <w:sz w:val="18"/>
                <w:szCs w:val="18"/>
                <w:lang w:eastAsia="cs-CZ"/>
              </w:rPr>
              <w:t>Útrata pro sebe každý týden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1ED196" w14:textId="74CC64F3" w:rsidR="00050404" w:rsidRPr="000C76F4" w:rsidRDefault="00050404" w:rsidP="000504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0C76F4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5,4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B254F" w14:textId="3C2145A7" w:rsidR="00050404" w:rsidRPr="000C76F4" w:rsidRDefault="00050404" w:rsidP="000504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0C76F4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5,</w:t>
            </w:r>
            <w:r w:rsidR="00090D0C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2</w:t>
            </w:r>
          </w:p>
        </w:tc>
      </w:tr>
      <w:tr w:rsidR="00050404" w:rsidRPr="000C76F4" w14:paraId="74321DC2" w14:textId="77777777" w:rsidTr="00B8229B">
        <w:trPr>
          <w:divId w:val="1016074479"/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42E681" w14:textId="77777777" w:rsidR="00050404" w:rsidRPr="000C76F4" w:rsidRDefault="00050404" w:rsidP="00050404">
            <w:pPr>
              <w:spacing w:after="0"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cs-CZ"/>
              </w:rPr>
            </w:pPr>
            <w:r w:rsidRPr="000C76F4">
              <w:rPr>
                <w:rFonts w:eastAsia="Times New Roman" w:cs="Arial"/>
                <w:sz w:val="18"/>
                <w:szCs w:val="18"/>
                <w:lang w:eastAsia="cs-CZ"/>
              </w:rPr>
              <w:t>Pravidelná volnočasová aktivita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91BE6C" w14:textId="058DE3EC" w:rsidR="00050404" w:rsidRPr="000C76F4" w:rsidRDefault="00050404" w:rsidP="000504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0C76F4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5,0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33416" w14:textId="0D57AC22" w:rsidR="00050404" w:rsidRPr="000C76F4" w:rsidRDefault="00090D0C" w:rsidP="000504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4,8</w:t>
            </w:r>
          </w:p>
        </w:tc>
      </w:tr>
      <w:tr w:rsidR="00050404" w:rsidRPr="000C76F4" w14:paraId="10F58AD8" w14:textId="77777777" w:rsidTr="00B8229B">
        <w:trPr>
          <w:divId w:val="1016074479"/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AC9FBA" w14:textId="799B1B25" w:rsidR="00050404" w:rsidRPr="000C76F4" w:rsidRDefault="00050404" w:rsidP="00050404">
            <w:pPr>
              <w:spacing w:after="0" w:line="240" w:lineRule="auto"/>
              <w:ind w:firstLineChars="100" w:firstLine="18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050404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Automobil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786CFA" w14:textId="2289F8A6" w:rsidR="00050404" w:rsidRPr="000C76F4" w:rsidRDefault="00050404" w:rsidP="000504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0C76F4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4,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97476" w14:textId="1AFF340E" w:rsidR="00050404" w:rsidRPr="000C76F4" w:rsidRDefault="00050404" w:rsidP="000504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0C76F4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4,</w:t>
            </w:r>
            <w:r w:rsidR="00090D0C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7</w:t>
            </w:r>
          </w:p>
        </w:tc>
      </w:tr>
      <w:tr w:rsidR="00050404" w:rsidRPr="000C76F4" w14:paraId="0686DEAF" w14:textId="77777777" w:rsidTr="00B8229B">
        <w:trPr>
          <w:divId w:val="1016074479"/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DC27E2" w14:textId="35FB2931" w:rsidR="00050404" w:rsidRPr="000C76F4" w:rsidRDefault="00050404" w:rsidP="00050404">
            <w:pPr>
              <w:spacing w:after="0" w:line="240" w:lineRule="auto"/>
              <w:ind w:firstLineChars="100" w:firstLine="18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050404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Dostatečně vytápět byt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F2D169" w14:textId="12DD31FB" w:rsidR="00050404" w:rsidRPr="000C76F4" w:rsidRDefault="00050404" w:rsidP="000504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0C76F4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4,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8677D" w14:textId="0AF2C5F4" w:rsidR="00050404" w:rsidRPr="000C76F4" w:rsidRDefault="00050404" w:rsidP="000504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0C76F4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4,</w:t>
            </w:r>
            <w:r w:rsidR="00090D0C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1</w:t>
            </w:r>
          </w:p>
        </w:tc>
      </w:tr>
      <w:tr w:rsidR="00050404" w:rsidRPr="000C76F4" w14:paraId="542F3D82" w14:textId="77777777" w:rsidTr="00B8229B">
        <w:trPr>
          <w:divId w:val="1016074479"/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19A2DB" w14:textId="77777777" w:rsidR="00050404" w:rsidRPr="000C76F4" w:rsidRDefault="00050404" w:rsidP="00050404">
            <w:pPr>
              <w:spacing w:after="0" w:line="240" w:lineRule="auto"/>
              <w:ind w:firstLineChars="100" w:firstLine="18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0C76F4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Schopnost uhradit náklady na bydlení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89B01C" w14:textId="13638030" w:rsidR="00050404" w:rsidRPr="000C76F4" w:rsidRDefault="00050404" w:rsidP="000504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0C76F4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3,4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5E216" w14:textId="1934078F" w:rsidR="00050404" w:rsidRPr="000C76F4" w:rsidRDefault="00050404" w:rsidP="000504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0C76F4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3,</w:t>
            </w:r>
            <w:r w:rsidR="00090D0C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3</w:t>
            </w:r>
          </w:p>
        </w:tc>
      </w:tr>
      <w:tr w:rsidR="00050404" w:rsidRPr="000C76F4" w14:paraId="6D3C0A27" w14:textId="77777777" w:rsidTr="00B8229B">
        <w:trPr>
          <w:divId w:val="1016074479"/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578410" w14:textId="77777777" w:rsidR="00050404" w:rsidRPr="000C76F4" w:rsidRDefault="00050404" w:rsidP="00050404">
            <w:pPr>
              <w:spacing w:after="0" w:line="240" w:lineRule="auto"/>
              <w:ind w:firstLineChars="100" w:firstLine="18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0C76F4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Nové oblečení za obnošené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721980" w14:textId="125D2824" w:rsidR="00050404" w:rsidRPr="000C76F4" w:rsidRDefault="00050404" w:rsidP="000504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0C76F4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2,3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92C7A" w14:textId="39449B80" w:rsidR="00050404" w:rsidRPr="000C76F4" w:rsidRDefault="00050404" w:rsidP="000504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0C76F4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2</w:t>
            </w:r>
            <w:r w:rsidR="00090D0C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,5</w:t>
            </w:r>
          </w:p>
        </w:tc>
      </w:tr>
      <w:tr w:rsidR="00050404" w:rsidRPr="000C76F4" w14:paraId="34B1378A" w14:textId="77777777" w:rsidTr="00B8229B">
        <w:trPr>
          <w:divId w:val="1016074479"/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5E5F19" w14:textId="77777777" w:rsidR="00050404" w:rsidRPr="000C76F4" w:rsidRDefault="00050404" w:rsidP="00050404">
            <w:pPr>
              <w:spacing w:after="0" w:line="240" w:lineRule="auto"/>
              <w:ind w:firstLineChars="100" w:firstLine="18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0C76F4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Scházení se s přáteli, příbuznými 1x měsíčně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730F55" w14:textId="2CC598AB" w:rsidR="00050404" w:rsidRPr="000C76F4" w:rsidRDefault="00050404" w:rsidP="000504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0C76F4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2,0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01422" w14:textId="77777777" w:rsidR="00050404" w:rsidRPr="000C76F4" w:rsidRDefault="00050404" w:rsidP="000504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0C76F4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2,0</w:t>
            </w:r>
          </w:p>
        </w:tc>
      </w:tr>
      <w:tr w:rsidR="00050404" w:rsidRPr="000C76F4" w14:paraId="5FBE6858" w14:textId="77777777" w:rsidTr="00B8229B">
        <w:trPr>
          <w:divId w:val="1016074479"/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AC8526" w14:textId="77777777" w:rsidR="00050404" w:rsidRPr="000C76F4" w:rsidRDefault="00050404" w:rsidP="00050404">
            <w:pPr>
              <w:spacing w:after="0" w:line="240" w:lineRule="auto"/>
              <w:ind w:firstLineChars="100" w:firstLine="18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0C76F4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Připojení k internetu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7CB861" w14:textId="1E054179" w:rsidR="00050404" w:rsidRPr="000C76F4" w:rsidRDefault="00050404" w:rsidP="000504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0C76F4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0,9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A3636" w14:textId="0ED6216C" w:rsidR="00050404" w:rsidRPr="000C76F4" w:rsidRDefault="00090D0C" w:rsidP="000504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1,0</w:t>
            </w:r>
          </w:p>
        </w:tc>
      </w:tr>
      <w:tr w:rsidR="00050404" w:rsidRPr="000C76F4" w14:paraId="52395609" w14:textId="77777777" w:rsidTr="00B8229B">
        <w:trPr>
          <w:divId w:val="1016074479"/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B5D0B0" w14:textId="77777777" w:rsidR="00050404" w:rsidRPr="000C76F4" w:rsidRDefault="00050404" w:rsidP="00050404">
            <w:pPr>
              <w:spacing w:after="0" w:line="240" w:lineRule="auto"/>
              <w:ind w:firstLineChars="100" w:firstLine="18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0C76F4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Dva páry bot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13BCD1" w14:textId="7DEBBCE3" w:rsidR="00050404" w:rsidRPr="000C76F4" w:rsidRDefault="00050404" w:rsidP="000504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0C76F4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0,5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F5F57" w14:textId="77777777" w:rsidR="00050404" w:rsidRPr="000C76F4" w:rsidRDefault="00050404" w:rsidP="0005040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0C76F4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0,5</w:t>
            </w:r>
          </w:p>
        </w:tc>
      </w:tr>
    </w:tbl>
    <w:p w14:paraId="5AB156BB" w14:textId="18523515" w:rsidR="009F4EBD" w:rsidRDefault="009F4EBD" w:rsidP="001D47A8">
      <w:pPr>
        <w:spacing w:after="0" w:line="288" w:lineRule="auto"/>
        <w:rPr>
          <w:sz w:val="24"/>
          <w:szCs w:val="32"/>
        </w:rPr>
      </w:pPr>
    </w:p>
    <w:p w14:paraId="3E8F7535" w14:textId="619E5EEF" w:rsidR="00521F14" w:rsidRDefault="003E3C26" w:rsidP="0025619F">
      <w:r w:rsidRPr="001D47A8">
        <w:t xml:space="preserve">Míra materiální a sociální deprivace se liší </w:t>
      </w:r>
      <w:r w:rsidR="001D3CCB">
        <w:t>napříč různými</w:t>
      </w:r>
      <w:r w:rsidRPr="001D47A8">
        <w:t xml:space="preserve"> </w:t>
      </w:r>
      <w:r w:rsidR="001D3CCB">
        <w:t>typy domácností</w:t>
      </w:r>
      <w:r w:rsidR="001D47A8" w:rsidRPr="001D47A8">
        <w:t xml:space="preserve">. </w:t>
      </w:r>
      <w:r w:rsidRPr="001D47A8">
        <w:t>Dlouhodobě nejvíce deprivovanou skupinu představují domácnosti tvořené samotným rodičem s jedním či více dětmi</w:t>
      </w:r>
      <w:r w:rsidR="00521F14">
        <w:t xml:space="preserve">, </w:t>
      </w:r>
      <w:r w:rsidR="00521F14" w:rsidRPr="003D4EE7">
        <w:t>u</w:t>
      </w:r>
      <w:r w:rsidR="001C1BF6">
        <w:t> </w:t>
      </w:r>
      <w:r w:rsidR="00521F14" w:rsidRPr="003D4EE7">
        <w:t>kterých došlo k významnému poklesu z 27,1 % na 18,6 %</w:t>
      </w:r>
      <w:r w:rsidR="003D4EE7">
        <w:t>.</w:t>
      </w:r>
      <w:r w:rsidR="00A54FA7">
        <w:t xml:space="preserve"> Ten byl způsoben především úbytkem položek, které si tyto domácnosti subjektivně nemohly dovolit.</w:t>
      </w:r>
      <w:r w:rsidR="003D4EE7">
        <w:t xml:space="preserve"> </w:t>
      </w:r>
      <w:r w:rsidR="00521F14">
        <w:t>U ostatních skupin nedošlo k výrazné změn</w:t>
      </w:r>
      <w:r w:rsidR="006E3BE7">
        <w:t xml:space="preserve">ě a podíl </w:t>
      </w:r>
      <w:r w:rsidR="006E3BE7" w:rsidRPr="006E3BE7">
        <w:t xml:space="preserve">materiálně a sociálně deprivovaných </w:t>
      </w:r>
      <w:r w:rsidR="006E3BE7">
        <w:t>osob se drží na loňské úrovni.</w:t>
      </w:r>
    </w:p>
    <w:p w14:paraId="09C19637" w14:textId="29002251" w:rsidR="00B33C33" w:rsidRPr="0042117A" w:rsidRDefault="00B33C33" w:rsidP="0042117A">
      <w:pPr>
        <w:pStyle w:val="Titulek"/>
        <w:keepNext/>
        <w:rPr>
          <w:lang w:val="cs-CZ"/>
        </w:rPr>
      </w:pPr>
      <w:bookmarkStart w:id="15" w:name="_Toc220396850"/>
      <w:bookmarkStart w:id="16" w:name="_Toc514922363"/>
      <w:r>
        <w:t xml:space="preserve">Graf </w:t>
      </w:r>
      <w:r w:rsidR="00AD57C4">
        <w:fldChar w:fldCharType="begin"/>
      </w:r>
      <w:r w:rsidR="00AD57C4">
        <w:instrText xml:space="preserve"> SEQ Graf \* ARABIC </w:instrText>
      </w:r>
      <w:r w:rsidR="00AD57C4">
        <w:fldChar w:fldCharType="separate"/>
      </w:r>
      <w:r w:rsidR="00497F80">
        <w:rPr>
          <w:noProof/>
        </w:rPr>
        <w:t>14</w:t>
      </w:r>
      <w:r w:rsidR="00AD57C4">
        <w:rPr>
          <w:noProof/>
        </w:rPr>
        <w:fldChar w:fldCharType="end"/>
      </w:r>
      <w:r>
        <w:rPr>
          <w:lang w:val="cs-CZ"/>
        </w:rPr>
        <w:t xml:space="preserve"> </w:t>
      </w:r>
      <w:r w:rsidR="00A4318E">
        <w:rPr>
          <w:lang w:val="cs-CZ"/>
        </w:rPr>
        <w:t xml:space="preserve"> </w:t>
      </w:r>
      <w:r w:rsidR="0042117A" w:rsidRPr="0042117A">
        <w:rPr>
          <w:lang w:val="cs-CZ"/>
        </w:rPr>
        <w:t>Podíl materiálně a sociálně deprivovaných</w:t>
      </w:r>
      <w:r w:rsidR="007F68C0">
        <w:rPr>
          <w:lang w:val="cs-CZ"/>
        </w:rPr>
        <w:t xml:space="preserve"> osob</w:t>
      </w:r>
      <w:r w:rsidR="0042117A" w:rsidRPr="0042117A">
        <w:rPr>
          <w:lang w:val="cs-CZ"/>
        </w:rPr>
        <w:t xml:space="preserve"> podle vybraného </w:t>
      </w:r>
      <w:r w:rsidR="00F14C18">
        <w:rPr>
          <w:lang w:val="cs-CZ"/>
        </w:rPr>
        <w:t>druh</w:t>
      </w:r>
      <w:r w:rsidR="00C71F3B">
        <w:rPr>
          <w:lang w:val="cs-CZ"/>
        </w:rPr>
        <w:t>u</w:t>
      </w:r>
      <w:r w:rsidR="0042117A" w:rsidRPr="0042117A">
        <w:rPr>
          <w:lang w:val="cs-CZ"/>
        </w:rPr>
        <w:t xml:space="preserve"> domácnosti v</w:t>
      </w:r>
      <w:r w:rsidR="0072752B">
        <w:rPr>
          <w:lang w:val="cs-CZ"/>
        </w:rPr>
        <w:t> </w:t>
      </w:r>
      <w:r w:rsidR="0042117A" w:rsidRPr="0042117A">
        <w:rPr>
          <w:lang w:val="cs-CZ"/>
        </w:rPr>
        <w:t>letech 2024 a 202</w:t>
      </w:r>
      <w:r w:rsidR="0042117A">
        <w:rPr>
          <w:lang w:val="cs-CZ"/>
        </w:rPr>
        <w:t>5 (</w:t>
      </w:r>
      <w:r w:rsidRPr="00A7154B">
        <w:rPr>
          <w:lang w:val="cs-CZ"/>
        </w:rPr>
        <w:t>%)</w:t>
      </w:r>
      <w:bookmarkEnd w:id="15"/>
    </w:p>
    <w:p w14:paraId="4547C504" w14:textId="52F7930F" w:rsidR="0042117A" w:rsidRPr="00AF6CC5" w:rsidRDefault="00F1695D" w:rsidP="00AF6CC5">
      <w:pPr>
        <w:rPr>
          <w:lang w:eastAsia="ar-SA"/>
        </w:rPr>
      </w:pPr>
      <w:r>
        <w:rPr>
          <w:noProof/>
          <w:lang w:eastAsia="ar-SA"/>
        </w:rPr>
        <w:drawing>
          <wp:inline distT="0" distB="0" distL="0" distR="0" wp14:anchorId="36D75275" wp14:editId="7ED19A70">
            <wp:extent cx="5760000" cy="2872510"/>
            <wp:effectExtent l="0" t="0" r="0" b="4445"/>
            <wp:docPr id="138069983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87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C9C223" w14:textId="7CCDEAF4" w:rsidR="00664E38" w:rsidRPr="009211C0" w:rsidRDefault="00B33C33" w:rsidP="0025619F">
      <w:pPr>
        <w:pStyle w:val="2Text0"/>
        <w:rPr>
          <w:rFonts w:ascii="Arial" w:hAnsi="Arial" w:cs="Arial"/>
          <w:b/>
          <w:sz w:val="28"/>
          <w:szCs w:val="28"/>
        </w:rPr>
      </w:pPr>
      <w:r w:rsidRPr="009211C0">
        <w:rPr>
          <w:rFonts w:ascii="Arial" w:hAnsi="Arial" w:cs="Arial"/>
          <w:b/>
          <w:sz w:val="28"/>
          <w:szCs w:val="28"/>
        </w:rPr>
        <w:t>MODUL 202</w:t>
      </w:r>
      <w:r w:rsidR="00426D29" w:rsidRPr="009211C0">
        <w:rPr>
          <w:rFonts w:ascii="Arial" w:hAnsi="Arial" w:cs="Arial"/>
          <w:b/>
          <w:sz w:val="28"/>
          <w:szCs w:val="28"/>
        </w:rPr>
        <w:t>5</w:t>
      </w:r>
      <w:bookmarkEnd w:id="16"/>
    </w:p>
    <w:p w14:paraId="5A53E387" w14:textId="77777777" w:rsidR="003A47F2" w:rsidRPr="00827663" w:rsidRDefault="003A47F2" w:rsidP="003A47F2">
      <w:r w:rsidRPr="00827663">
        <w:t xml:space="preserve">Šetření Životní podmínky zahrnuje každoročně speciální okruh otázek zvaný modul, který byl v loňském roce věnován </w:t>
      </w:r>
      <w:r>
        <w:t xml:space="preserve">několika tématům. Mezi ty významné patřila oblast </w:t>
      </w:r>
      <w:r w:rsidRPr="00827663">
        <w:t>zdraví a životn</w:t>
      </w:r>
      <w:r>
        <w:t xml:space="preserve">í návyky </w:t>
      </w:r>
      <w:r w:rsidRPr="00827663">
        <w:t>dospělých osob.</w:t>
      </w:r>
    </w:p>
    <w:p w14:paraId="5F4C8D14" w14:textId="3AFB870C" w:rsidR="003A47F2" w:rsidRDefault="003A47F2" w:rsidP="003A47F2">
      <w:r w:rsidRPr="00846D81">
        <w:t>U všech respondentů 16letých a starších se v dotazníku zjišťovala jejich tělesná výška (v cm) a váha (v</w:t>
      </w:r>
      <w:r>
        <w:t> </w:t>
      </w:r>
      <w:r w:rsidRPr="00846D81">
        <w:t xml:space="preserve">kg). Z těchto údajů byl pak vypočten index tělesné hmotnosti, známý jako </w:t>
      </w:r>
      <w:r w:rsidR="002C4114" w:rsidRPr="00846D81">
        <w:t xml:space="preserve">body </w:t>
      </w:r>
      <w:proofErr w:type="spellStart"/>
      <w:r w:rsidR="002C4114" w:rsidRPr="00846D81">
        <w:t>mass</w:t>
      </w:r>
      <w:proofErr w:type="spellEnd"/>
      <w:r w:rsidR="002C4114" w:rsidRPr="00846D81">
        <w:t xml:space="preserve"> index</w:t>
      </w:r>
      <w:r w:rsidR="002C4114">
        <w:t xml:space="preserve"> (</w:t>
      </w:r>
      <w:r w:rsidRPr="00846D81">
        <w:t>BMI</w:t>
      </w:r>
      <w:r w:rsidR="002C4114">
        <w:t>)</w:t>
      </w:r>
      <w:r w:rsidRPr="00846D81">
        <w:t xml:space="preserve">. Průměrná hodnota </w:t>
      </w:r>
      <w:r w:rsidR="002C4114">
        <w:t xml:space="preserve">BMI </w:t>
      </w:r>
      <w:r w:rsidRPr="00846D81">
        <w:t>u obyvatel Č</w:t>
      </w:r>
      <w:r>
        <w:t xml:space="preserve">eska </w:t>
      </w:r>
      <w:r w:rsidRPr="00846D81">
        <w:t>dosáhla</w:t>
      </w:r>
      <w:r w:rsidRPr="000325FE">
        <w:t xml:space="preserve"> </w:t>
      </w:r>
      <w:r w:rsidR="002C4114" w:rsidRPr="00846D81">
        <w:t>hodnoty 26,</w:t>
      </w:r>
      <w:r w:rsidR="002C4114">
        <w:t>4 v</w:t>
      </w:r>
      <w:r w:rsidRPr="00846D81">
        <w:t xml:space="preserve"> ro</w:t>
      </w:r>
      <w:r w:rsidR="002C4114">
        <w:t>ce</w:t>
      </w:r>
      <w:r w:rsidRPr="00846D81">
        <w:t xml:space="preserve"> 202</w:t>
      </w:r>
      <w:r>
        <w:t xml:space="preserve">5, tedy </w:t>
      </w:r>
      <w:r w:rsidRPr="00846D81">
        <w:t>za horní hranicí normální zdravé</w:t>
      </w:r>
      <w:r>
        <w:t xml:space="preserve"> </w:t>
      </w:r>
      <w:r w:rsidRPr="00846D81">
        <w:t xml:space="preserve">váhy. </w:t>
      </w:r>
      <w:r>
        <w:t xml:space="preserve">V předchozích letech byl průměrný index BMI za celou ČR o něco nižší – v roce </w:t>
      </w:r>
      <w:r w:rsidRPr="00846D81">
        <w:t>20</w:t>
      </w:r>
      <w:r>
        <w:t xml:space="preserve">17 byl na úrovni </w:t>
      </w:r>
      <w:r w:rsidRPr="00846D81">
        <w:t>2</w:t>
      </w:r>
      <w:r>
        <w:t xml:space="preserve">5,2 a o pět let později v roce 2022 na úrovni </w:t>
      </w:r>
      <w:r w:rsidRPr="00846D81">
        <w:t>26,2.</w:t>
      </w:r>
    </w:p>
    <w:p w14:paraId="5838D992" w14:textId="0D5131B9" w:rsidR="003A47F2" w:rsidRPr="00846D81" w:rsidRDefault="003A47F2" w:rsidP="003A47F2">
      <w:r>
        <w:t xml:space="preserve">Necelá </w:t>
      </w:r>
      <w:r w:rsidRPr="00846D81">
        <w:t>třetina žen bojuje s mírnou nadváhou (3</w:t>
      </w:r>
      <w:r>
        <w:t>1</w:t>
      </w:r>
      <w:r w:rsidRPr="00846D81">
        <w:t>,</w:t>
      </w:r>
      <w:r>
        <w:t>6</w:t>
      </w:r>
      <w:r w:rsidRPr="00846D81">
        <w:t xml:space="preserve"> %) a u mužů je to </w:t>
      </w:r>
      <w:r w:rsidR="00602906">
        <w:t>44,8</w:t>
      </w:r>
      <w:r w:rsidRPr="00846D81">
        <w:t xml:space="preserve"> %.</w:t>
      </w:r>
      <w:r>
        <w:t xml:space="preserve"> </w:t>
      </w:r>
      <w:r w:rsidRPr="00846D81">
        <w:t>Každý pátý muž trpí</w:t>
      </w:r>
      <w:r>
        <w:t xml:space="preserve"> </w:t>
      </w:r>
      <w:r w:rsidRPr="00846D81">
        <w:t>obezitou (21</w:t>
      </w:r>
      <w:r>
        <w:t>,8</w:t>
      </w:r>
      <w:r w:rsidRPr="00846D81">
        <w:t xml:space="preserve"> %), u ženské</w:t>
      </w:r>
      <w:r>
        <w:t xml:space="preserve">ho pohlaví </w:t>
      </w:r>
      <w:r w:rsidRPr="00846D81">
        <w:t>je to</w:t>
      </w:r>
      <w:r>
        <w:t xml:space="preserve"> o něco méně (</w:t>
      </w:r>
      <w:r w:rsidRPr="00846D81">
        <w:t>18,</w:t>
      </w:r>
      <w:r>
        <w:t>9</w:t>
      </w:r>
      <w:r w:rsidRPr="00846D81">
        <w:t xml:space="preserve"> %</w:t>
      </w:r>
      <w:r>
        <w:t>)</w:t>
      </w:r>
      <w:r w:rsidRPr="00846D81">
        <w:t xml:space="preserve">. </w:t>
      </w:r>
      <w:r>
        <w:t xml:space="preserve">Naopak polovina </w:t>
      </w:r>
      <w:r w:rsidRPr="00846D81">
        <w:t>ženské populace má normální</w:t>
      </w:r>
      <w:r>
        <w:t xml:space="preserve"> zdravou </w:t>
      </w:r>
      <w:r w:rsidRPr="00846D81">
        <w:t>váh</w:t>
      </w:r>
      <w:r>
        <w:t>u</w:t>
      </w:r>
      <w:r w:rsidRPr="00846D81">
        <w:t>, případně podváh</w:t>
      </w:r>
      <w:r>
        <w:t>u</w:t>
      </w:r>
      <w:r w:rsidRPr="00846D81">
        <w:t>.</w:t>
      </w:r>
      <w:r>
        <w:t xml:space="preserve"> </w:t>
      </w:r>
      <w:r w:rsidRPr="00846D81">
        <w:t xml:space="preserve">U mužů je to </w:t>
      </w:r>
      <w:r>
        <w:t xml:space="preserve">zhruba </w:t>
      </w:r>
      <w:r w:rsidRPr="00846D81">
        <w:t xml:space="preserve">každý třetí. </w:t>
      </w:r>
    </w:p>
    <w:p w14:paraId="17FF8A43" w14:textId="7FB1A184" w:rsidR="003A47F2" w:rsidRDefault="003A47F2" w:rsidP="003A47F2">
      <w:r w:rsidRPr="00846D81">
        <w:t>Hodnota BMI postupně narůstá s přibývajícím věkem.</w:t>
      </w:r>
      <w:r>
        <w:t xml:space="preserve"> </w:t>
      </w:r>
      <w:r w:rsidRPr="00846D81">
        <w:t>Zatímco ve věku 16 až 34 let má normální váhu</w:t>
      </w:r>
      <w:r>
        <w:t xml:space="preserve"> </w:t>
      </w:r>
      <w:r w:rsidRPr="00EF748E">
        <w:t>59,3 % české populace,</w:t>
      </w:r>
      <w:r>
        <w:t xml:space="preserve"> </w:t>
      </w:r>
      <w:r w:rsidRPr="00EF748E">
        <w:t>ve</w:t>
      </w:r>
      <w:r w:rsidRPr="00846D81">
        <w:t xml:space="preserve"> věku 35 až 49 let je to již jen </w:t>
      </w:r>
      <w:r>
        <w:t>41</w:t>
      </w:r>
      <w:r w:rsidRPr="00846D81">
        <w:t>,</w:t>
      </w:r>
      <w:r>
        <w:t>1</w:t>
      </w:r>
      <w:r w:rsidRPr="00846D81">
        <w:t xml:space="preserve"> %, tedy </w:t>
      </w:r>
      <w:r>
        <w:t xml:space="preserve">čtyři z deseti </w:t>
      </w:r>
      <w:r w:rsidRPr="00846D81">
        <w:t>lidí daného věk</w:t>
      </w:r>
      <w:r>
        <w:t>u. V</w:t>
      </w:r>
      <w:r w:rsidRPr="00846D81">
        <w:t>e</w:t>
      </w:r>
      <w:r>
        <w:t> </w:t>
      </w:r>
      <w:r w:rsidRPr="00846D81">
        <w:t xml:space="preserve">skupině 50 až 64 let je to pouze </w:t>
      </w:r>
      <w:r>
        <w:t>30</w:t>
      </w:r>
      <w:r w:rsidRPr="00846D81">
        <w:t>,</w:t>
      </w:r>
      <w:r>
        <w:t>7</w:t>
      </w:r>
      <w:r w:rsidRPr="00846D81">
        <w:t xml:space="preserve"> % dospělých osob a výrazně zde přibývá osob s</w:t>
      </w:r>
      <w:r>
        <w:t> </w:t>
      </w:r>
      <w:r w:rsidRPr="00846D81">
        <w:t>mírnou nadváhou</w:t>
      </w:r>
      <w:r>
        <w:t xml:space="preserve"> </w:t>
      </w:r>
      <w:r w:rsidRPr="00846D81">
        <w:t>(4</w:t>
      </w:r>
      <w:r>
        <w:t>3</w:t>
      </w:r>
      <w:r w:rsidRPr="00846D81">
        <w:t>,</w:t>
      </w:r>
      <w:r>
        <w:t>1</w:t>
      </w:r>
      <w:r w:rsidRPr="00846D81">
        <w:t xml:space="preserve"> %). V</w:t>
      </w:r>
      <w:r>
        <w:t xml:space="preserve"> nejstarší </w:t>
      </w:r>
      <w:r w:rsidRPr="00846D81">
        <w:t>věkové kategorii 65 a více let má normální zdravou váhu už jenom 2</w:t>
      </w:r>
      <w:r>
        <w:t>8</w:t>
      </w:r>
      <w:r w:rsidRPr="00846D81">
        <w:t>,</w:t>
      </w:r>
      <w:r>
        <w:t>8 </w:t>
      </w:r>
      <w:r w:rsidRPr="00846D81">
        <w:t>%</w:t>
      </w:r>
      <w:r>
        <w:t xml:space="preserve"> </w:t>
      </w:r>
      <w:r w:rsidRPr="00846D81">
        <w:t>osob</w:t>
      </w:r>
      <w:r w:rsidR="00602906">
        <w:t>,</w:t>
      </w:r>
      <w:r w:rsidRPr="00846D81">
        <w:t xml:space="preserve"> a naopak každý čtvrtý senior trpí obezitou (2</w:t>
      </w:r>
      <w:r>
        <w:t>4</w:t>
      </w:r>
      <w:r w:rsidRPr="00846D81">
        <w:t>,</w:t>
      </w:r>
      <w:r>
        <w:t>7</w:t>
      </w:r>
      <w:r w:rsidRPr="00846D81">
        <w:t xml:space="preserve"> %).</w:t>
      </w:r>
    </w:p>
    <w:p w14:paraId="3D806B62" w14:textId="78FD02CA" w:rsidR="003A47F2" w:rsidRDefault="003A47F2" w:rsidP="003A47F2">
      <w:pPr>
        <w:pStyle w:val="Titulek"/>
        <w:keepNext/>
      </w:pPr>
      <w:r>
        <w:t xml:space="preserve">Graf </w:t>
      </w:r>
      <w:r>
        <w:fldChar w:fldCharType="begin"/>
      </w:r>
      <w:r>
        <w:instrText xml:space="preserve"> SEQ Graf \* ARABIC </w:instrText>
      </w:r>
      <w:r>
        <w:fldChar w:fldCharType="separate"/>
      </w:r>
      <w:r w:rsidR="00497F80">
        <w:rPr>
          <w:noProof/>
        </w:rPr>
        <w:t>15</w:t>
      </w:r>
      <w:r>
        <w:fldChar w:fldCharType="end"/>
      </w:r>
      <w:r>
        <w:t xml:space="preserve"> </w:t>
      </w:r>
      <w:r w:rsidR="00A4318E">
        <w:t xml:space="preserve"> </w:t>
      </w:r>
      <w:r w:rsidRPr="00957FB3">
        <w:t xml:space="preserve">Struktura indexu BMI podle pohlaví </w:t>
      </w:r>
      <w:r w:rsidR="002C4114">
        <w:t xml:space="preserve">v roce </w:t>
      </w:r>
      <w:r w:rsidRPr="00957FB3">
        <w:t>(2025, %)</w:t>
      </w:r>
    </w:p>
    <w:p w14:paraId="49F39BBC" w14:textId="77777777" w:rsidR="003A47F2" w:rsidRDefault="003A47F2" w:rsidP="003A47F2">
      <w:pPr>
        <w:spacing w:after="0" w:line="288" w:lineRule="auto"/>
        <w:rPr>
          <w:rFonts w:ascii="Arial Narrow" w:hAnsi="Arial Narrow"/>
          <w:sz w:val="24"/>
          <w:szCs w:val="24"/>
        </w:rPr>
      </w:pPr>
      <w:r w:rsidRPr="002E27F1">
        <w:rPr>
          <w:noProof/>
          <w:color w:val="174F70"/>
        </w:rPr>
        <w:drawing>
          <wp:inline distT="0" distB="0" distL="0" distR="0" wp14:anchorId="42061DB4" wp14:editId="3AD9C50D">
            <wp:extent cx="5760000" cy="3172460"/>
            <wp:effectExtent l="0" t="0" r="0" b="8890"/>
            <wp:docPr id="1161960483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D8CE1F24-0C4D-4DB8-B609-4A4D3F104FC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21AA53CA" w14:textId="77777777" w:rsidR="003A47F2" w:rsidRDefault="003A47F2" w:rsidP="003A47F2">
      <w:pPr>
        <w:spacing w:after="0" w:line="288" w:lineRule="auto"/>
        <w:rPr>
          <w:rFonts w:ascii="Arial Narrow" w:hAnsi="Arial Narrow"/>
          <w:sz w:val="24"/>
          <w:szCs w:val="24"/>
        </w:rPr>
      </w:pPr>
    </w:p>
    <w:p w14:paraId="5B0CF0C1" w14:textId="6CD7932F" w:rsidR="002C08F4" w:rsidRDefault="002C08F4">
      <w:pPr>
        <w:spacing w:after="0" w:line="240" w:lineRule="auto"/>
        <w:jc w:val="left"/>
      </w:pPr>
    </w:p>
    <w:p w14:paraId="04199589" w14:textId="77777777" w:rsidR="002C08F4" w:rsidRDefault="003A47F2" w:rsidP="003A47F2">
      <w:r>
        <w:t>Z</w:t>
      </w:r>
      <w:r w:rsidRPr="00661DDB">
        <w:t>jišťovalo</w:t>
      </w:r>
      <w:r>
        <w:t xml:space="preserve"> se také</w:t>
      </w:r>
      <w:r w:rsidRPr="00661DDB">
        <w:t>, jak často se respondenti věnují nějaké volnočasové fyzické aktivitě. Patří sem nejen sport a</w:t>
      </w:r>
      <w:r w:rsidRPr="00D740F0">
        <w:rPr>
          <w:spacing w:val="-20"/>
        </w:rPr>
        <w:t xml:space="preserve"> </w:t>
      </w:r>
      <w:r w:rsidRPr="00661DDB">
        <w:t>fitness, ale jakákoliv rekreační aktivita, která trvá déle než 10 min v kuse a dochází u ní ke</w:t>
      </w:r>
      <w:r>
        <w:t xml:space="preserve"> zrychlení </w:t>
      </w:r>
      <w:r w:rsidRPr="00661DDB">
        <w:t>dechu či tepu</w:t>
      </w:r>
      <w:r>
        <w:t xml:space="preserve"> – patří sem i </w:t>
      </w:r>
      <w:r w:rsidRPr="00661DDB">
        <w:t xml:space="preserve">jóga, jízda na kole nebo rychlejší chůze se psem. </w:t>
      </w:r>
    </w:p>
    <w:p w14:paraId="2B35C0C8" w14:textId="1AB40858" w:rsidR="003A47F2" w:rsidRPr="003A47F2" w:rsidRDefault="003A47F2" w:rsidP="00DD33C7">
      <w:pPr>
        <w:spacing w:after="0"/>
      </w:pPr>
      <w:r w:rsidRPr="00661DDB">
        <w:t>Sport je obecně o něco bližší mužům. Každý den si najde čas na pohyb ve svém volném čase 21</w:t>
      </w:r>
      <w:r w:rsidR="00602906">
        <w:t>,0</w:t>
      </w:r>
      <w:r w:rsidRPr="00661DDB">
        <w:t xml:space="preserve"> % mužů a 22</w:t>
      </w:r>
      <w:r w:rsidR="00602906">
        <w:t>,0</w:t>
      </w:r>
      <w:r w:rsidRPr="00661DDB">
        <w:t xml:space="preserve"> % žen. Několikrát týdně nebo alespoň jednou za týden se pravidelně hýbe 40</w:t>
      </w:r>
      <w:r w:rsidR="00602906">
        <w:t>,0</w:t>
      </w:r>
      <w:r w:rsidRPr="00661DDB">
        <w:t xml:space="preserve"> % mužů a 36,4</w:t>
      </w:r>
      <w:r w:rsidR="0072752B">
        <w:t> </w:t>
      </w:r>
      <w:r w:rsidRPr="00661DDB">
        <w:t>% žen.</w:t>
      </w:r>
      <w:r>
        <w:t xml:space="preserve"> </w:t>
      </w:r>
      <w:r w:rsidRPr="00661DDB">
        <w:t>Oproti tomu čtyři z deseti mužů v Česku přiznávají, že si zasportují jenom příležitostně nebo občas, popř. neprovozují žádnou fyzickou aktivitu ve</w:t>
      </w:r>
      <w:r w:rsidRPr="00661DDB">
        <w:rPr>
          <w:spacing w:val="-20"/>
        </w:rPr>
        <w:t xml:space="preserve"> </w:t>
      </w:r>
      <w:r w:rsidRPr="00661DDB">
        <w:t>volném čase. Mezi ženami je tento</w:t>
      </w:r>
      <w:r w:rsidRPr="00661DDB">
        <w:rPr>
          <w:spacing w:val="-20"/>
        </w:rPr>
        <w:t xml:space="preserve"> </w:t>
      </w:r>
      <w:r w:rsidRPr="00661DDB">
        <w:t>podíl ještě o</w:t>
      </w:r>
      <w:r w:rsidR="00DC4945">
        <w:rPr>
          <w:spacing w:val="-20"/>
        </w:rPr>
        <w:t> </w:t>
      </w:r>
      <w:r w:rsidRPr="00661DDB">
        <w:t>něco vyšší.</w:t>
      </w:r>
      <w:r w:rsidR="00AA323A">
        <w:t xml:space="preserve"> </w:t>
      </w:r>
      <w:r>
        <w:t xml:space="preserve">Ve </w:t>
      </w:r>
      <w:r w:rsidRPr="00661DDB">
        <w:t xml:space="preserve">srovnání s rokem 2022, kdy </w:t>
      </w:r>
      <w:r>
        <w:t xml:space="preserve">proběhlo </w:t>
      </w:r>
      <w:r w:rsidRPr="00661DDB">
        <w:t>stejné zjišťování</w:t>
      </w:r>
      <w:r>
        <w:t xml:space="preserve">, je vidět pozitivní vývoj, </w:t>
      </w:r>
      <w:r w:rsidRPr="005A7473">
        <w:t>že se Češi</w:t>
      </w:r>
      <w:r w:rsidRPr="00661DDB">
        <w:t xml:space="preserve"> </w:t>
      </w:r>
      <w:r w:rsidRPr="005A7473">
        <w:t>začali častěji a pravidelně hýbat.</w:t>
      </w:r>
    </w:p>
    <w:p w14:paraId="709DA830" w14:textId="7C688DC7" w:rsidR="003A47F2" w:rsidRDefault="003A47F2" w:rsidP="003A47F2">
      <w:pPr>
        <w:pStyle w:val="Titulek"/>
        <w:keepNext/>
      </w:pPr>
      <w:r>
        <w:t xml:space="preserve">Graf </w:t>
      </w:r>
      <w:r>
        <w:fldChar w:fldCharType="begin"/>
      </w:r>
      <w:r>
        <w:instrText xml:space="preserve"> SEQ Graf \* ARABIC </w:instrText>
      </w:r>
      <w:r>
        <w:fldChar w:fldCharType="separate"/>
      </w:r>
      <w:r w:rsidR="00497F80">
        <w:rPr>
          <w:noProof/>
        </w:rPr>
        <w:t>16</w:t>
      </w:r>
      <w:r>
        <w:fldChar w:fldCharType="end"/>
      </w:r>
      <w:r>
        <w:t xml:space="preserve"> </w:t>
      </w:r>
      <w:r w:rsidR="00A4318E">
        <w:t xml:space="preserve"> </w:t>
      </w:r>
      <w:r>
        <w:t>Sport a volnočasová fyzická aktivita podle pohlaví (2022 a 2025, %)</w:t>
      </w:r>
    </w:p>
    <w:p w14:paraId="2EE819AA" w14:textId="77777777" w:rsidR="003A47F2" w:rsidRDefault="003A47F2" w:rsidP="003A47F2">
      <w:pPr>
        <w:spacing w:after="240" w:line="288" w:lineRule="auto"/>
        <w:rPr>
          <w:rFonts w:ascii="Arial Narrow" w:hAnsi="Arial Narrow"/>
          <w:sz w:val="24"/>
          <w:szCs w:val="24"/>
        </w:rPr>
      </w:pPr>
      <w:r>
        <w:rPr>
          <w:noProof/>
        </w:rPr>
        <w:drawing>
          <wp:inline distT="0" distB="0" distL="0" distR="0" wp14:anchorId="5FD2CC91" wp14:editId="5E31E352">
            <wp:extent cx="5760000" cy="2623930"/>
            <wp:effectExtent l="0" t="0" r="0" b="5080"/>
            <wp:docPr id="1961862726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CDC3A39D-A68B-439B-B818-02CB7312925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192D6E12" w14:textId="77777777" w:rsidR="003A47F2" w:rsidRDefault="003A47F2" w:rsidP="009211C0">
      <w:pPr>
        <w:spacing w:before="120"/>
      </w:pPr>
      <w:r>
        <w:t>P</w:t>
      </w:r>
      <w:r w:rsidRPr="00846D81">
        <w:t>o</w:t>
      </w:r>
      <w:r>
        <w:t xml:space="preserve">hybová aktivita prokazatelně souvisí také </w:t>
      </w:r>
      <w:r w:rsidRPr="00846D81">
        <w:t>s</w:t>
      </w:r>
      <w:r>
        <w:t> v</w:t>
      </w:r>
      <w:r w:rsidRPr="00846D81">
        <w:t>ěkem.</w:t>
      </w:r>
      <w:r>
        <w:t xml:space="preserve"> Mezi mladými lidmi do </w:t>
      </w:r>
      <w:r w:rsidRPr="00846D81">
        <w:t>3</w:t>
      </w:r>
      <w:r>
        <w:t>5</w:t>
      </w:r>
      <w:r w:rsidRPr="00846D81">
        <w:t xml:space="preserve"> let </w:t>
      </w:r>
      <w:r>
        <w:t>sportuje téměř čtvrtina osob denně a bezmála polovina mladých několikrát týdně. S</w:t>
      </w:r>
      <w:r w:rsidRPr="00846D81">
        <w:t xml:space="preserve"> přibývajícím věkem</w:t>
      </w:r>
      <w:r>
        <w:t xml:space="preserve"> těchto volnočasových aktivit postupně ubývá. U starších osob nad 65 let skoro 56 % dotázaných připustilo, že </w:t>
      </w:r>
      <w:r w:rsidRPr="00661DDB">
        <w:t>ne</w:t>
      </w:r>
      <w:r>
        <w:t xml:space="preserve">vykonávají </w:t>
      </w:r>
      <w:r w:rsidRPr="00661DDB">
        <w:t xml:space="preserve">žádnou </w:t>
      </w:r>
      <w:r>
        <w:t>pravidelnou pohybovou aktivitu, přesto se pětina seniorů aktivně hýbe denně.</w:t>
      </w:r>
    </w:p>
    <w:p w14:paraId="0C104965" w14:textId="785BD2A6" w:rsidR="003A47F2" w:rsidRDefault="003A47F2" w:rsidP="003B1B45">
      <w:pPr>
        <w:pStyle w:val="Titulek"/>
        <w:keepNext/>
        <w:spacing w:before="240"/>
      </w:pPr>
      <w:r>
        <w:t xml:space="preserve">Graf </w:t>
      </w:r>
      <w:r>
        <w:fldChar w:fldCharType="begin"/>
      </w:r>
      <w:r>
        <w:instrText xml:space="preserve"> SEQ Graf \* ARABIC </w:instrText>
      </w:r>
      <w:r>
        <w:fldChar w:fldCharType="separate"/>
      </w:r>
      <w:r w:rsidR="00497F80">
        <w:rPr>
          <w:noProof/>
        </w:rPr>
        <w:t>17</w:t>
      </w:r>
      <w:r>
        <w:fldChar w:fldCharType="end"/>
      </w:r>
      <w:r>
        <w:t xml:space="preserve"> </w:t>
      </w:r>
      <w:r w:rsidR="00A4318E">
        <w:t xml:space="preserve"> </w:t>
      </w:r>
      <w:r w:rsidRPr="00A23CFC">
        <w:t>Sport a volnočasová fyzická aktivita podle věku (2025, %)</w:t>
      </w:r>
    </w:p>
    <w:p w14:paraId="19EFD406" w14:textId="77777777" w:rsidR="003A47F2" w:rsidRDefault="003A47F2" w:rsidP="003A47F2">
      <w:pPr>
        <w:spacing w:after="60" w:line="288" w:lineRule="auto"/>
        <w:jc w:val="center"/>
        <w:rPr>
          <w:rFonts w:ascii="Arial Narrow" w:hAnsi="Arial Narrow"/>
          <w:sz w:val="24"/>
          <w:szCs w:val="24"/>
        </w:rPr>
      </w:pPr>
      <w:r>
        <w:rPr>
          <w:noProof/>
        </w:rPr>
        <w:drawing>
          <wp:inline distT="0" distB="0" distL="0" distR="0" wp14:anchorId="2EF0CE23" wp14:editId="421DB1A9">
            <wp:extent cx="5759450" cy="2498651"/>
            <wp:effectExtent l="0" t="0" r="0" b="0"/>
            <wp:docPr id="977071447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14638D8E-2027-4796-B65C-E18C0C3788B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545551F9" w14:textId="77777777" w:rsidR="002C08F4" w:rsidRDefault="002C08F4" w:rsidP="003A47F2">
      <w:pPr>
        <w:spacing w:after="60" w:line="288" w:lineRule="auto"/>
        <w:jc w:val="center"/>
        <w:rPr>
          <w:rFonts w:ascii="Arial Narrow" w:hAnsi="Arial Narrow"/>
          <w:sz w:val="24"/>
          <w:szCs w:val="24"/>
        </w:rPr>
      </w:pPr>
    </w:p>
    <w:p w14:paraId="20A5AD8B" w14:textId="5531616F" w:rsidR="003A47F2" w:rsidRDefault="003A47F2" w:rsidP="009211C0">
      <w:pPr>
        <w:spacing w:after="0"/>
      </w:pPr>
      <w:r w:rsidRPr="00661DDB">
        <w:t xml:space="preserve">V rámci otázky na fyzickou aktivitu vztahující se k práci měli respondenti posoudit </w:t>
      </w:r>
      <w:r w:rsidRPr="00732E79">
        <w:t>charakter své pracovní činnosti v běžném týdnu.</w:t>
      </w:r>
      <w:r>
        <w:t xml:space="preserve"> </w:t>
      </w:r>
      <w:r w:rsidRPr="00661DDB">
        <w:t>Ukázalo se,</w:t>
      </w:r>
      <w:r w:rsidRPr="00661DDB">
        <w:rPr>
          <w:spacing w:val="-20"/>
        </w:rPr>
        <w:t xml:space="preserve"> </w:t>
      </w:r>
      <w:r w:rsidRPr="00661DDB">
        <w:t>že polovina žen v</w:t>
      </w:r>
      <w:r w:rsidRPr="00661DDB">
        <w:rPr>
          <w:spacing w:val="-20"/>
        </w:rPr>
        <w:t xml:space="preserve"> </w:t>
      </w:r>
      <w:r w:rsidRPr="00661DDB">
        <w:t xml:space="preserve">Česku má sedavou </w:t>
      </w:r>
      <w:r w:rsidRPr="00D11828">
        <w:t>práci (51</w:t>
      </w:r>
      <w:r w:rsidRPr="00D11828">
        <w:rPr>
          <w:spacing w:val="-20"/>
        </w:rPr>
        <w:t xml:space="preserve"> </w:t>
      </w:r>
      <w:r w:rsidRPr="00D11828">
        <w:t>%) a</w:t>
      </w:r>
      <w:r w:rsidRPr="00661DDB">
        <w:t xml:space="preserve"> </w:t>
      </w:r>
      <w:r>
        <w:t xml:space="preserve">převážně </w:t>
      </w:r>
      <w:r w:rsidRPr="00661DDB">
        <w:t>stání uvedlo</w:t>
      </w:r>
      <w:r>
        <w:t xml:space="preserve"> </w:t>
      </w:r>
      <w:r w:rsidRPr="00D11828">
        <w:t>15,9</w:t>
      </w:r>
      <w:r w:rsidRPr="00D11828">
        <w:rPr>
          <w:spacing w:val="-20"/>
        </w:rPr>
        <w:t xml:space="preserve"> </w:t>
      </w:r>
      <w:r w:rsidRPr="00D11828">
        <w:t>%</w:t>
      </w:r>
      <w:r>
        <w:t xml:space="preserve"> </w:t>
      </w:r>
      <w:r w:rsidRPr="00D11828">
        <w:t>žen</w:t>
      </w:r>
      <w:r w:rsidRPr="00661DDB">
        <w:t>.</w:t>
      </w:r>
      <w:r>
        <w:t xml:space="preserve"> </w:t>
      </w:r>
      <w:r w:rsidRPr="00661DDB">
        <w:t>Naopak těžkou a fyzicky náročnou práci vykonávají hlavně muži, konkrétně 1</w:t>
      </w:r>
      <w:r>
        <w:t>3</w:t>
      </w:r>
      <w:r w:rsidRPr="00661DDB">
        <w:t>,</w:t>
      </w:r>
      <w:r>
        <w:t>4</w:t>
      </w:r>
      <w:r w:rsidRPr="00661DDB">
        <w:t xml:space="preserve"> % mužů oproti 3,2 % žen.</w:t>
      </w:r>
      <w:r>
        <w:t xml:space="preserve"> </w:t>
      </w:r>
      <w:r w:rsidRPr="00661DDB">
        <w:t>Chůzi nebo středně těžkou fyzickou aktivitu uvedlo 3</w:t>
      </w:r>
      <w:r>
        <w:t>5,</w:t>
      </w:r>
      <w:r w:rsidRPr="00661DDB">
        <w:t>9 % mužů a</w:t>
      </w:r>
      <w:r w:rsidR="00DC4945">
        <w:t> </w:t>
      </w:r>
      <w:r>
        <w:t>29,9</w:t>
      </w:r>
      <w:r w:rsidR="00DC4945">
        <w:t> </w:t>
      </w:r>
      <w:r w:rsidRPr="00661DDB">
        <w:t xml:space="preserve">% žen. </w:t>
      </w:r>
    </w:p>
    <w:p w14:paraId="0ED23811" w14:textId="77777777" w:rsidR="002C08F4" w:rsidRPr="00661DDB" w:rsidRDefault="002C08F4" w:rsidP="009211C0">
      <w:pPr>
        <w:spacing w:after="0"/>
        <w:jc w:val="left"/>
      </w:pPr>
    </w:p>
    <w:p w14:paraId="0EFF6C4A" w14:textId="746006F0" w:rsidR="003A47F2" w:rsidRPr="00661DDB" w:rsidRDefault="00E7216C" w:rsidP="009211C0">
      <w:r>
        <w:t>P</w:t>
      </w:r>
      <w:r w:rsidR="003A47F2" w:rsidRPr="00661DDB">
        <w:t>odíl osob se</w:t>
      </w:r>
      <w:r w:rsidR="003A47F2">
        <w:t xml:space="preserve"> </w:t>
      </w:r>
      <w:r w:rsidR="003A47F2" w:rsidRPr="00661DDB">
        <w:t>sedavou aktivitou se</w:t>
      </w:r>
      <w:r w:rsidR="003A47F2" w:rsidRPr="00661DDB">
        <w:rPr>
          <w:spacing w:val="-20"/>
        </w:rPr>
        <w:t xml:space="preserve"> </w:t>
      </w:r>
      <w:r w:rsidR="003A47F2" w:rsidRPr="00661DDB">
        <w:t>zvyšuje s</w:t>
      </w:r>
      <w:r w:rsidR="003A47F2" w:rsidRPr="00661DDB">
        <w:rPr>
          <w:spacing w:val="-20"/>
        </w:rPr>
        <w:t xml:space="preserve"> </w:t>
      </w:r>
      <w:r w:rsidR="003A47F2" w:rsidRPr="00661DDB">
        <w:t>vyšším dokončeným vzděláním a obecně je vyšší u</w:t>
      </w:r>
      <w:r w:rsidR="003A47F2" w:rsidRPr="00661DDB">
        <w:rPr>
          <w:spacing w:val="-20"/>
        </w:rPr>
        <w:t xml:space="preserve"> </w:t>
      </w:r>
      <w:r w:rsidR="003A47F2" w:rsidRPr="00661DDB">
        <w:t xml:space="preserve">žen. Výjimku tvoří vysokoškoláci, kde muži předčili ženy </w:t>
      </w:r>
      <w:r w:rsidR="003A47F2">
        <w:t xml:space="preserve">s hodnotou téměř 80 </w:t>
      </w:r>
      <w:r w:rsidR="003A47F2" w:rsidRPr="00661DDB">
        <w:t>%.</w:t>
      </w:r>
      <w:r w:rsidR="003A47F2">
        <w:t xml:space="preserve"> </w:t>
      </w:r>
      <w:r w:rsidR="003A47F2" w:rsidRPr="00661DDB">
        <w:t>Stání je ve všech vzdělanostních skupinách více zastoupeno u žen. Chůze nebo středně těžká fyzická aktivita se nejvíce týká osob se základním vzděláním</w:t>
      </w:r>
      <w:r w:rsidR="003A47F2">
        <w:t xml:space="preserve"> – </w:t>
      </w:r>
      <w:r w:rsidR="003A47F2" w:rsidRPr="00661DDB">
        <w:t xml:space="preserve">mužů </w:t>
      </w:r>
      <w:r w:rsidR="003A47F2">
        <w:t xml:space="preserve">je v této kategorii 48,3 % a </w:t>
      </w:r>
      <w:r w:rsidR="003A47F2" w:rsidRPr="00661DDB">
        <w:t>žen</w:t>
      </w:r>
      <w:r w:rsidR="003A47F2">
        <w:t xml:space="preserve"> dokonce nadpoloviční většina</w:t>
      </w:r>
      <w:r w:rsidR="003A47F2" w:rsidRPr="00661DDB">
        <w:t xml:space="preserve">. </w:t>
      </w:r>
      <w:r w:rsidR="003A47F2" w:rsidRPr="00661DDB" w:rsidDel="00F97EA2">
        <w:t>Podíl osob s</w:t>
      </w:r>
      <w:r w:rsidR="003A47F2" w:rsidDel="00F97EA2">
        <w:t> </w:t>
      </w:r>
      <w:r w:rsidR="003A47F2" w:rsidRPr="00661DDB" w:rsidDel="00F97EA2">
        <w:t>fyzicky</w:t>
      </w:r>
      <w:r w:rsidR="003A47F2" w:rsidDel="00F97EA2">
        <w:t xml:space="preserve"> </w:t>
      </w:r>
      <w:r w:rsidR="003A47F2" w:rsidRPr="00661DDB" w:rsidDel="00F97EA2">
        <w:t>namáhavou prac</w:t>
      </w:r>
      <w:r w:rsidR="003A47F2">
        <w:t xml:space="preserve">í </w:t>
      </w:r>
      <w:r w:rsidR="003A47F2" w:rsidRPr="00661DDB" w:rsidDel="00F97EA2">
        <w:t xml:space="preserve">se </w:t>
      </w:r>
      <w:r w:rsidR="003A47F2" w:rsidDel="00F97EA2">
        <w:t xml:space="preserve">výrazně </w:t>
      </w:r>
      <w:r w:rsidR="003A47F2" w:rsidRPr="00661DDB" w:rsidDel="00F97EA2">
        <w:t>snižuje s vyšším dokončeným vzděláním</w:t>
      </w:r>
      <w:r w:rsidR="003A47F2">
        <w:t>, vykonávají ji hlavně muži s nejnižším vzděláním</w:t>
      </w:r>
      <w:r w:rsidR="003A47F2" w:rsidRPr="00661DDB" w:rsidDel="00F97EA2">
        <w:t xml:space="preserve">. </w:t>
      </w:r>
    </w:p>
    <w:p w14:paraId="029A885D" w14:textId="1340C48F" w:rsidR="003A47F2" w:rsidRDefault="003A47F2" w:rsidP="003A47F2">
      <w:pPr>
        <w:pStyle w:val="Titulek"/>
        <w:keepNext/>
      </w:pPr>
      <w:r>
        <w:t xml:space="preserve">Graf </w:t>
      </w:r>
      <w:r>
        <w:fldChar w:fldCharType="begin"/>
      </w:r>
      <w:r>
        <w:instrText xml:space="preserve"> SEQ Graf \* ARABIC </w:instrText>
      </w:r>
      <w:r>
        <w:fldChar w:fldCharType="separate"/>
      </w:r>
      <w:r w:rsidR="00497F80">
        <w:rPr>
          <w:noProof/>
        </w:rPr>
        <w:t>18</w:t>
      </w:r>
      <w:r>
        <w:fldChar w:fldCharType="end"/>
      </w:r>
      <w:r>
        <w:t xml:space="preserve"> </w:t>
      </w:r>
      <w:r w:rsidR="00A4318E">
        <w:t xml:space="preserve"> </w:t>
      </w:r>
      <w:r w:rsidRPr="007F078F">
        <w:t>Pracovní fyzická aktivita podle pohlaví a dosaženého vzdělání (2025, %)</w:t>
      </w:r>
    </w:p>
    <w:p w14:paraId="693EFADE" w14:textId="77777777" w:rsidR="003A47F2" w:rsidRDefault="003A47F2" w:rsidP="003A47F2">
      <w:pPr>
        <w:pStyle w:val="3GRAF"/>
        <w:rPr>
          <w:lang w:val="cs-CZ"/>
        </w:rPr>
      </w:pPr>
      <w:r>
        <w:rPr>
          <w:noProof/>
        </w:rPr>
        <w:drawing>
          <wp:inline distT="0" distB="0" distL="0" distR="0" wp14:anchorId="72F9EB73" wp14:editId="5A2F3737">
            <wp:extent cx="5759450" cy="3286125"/>
            <wp:effectExtent l="0" t="0" r="0" b="0"/>
            <wp:docPr id="301618392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E8FBEBC1-4039-46AA-BEFB-588094BF53A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2D7EA3AF" w14:textId="77777777" w:rsidR="002C08F4" w:rsidRPr="00FE3B54" w:rsidRDefault="002C08F4" w:rsidP="003A47F2">
      <w:pPr>
        <w:pStyle w:val="3GRAF"/>
        <w:rPr>
          <w:lang w:val="cs-CZ"/>
        </w:rPr>
      </w:pPr>
    </w:p>
    <w:p w14:paraId="19B313DD" w14:textId="23E7E5B5" w:rsidR="00613A05" w:rsidRPr="00613A05" w:rsidRDefault="00613A05" w:rsidP="003A47F2">
      <w:pPr>
        <w:rPr>
          <w:b/>
          <w:bCs/>
        </w:rPr>
      </w:pPr>
      <w:r w:rsidRPr="00613A05">
        <w:rPr>
          <w:b/>
          <w:bCs/>
        </w:rPr>
        <w:t>Konzumace ovoce, zeleniny a masa</w:t>
      </w:r>
    </w:p>
    <w:p w14:paraId="218F0E66" w14:textId="49117A32" w:rsidR="003A47F2" w:rsidRPr="001F509D" w:rsidRDefault="00613A05" w:rsidP="003A47F2">
      <w:r>
        <w:t>A</w:t>
      </w:r>
      <w:r w:rsidR="003A47F2" w:rsidRPr="001F509D">
        <w:t xml:space="preserve">lespoň jednou denně </w:t>
      </w:r>
      <w:r>
        <w:t xml:space="preserve">v typickém týdnu konzumuje </w:t>
      </w:r>
      <w:r w:rsidRPr="001F509D">
        <w:t>54,3 % žen</w:t>
      </w:r>
      <w:r>
        <w:t xml:space="preserve"> o</w:t>
      </w:r>
      <w:r w:rsidRPr="001F509D">
        <w:t>voce a 53,1 % žen zeleninu nebo zeleninový salát</w:t>
      </w:r>
      <w:r>
        <w:t xml:space="preserve">, u mužů je to shodně přibližně </w:t>
      </w:r>
      <w:r w:rsidR="003A47F2" w:rsidRPr="001F509D">
        <w:t>43 %</w:t>
      </w:r>
      <w:r>
        <w:t>.</w:t>
      </w:r>
      <w:r w:rsidR="003A47F2" w:rsidRPr="001F509D">
        <w:t xml:space="preserve"> Naproti tomu každý patnáctý muž v ČR nejí zeleninu skoro vůbec</w:t>
      </w:r>
      <w:r w:rsidR="003A47F2">
        <w:t xml:space="preserve"> </w:t>
      </w:r>
      <w:r w:rsidR="003A47F2" w:rsidRPr="00D11828">
        <w:t>(</w:t>
      </w:r>
      <w:r w:rsidR="003A47F2">
        <w:t>6,</w:t>
      </w:r>
      <w:r w:rsidR="003A47F2" w:rsidRPr="00D11828">
        <w:t>5</w:t>
      </w:r>
      <w:r w:rsidR="003A47F2" w:rsidRPr="00D11828">
        <w:rPr>
          <w:spacing w:val="-20"/>
        </w:rPr>
        <w:t xml:space="preserve"> </w:t>
      </w:r>
      <w:r w:rsidR="003A47F2" w:rsidRPr="00D11828">
        <w:t>%)</w:t>
      </w:r>
      <w:r w:rsidR="003A47F2" w:rsidRPr="001F509D">
        <w:t>.</w:t>
      </w:r>
    </w:p>
    <w:p w14:paraId="082827F7" w14:textId="284C0F3D" w:rsidR="003A47F2" w:rsidRPr="00845F2A" w:rsidRDefault="003A47F2" w:rsidP="003A47F2">
      <w:r w:rsidRPr="001F509D">
        <w:t>Skoro 7 z deseti mužů má denně na talíři masitý</w:t>
      </w:r>
      <w:r>
        <w:t xml:space="preserve"> </w:t>
      </w:r>
      <w:r w:rsidRPr="001F509D">
        <w:t>pokrm</w:t>
      </w:r>
      <w:r>
        <w:t>,</w:t>
      </w:r>
      <w:r w:rsidRPr="007F7532">
        <w:rPr>
          <w:spacing w:val="-20"/>
        </w:rPr>
        <w:t xml:space="preserve"> </w:t>
      </w:r>
      <w:r>
        <w:t xml:space="preserve">uzeninu nebo jiný </w:t>
      </w:r>
      <w:r w:rsidRPr="00845F2A">
        <w:t>masn</w:t>
      </w:r>
      <w:r>
        <w:t>y</w:t>
      </w:r>
      <w:r w:rsidRPr="00845F2A">
        <w:t xml:space="preserve"> výrob</w:t>
      </w:r>
      <w:r>
        <w:t>e</w:t>
      </w:r>
      <w:r w:rsidRPr="00845F2A">
        <w:t>k</w:t>
      </w:r>
      <w:r>
        <w:t xml:space="preserve">. </w:t>
      </w:r>
      <w:r w:rsidRPr="001F509D">
        <w:t>V takové míře si je</w:t>
      </w:r>
      <w:r>
        <w:t xml:space="preserve"> </w:t>
      </w:r>
      <w:r w:rsidRPr="001F509D">
        <w:t>dopřává</w:t>
      </w:r>
      <w:r>
        <w:t xml:space="preserve"> jen 55</w:t>
      </w:r>
      <w:r w:rsidRPr="007F7532">
        <w:rPr>
          <w:spacing w:val="-20"/>
        </w:rPr>
        <w:t xml:space="preserve"> </w:t>
      </w:r>
      <w:r>
        <w:t xml:space="preserve">% žen. Dalších 38 % žen však připouští, že jí maso alespoň jednou týdně. Pouhých 6 % populace nejí maso ani ryby vůbec </w:t>
      </w:r>
      <w:r w:rsidRPr="00845F2A">
        <w:t>(např.</w:t>
      </w:r>
      <w:r w:rsidR="00DC4945">
        <w:t> </w:t>
      </w:r>
      <w:r w:rsidRPr="00845F2A">
        <w:t xml:space="preserve">vegetariáni </w:t>
      </w:r>
      <w:r>
        <w:t xml:space="preserve">či </w:t>
      </w:r>
      <w:r w:rsidRPr="00845F2A">
        <w:t>vegani).</w:t>
      </w:r>
    </w:p>
    <w:p w14:paraId="4195691C" w14:textId="3F3DC3DD" w:rsidR="003A47F2" w:rsidRDefault="003A47F2" w:rsidP="00A40F49">
      <w:pPr>
        <w:pStyle w:val="Titulek"/>
        <w:keepNext/>
        <w:spacing w:before="240"/>
      </w:pPr>
      <w:r>
        <w:t xml:space="preserve">Graf </w:t>
      </w:r>
      <w:r>
        <w:fldChar w:fldCharType="begin"/>
      </w:r>
      <w:r>
        <w:instrText xml:space="preserve"> SEQ Graf \* ARABIC </w:instrText>
      </w:r>
      <w:r>
        <w:fldChar w:fldCharType="separate"/>
      </w:r>
      <w:r w:rsidR="00497F80">
        <w:rPr>
          <w:noProof/>
        </w:rPr>
        <w:t>19</w:t>
      </w:r>
      <w:r>
        <w:fldChar w:fldCharType="end"/>
      </w:r>
      <w:r>
        <w:t xml:space="preserve"> </w:t>
      </w:r>
      <w:r w:rsidR="00A4318E">
        <w:t xml:space="preserve"> </w:t>
      </w:r>
      <w:r w:rsidRPr="00E22F73">
        <w:t>Četnost konzumace ovoce, zeleniny a masa v běžném týdnu podle pohlaví (2025, %)</w:t>
      </w:r>
    </w:p>
    <w:p w14:paraId="22C97240" w14:textId="77777777" w:rsidR="003A47F2" w:rsidRPr="009F419A" w:rsidRDefault="003A47F2" w:rsidP="003A47F2">
      <w:pPr>
        <w:pStyle w:val="3GRAF"/>
        <w:rPr>
          <w:rFonts w:cs="Arial"/>
          <w:sz w:val="24"/>
          <w:szCs w:val="24"/>
          <w:lang w:val="cs-CZ"/>
        </w:rPr>
      </w:pPr>
      <w:r>
        <w:rPr>
          <w:noProof/>
        </w:rPr>
        <w:drawing>
          <wp:inline distT="0" distB="0" distL="0" distR="0" wp14:anchorId="0C3E8840" wp14:editId="11D272C7">
            <wp:extent cx="5759450" cy="3019425"/>
            <wp:effectExtent l="0" t="0" r="0" b="9525"/>
            <wp:docPr id="192943644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B372511E-BF4D-4625-8FEF-9438128A32F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61B13C3A" w14:textId="1A266452" w:rsidR="00866C93" w:rsidRDefault="00A40F49" w:rsidP="0083271B">
      <w:pPr>
        <w:spacing w:after="0"/>
        <w:rPr>
          <w:rFonts w:eastAsiaTheme="minorHAnsi"/>
          <w:color w:val="000000"/>
        </w:rPr>
      </w:pPr>
      <w:r>
        <w:br w:type="page"/>
      </w:r>
      <w:r w:rsidR="003A47F2" w:rsidRPr="009F419A">
        <w:t>Součástí rozhovoru byly i otázky na konzumac</w:t>
      </w:r>
      <w:r w:rsidR="003A47F2">
        <w:t xml:space="preserve">i </w:t>
      </w:r>
      <w:r w:rsidR="003A47F2" w:rsidRPr="009F419A">
        <w:t xml:space="preserve">alkoholu </w:t>
      </w:r>
      <w:r w:rsidR="003A47F2">
        <w:t xml:space="preserve">a </w:t>
      </w:r>
      <w:r w:rsidR="003A47F2" w:rsidRPr="009F419A">
        <w:t xml:space="preserve">četnost kouření či užívání tabákových výrobků (včetně inhalování a žvýkání). </w:t>
      </w:r>
      <w:r w:rsidR="003A47F2">
        <w:t>Z</w:t>
      </w:r>
      <w:r w:rsidR="003A47F2" w:rsidRPr="009F419A">
        <w:t>ji</w:t>
      </w:r>
      <w:r w:rsidR="003A47F2">
        <w:t xml:space="preserve">šťovala se </w:t>
      </w:r>
      <w:r w:rsidR="003A47F2" w:rsidRPr="009F419A">
        <w:t>pouze frekvenc</w:t>
      </w:r>
      <w:r w:rsidR="003A47F2">
        <w:t>e</w:t>
      </w:r>
      <w:r w:rsidR="003A47F2" w:rsidRPr="009F419A">
        <w:t xml:space="preserve">, </w:t>
      </w:r>
      <w:r w:rsidR="003A47F2">
        <w:t xml:space="preserve">nikoliv </w:t>
      </w:r>
      <w:r w:rsidR="003A47F2" w:rsidRPr="009F419A">
        <w:t xml:space="preserve">spotřebované množství </w:t>
      </w:r>
      <w:r w:rsidR="003A47F2">
        <w:t xml:space="preserve">nebo </w:t>
      </w:r>
      <w:r w:rsidR="003A47F2" w:rsidRPr="009F419A">
        <w:t>druh alkoholického nápoje.</w:t>
      </w:r>
      <w:r w:rsidR="00866C93">
        <w:t xml:space="preserve"> </w:t>
      </w:r>
      <w:r w:rsidR="00866C93" w:rsidRPr="00860CFF">
        <w:t>Pokud jde o pití alkoholu, denně nebo několikrát týdně si dá sklenku vína, piva nebo lihovin 26 % mužů a 8,5 % žen. Příležitostné pití alkoholu jednou týdně nebo několikrát za</w:t>
      </w:r>
      <w:r w:rsidR="00866C93" w:rsidRPr="00860CFF">
        <w:rPr>
          <w:spacing w:val="-20"/>
        </w:rPr>
        <w:t xml:space="preserve"> </w:t>
      </w:r>
      <w:r w:rsidR="00866C93" w:rsidRPr="00860CFF">
        <w:t>měsíc přiznala</w:t>
      </w:r>
      <w:r w:rsidR="00866C93" w:rsidRPr="00860CFF">
        <w:rPr>
          <w:spacing w:val="-20"/>
        </w:rPr>
        <w:t xml:space="preserve"> </w:t>
      </w:r>
      <w:r w:rsidR="00866C93" w:rsidRPr="00860CFF">
        <w:t xml:space="preserve">nadpoloviční většina mužů i žen, konkrétně 57,6 % mužů a 62,3 % žen. Osob, které se </w:t>
      </w:r>
      <w:r w:rsidR="00866C93" w:rsidRPr="00860CFF">
        <w:rPr>
          <w:rFonts w:eastAsiaTheme="minorHAnsi"/>
          <w:color w:val="000000"/>
        </w:rPr>
        <w:t>v posledních 12 měsících</w:t>
      </w:r>
      <w:r w:rsidR="00866C93" w:rsidRPr="00860CFF">
        <w:t xml:space="preserve"> ani jednou </w:t>
      </w:r>
      <w:r w:rsidR="00866C93" w:rsidRPr="00860CFF">
        <w:rPr>
          <w:rFonts w:eastAsiaTheme="minorHAnsi"/>
          <w:color w:val="000000"/>
        </w:rPr>
        <w:t>nenapily alkoholu</w:t>
      </w:r>
      <w:r w:rsidR="00866C93">
        <w:rPr>
          <w:rFonts w:eastAsiaTheme="minorHAnsi"/>
          <w:color w:val="000000"/>
        </w:rPr>
        <w:t xml:space="preserve">, </w:t>
      </w:r>
      <w:r w:rsidR="00866C93" w:rsidRPr="00860CFF">
        <w:rPr>
          <w:rFonts w:eastAsiaTheme="minorHAnsi"/>
          <w:color w:val="000000"/>
        </w:rPr>
        <w:t xml:space="preserve">bylo mezi muži </w:t>
      </w:r>
      <w:r w:rsidR="00866C93">
        <w:rPr>
          <w:rFonts w:eastAsiaTheme="minorHAnsi"/>
          <w:color w:val="000000"/>
        </w:rPr>
        <w:t>výrazně méně než mezi ženami (</w:t>
      </w:r>
      <w:r w:rsidR="00866C93" w:rsidRPr="00860CFF">
        <w:rPr>
          <w:rFonts w:eastAsiaTheme="minorHAnsi"/>
          <w:color w:val="000000"/>
        </w:rPr>
        <w:t xml:space="preserve">16,5 % </w:t>
      </w:r>
      <w:r w:rsidR="00866C93">
        <w:rPr>
          <w:rFonts w:eastAsiaTheme="minorHAnsi"/>
          <w:color w:val="000000"/>
        </w:rPr>
        <w:t xml:space="preserve">mužů a </w:t>
      </w:r>
      <w:r w:rsidR="00866C93" w:rsidRPr="00860CFF">
        <w:rPr>
          <w:rFonts w:eastAsiaTheme="minorHAnsi"/>
          <w:color w:val="000000"/>
        </w:rPr>
        <w:t>29,2 %</w:t>
      </w:r>
      <w:r w:rsidR="00866C93">
        <w:rPr>
          <w:rFonts w:eastAsiaTheme="minorHAnsi"/>
          <w:color w:val="000000"/>
        </w:rPr>
        <w:t xml:space="preserve"> žen).</w:t>
      </w:r>
    </w:p>
    <w:p w14:paraId="25EDA127" w14:textId="77777777" w:rsidR="0083271B" w:rsidRDefault="0083271B" w:rsidP="0083271B">
      <w:pPr>
        <w:spacing w:after="0"/>
        <w:rPr>
          <w:rFonts w:eastAsiaTheme="minorHAnsi"/>
          <w:color w:val="000000"/>
        </w:rPr>
      </w:pPr>
    </w:p>
    <w:p w14:paraId="67607960" w14:textId="77777777" w:rsidR="00866C93" w:rsidRPr="00860CFF" w:rsidRDefault="00866C93" w:rsidP="00866C93">
      <w:pPr>
        <w:rPr>
          <w:rFonts w:eastAsiaTheme="minorHAnsi"/>
          <w:color w:val="000000"/>
        </w:rPr>
      </w:pPr>
      <w:r w:rsidRPr="00860CFF">
        <w:t>Pravidelnými denními kuřáky je v Česku 24,5 % mužů a 16,9 % žen, tedy přibližně každý čtvrtý muž a</w:t>
      </w:r>
      <w:r>
        <w:t> </w:t>
      </w:r>
      <w:r w:rsidRPr="00860CFF">
        <w:t>každá šestá žena ve věku 16+. Příležitostně si zapálí cigaretu jenom 4 % mužů a 2,8 % žen</w:t>
      </w:r>
      <w:r>
        <w:t>. Vůbec nekouří zhruba 72 % mužů a 80 % žen.</w:t>
      </w:r>
    </w:p>
    <w:p w14:paraId="77B52F71" w14:textId="3BA340BD" w:rsidR="003A47F2" w:rsidRDefault="003A47F2" w:rsidP="00A40F49">
      <w:pPr>
        <w:pStyle w:val="Titulek"/>
        <w:keepNext/>
        <w:spacing w:before="240"/>
        <w:jc w:val="both"/>
      </w:pPr>
      <w:r>
        <w:t xml:space="preserve">Graf </w:t>
      </w:r>
      <w:r>
        <w:fldChar w:fldCharType="begin"/>
      </w:r>
      <w:r>
        <w:instrText xml:space="preserve"> SEQ Graf \* ARABIC </w:instrText>
      </w:r>
      <w:r>
        <w:fldChar w:fldCharType="separate"/>
      </w:r>
      <w:r w:rsidR="00497F80">
        <w:rPr>
          <w:noProof/>
        </w:rPr>
        <w:t>20</w:t>
      </w:r>
      <w:r>
        <w:fldChar w:fldCharType="end"/>
      </w:r>
      <w:r>
        <w:t xml:space="preserve"> </w:t>
      </w:r>
      <w:r w:rsidR="00A4318E">
        <w:t xml:space="preserve"> </w:t>
      </w:r>
      <w:r w:rsidR="00A40F49">
        <w:rPr>
          <w:rFonts w:cs="Arial"/>
          <w:lang w:val="cs-CZ"/>
        </w:rPr>
        <w:t>K</w:t>
      </w:r>
      <w:r w:rsidR="00A40F49" w:rsidRPr="002469B0">
        <w:rPr>
          <w:rFonts w:cs="Arial"/>
          <w:lang w:val="cs-CZ"/>
        </w:rPr>
        <w:t xml:space="preserve">onzumace alkoholu </w:t>
      </w:r>
      <w:r w:rsidR="00A40F49">
        <w:rPr>
          <w:rFonts w:cs="Arial"/>
          <w:lang w:val="cs-CZ"/>
        </w:rPr>
        <w:t>a č</w:t>
      </w:r>
      <w:r w:rsidR="00A40F49" w:rsidRPr="002469B0">
        <w:rPr>
          <w:rFonts w:cs="Arial"/>
          <w:lang w:val="cs-CZ"/>
        </w:rPr>
        <w:t xml:space="preserve">etnost kouření </w:t>
      </w:r>
      <w:r w:rsidR="00A40F49">
        <w:rPr>
          <w:rFonts w:cs="Arial"/>
          <w:lang w:val="cs-CZ"/>
        </w:rPr>
        <w:t>p</w:t>
      </w:r>
      <w:r w:rsidR="00A40F49" w:rsidRPr="002469B0">
        <w:rPr>
          <w:rFonts w:cs="Arial"/>
          <w:lang w:val="cs-CZ"/>
        </w:rPr>
        <w:t>odle pohlaví (2025, %)</w:t>
      </w:r>
    </w:p>
    <w:p w14:paraId="2DAAF3C5" w14:textId="343B6BAB" w:rsidR="002C08F4" w:rsidRDefault="00200196" w:rsidP="003A47F2">
      <w:r>
        <w:rPr>
          <w:noProof/>
        </w:rPr>
        <w:drawing>
          <wp:inline distT="0" distB="0" distL="0" distR="0" wp14:anchorId="669E6060" wp14:editId="1F0A615B">
            <wp:extent cx="5759450" cy="3067050"/>
            <wp:effectExtent l="0" t="0" r="0" b="0"/>
            <wp:docPr id="234616770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33E880A8-703A-7716-A78B-A87C67CBF38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1CC74252" w14:textId="556F432F" w:rsidR="009A6250" w:rsidRPr="009A6250" w:rsidRDefault="009A6250" w:rsidP="003A47F2">
      <w:pPr>
        <w:rPr>
          <w:b/>
          <w:bCs/>
        </w:rPr>
      </w:pPr>
      <w:r w:rsidRPr="009A6250">
        <w:rPr>
          <w:b/>
          <w:bCs/>
        </w:rPr>
        <w:t xml:space="preserve">Zátěž výdaji za zdravotní péči </w:t>
      </w:r>
    </w:p>
    <w:p w14:paraId="018221C6" w14:textId="67CC1ED2" w:rsidR="003A47F2" w:rsidRDefault="003A47F2" w:rsidP="003A47F2">
      <w:r w:rsidRPr="00860CFF">
        <w:t>Dalším aspektem zdravého život</w:t>
      </w:r>
      <w:r w:rsidR="00866C93">
        <w:t>a j</w:t>
      </w:r>
      <w:r w:rsidRPr="00860CFF">
        <w:t xml:space="preserve">e také péče o vlastní zdraví. </w:t>
      </w:r>
      <w:r w:rsidRPr="00641A62">
        <w:t>Při</w:t>
      </w:r>
      <w:r>
        <w:t xml:space="preserve">tom </w:t>
      </w:r>
      <w:r w:rsidRPr="00641A62">
        <w:t>nelze opomenout, jakou finanční zátěž pro domácnost představují výdaje spojené se zdravotní péčí a úhradou léků.</w:t>
      </w:r>
      <w:r>
        <w:t xml:space="preserve"> </w:t>
      </w:r>
      <w:r w:rsidRPr="00641A62">
        <w:t>Šetřené</w:t>
      </w:r>
      <w:r>
        <w:t xml:space="preserve"> </w:t>
      </w:r>
      <w:r w:rsidRPr="003B6832">
        <w:t>domácnosti měly vzít v úvahu výdaje všech členů domácnosti za posledních 12 měsíců</w:t>
      </w:r>
      <w:r>
        <w:t>.</w:t>
      </w:r>
    </w:p>
    <w:p w14:paraId="78565DC0" w14:textId="728DB21C" w:rsidR="003A47F2" w:rsidRDefault="003A47F2" w:rsidP="003A47F2">
      <w:r w:rsidRPr="003B6832">
        <w:t>Největší zátěží jsou aktuálně pro české domácnosti platby u zubaře,</w:t>
      </w:r>
      <w:r>
        <w:t xml:space="preserve"> výdaje za de</w:t>
      </w:r>
      <w:r w:rsidRPr="003B6832">
        <w:t>ntální hygien</w:t>
      </w:r>
      <w:r>
        <w:t xml:space="preserve">u nebo </w:t>
      </w:r>
      <w:r w:rsidRPr="003B6832">
        <w:t>ortodonci</w:t>
      </w:r>
      <w:r>
        <w:t>i</w:t>
      </w:r>
      <w:r w:rsidRPr="003B6832">
        <w:t xml:space="preserve"> (tj.</w:t>
      </w:r>
      <w:r w:rsidRPr="00CB170A">
        <w:rPr>
          <w:spacing w:val="-20"/>
        </w:rPr>
        <w:t xml:space="preserve"> </w:t>
      </w:r>
      <w:r w:rsidRPr="003B6832">
        <w:t>rovnání chrupu)</w:t>
      </w:r>
      <w:r>
        <w:t xml:space="preserve">. </w:t>
      </w:r>
      <w:r w:rsidRPr="003B6832">
        <w:t xml:space="preserve">Jako velkou zátěž </w:t>
      </w:r>
      <w:r>
        <w:t xml:space="preserve">je </w:t>
      </w:r>
      <w:r w:rsidRPr="003B6832">
        <w:t xml:space="preserve">pociťuje </w:t>
      </w:r>
      <w:r>
        <w:t>13</w:t>
      </w:r>
      <w:r w:rsidRPr="003B6832">
        <w:t>,</w:t>
      </w:r>
      <w:r>
        <w:t xml:space="preserve">4 </w:t>
      </w:r>
      <w:r w:rsidRPr="003B6832">
        <w:t xml:space="preserve">% </w:t>
      </w:r>
      <w:r>
        <w:t>domácností, které zubní péči potřebovaly.</w:t>
      </w:r>
      <w:r w:rsidRPr="00AA1D05">
        <w:t xml:space="preserve"> </w:t>
      </w:r>
      <w:r w:rsidRPr="00A77950">
        <w:t xml:space="preserve">Pro </w:t>
      </w:r>
      <w:r>
        <w:t>dalších 43</w:t>
      </w:r>
      <w:r w:rsidRPr="00A77950">
        <w:t>,</w:t>
      </w:r>
      <w:r>
        <w:t>6 </w:t>
      </w:r>
      <w:r w:rsidRPr="00A77950">
        <w:t>%</w:t>
      </w:r>
      <w:r>
        <w:t xml:space="preserve"> domácností </w:t>
      </w:r>
      <w:r w:rsidRPr="00A77950">
        <w:t xml:space="preserve">je péče </w:t>
      </w:r>
      <w:r w:rsidR="001C2D1D">
        <w:t xml:space="preserve">u zubařů </w:t>
      </w:r>
      <w:r w:rsidRPr="00A77950">
        <w:t xml:space="preserve">určitou zátěží. </w:t>
      </w:r>
      <w:r>
        <w:t xml:space="preserve">České domácnosti však podobně zatěžují i výdaje za </w:t>
      </w:r>
      <w:r w:rsidRPr="00D71777">
        <w:t>lék</w:t>
      </w:r>
      <w:r>
        <w:t>y</w:t>
      </w:r>
      <w:r w:rsidRPr="00D71777">
        <w:t>, ať už předepsan</w:t>
      </w:r>
      <w:r>
        <w:t>é (</w:t>
      </w:r>
      <w:r w:rsidRPr="00D71777">
        <w:t>nehrazené pojišťovnou</w:t>
      </w:r>
      <w:r>
        <w:t xml:space="preserve">) </w:t>
      </w:r>
      <w:r w:rsidRPr="00D71777">
        <w:t xml:space="preserve">nebo volně prodejné léky či potravinové doplňky. Jako velkou zátěž </w:t>
      </w:r>
      <w:r>
        <w:t xml:space="preserve">je vloni </w:t>
      </w:r>
      <w:r w:rsidRPr="00D71777">
        <w:t>pociť</w:t>
      </w:r>
      <w:r>
        <w:t>ovalo 13 </w:t>
      </w:r>
      <w:r w:rsidRPr="00D71777">
        <w:t xml:space="preserve">% případů a dalších </w:t>
      </w:r>
      <w:r>
        <w:t xml:space="preserve">skoro </w:t>
      </w:r>
      <w:r w:rsidRPr="00D71777">
        <w:t>5</w:t>
      </w:r>
      <w:r>
        <w:t>0</w:t>
      </w:r>
      <w:r w:rsidRPr="00D71777">
        <w:t xml:space="preserve"> % jako určitou zátěž. Naopak návštěvy u</w:t>
      </w:r>
      <w:r w:rsidRPr="00D71777">
        <w:rPr>
          <w:spacing w:val="-20"/>
        </w:rPr>
        <w:t xml:space="preserve"> </w:t>
      </w:r>
      <w:r w:rsidRPr="00D71777">
        <w:t>praktického lékaře a</w:t>
      </w:r>
      <w:r w:rsidRPr="00D71777">
        <w:rPr>
          <w:spacing w:val="-20"/>
        </w:rPr>
        <w:t xml:space="preserve"> </w:t>
      </w:r>
      <w:r w:rsidRPr="00D71777">
        <w:t>specialistů,</w:t>
      </w:r>
      <w:r w:rsidRPr="00D71777">
        <w:rPr>
          <w:spacing w:val="-20"/>
        </w:rPr>
        <w:t xml:space="preserve"> </w:t>
      </w:r>
      <w:r w:rsidRPr="00D71777">
        <w:t>ani případná hospitalizace v</w:t>
      </w:r>
      <w:r w:rsidRPr="00D71777">
        <w:rPr>
          <w:spacing w:val="-20"/>
        </w:rPr>
        <w:t> </w:t>
      </w:r>
      <w:r w:rsidRPr="00D71777">
        <w:t>nemocnici</w:t>
      </w:r>
      <w:r>
        <w:t> </w:t>
      </w:r>
      <w:r w:rsidRPr="00D71777">
        <w:t>nebyly žádnou finanční zátěží pro více než dvě třetiny domácností. To je v souladu s tím, že v</w:t>
      </w:r>
      <w:r>
        <w:t xml:space="preserve"> ČR je </w:t>
      </w:r>
      <w:r w:rsidRPr="00D71777">
        <w:t>ambulantní i lůžková péče u praktiků a specializovaných lékařů vesměs krytá z povinného zdravotního pojištění.</w:t>
      </w:r>
    </w:p>
    <w:p w14:paraId="6EDE995D" w14:textId="5305FBC1" w:rsidR="003A47F2" w:rsidRPr="003A47F2" w:rsidRDefault="003A47F2" w:rsidP="003A47F2">
      <w:r>
        <w:t>Ve</w:t>
      </w:r>
      <w:r w:rsidRPr="00D56239">
        <w:rPr>
          <w:spacing w:val="-20"/>
        </w:rPr>
        <w:t xml:space="preserve"> </w:t>
      </w:r>
      <w:r>
        <w:t>srovnání s rokem</w:t>
      </w:r>
      <w:r w:rsidRPr="00D56239">
        <w:rPr>
          <w:spacing w:val="-20"/>
        </w:rPr>
        <w:t xml:space="preserve"> </w:t>
      </w:r>
      <w:r>
        <w:t>2022 je jasně vidět, že m</w:t>
      </w:r>
      <w:r w:rsidRPr="00D71777">
        <w:t>nohé domácnosti vnímají</w:t>
      </w:r>
      <w:r>
        <w:t xml:space="preserve"> výdaje za zdraví jako čím</w:t>
      </w:r>
      <w:r w:rsidRPr="00D56239">
        <w:rPr>
          <w:spacing w:val="-20"/>
        </w:rPr>
        <w:t xml:space="preserve"> </w:t>
      </w:r>
      <w:r>
        <w:t xml:space="preserve">dál větší </w:t>
      </w:r>
      <w:r w:rsidRPr="00D71777">
        <w:t>finanční zátěž</w:t>
      </w:r>
      <w:r>
        <w:t xml:space="preserve"> než před třemi lety.</w:t>
      </w:r>
    </w:p>
    <w:p w14:paraId="642F70CC" w14:textId="77777777" w:rsidR="007F6B60" w:rsidRDefault="007F6B60">
      <w:pPr>
        <w:spacing w:after="0" w:line="240" w:lineRule="auto"/>
        <w:jc w:val="left"/>
        <w:rPr>
          <w:rFonts w:eastAsia="Times New Roman"/>
          <w:b/>
          <w:bCs/>
          <w:szCs w:val="18"/>
          <w:lang w:val="x-none" w:eastAsia="ar-SA"/>
        </w:rPr>
      </w:pPr>
      <w:r>
        <w:br w:type="page"/>
      </w:r>
    </w:p>
    <w:p w14:paraId="4DEA5665" w14:textId="3FB178FE" w:rsidR="003A47F2" w:rsidRDefault="003A47F2" w:rsidP="003A47F2">
      <w:pPr>
        <w:pStyle w:val="Titulek"/>
        <w:keepNext/>
        <w:jc w:val="both"/>
      </w:pPr>
      <w:r>
        <w:t xml:space="preserve">Graf </w:t>
      </w:r>
      <w:r>
        <w:fldChar w:fldCharType="begin"/>
      </w:r>
      <w:r>
        <w:instrText xml:space="preserve"> SEQ Graf \* ARABIC </w:instrText>
      </w:r>
      <w:r>
        <w:fldChar w:fldCharType="separate"/>
      </w:r>
      <w:r w:rsidR="00497F80">
        <w:rPr>
          <w:noProof/>
        </w:rPr>
        <w:t>21</w:t>
      </w:r>
      <w:r>
        <w:fldChar w:fldCharType="end"/>
      </w:r>
      <w:r>
        <w:t xml:space="preserve"> </w:t>
      </w:r>
      <w:r w:rsidR="00A4318E">
        <w:t xml:space="preserve"> </w:t>
      </w:r>
      <w:r w:rsidRPr="000545BD">
        <w:t>Zátěž domácnosti výdaji za zdravotní péči a léky (2022 a 2025, %)</w:t>
      </w:r>
    </w:p>
    <w:p w14:paraId="5820FB3A" w14:textId="43D7DA87" w:rsidR="002C08F4" w:rsidRDefault="007F6B60">
      <w:pPr>
        <w:spacing w:after="0" w:line="240" w:lineRule="auto"/>
        <w:jc w:val="left"/>
      </w:pPr>
      <w:r>
        <w:rPr>
          <w:noProof/>
        </w:rPr>
        <w:drawing>
          <wp:inline distT="0" distB="0" distL="0" distR="0" wp14:anchorId="4AE75651" wp14:editId="6D4F808B">
            <wp:extent cx="5905500" cy="3207385"/>
            <wp:effectExtent l="0" t="0" r="0" b="0"/>
            <wp:docPr id="644695720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A4604B6-BC07-4B21-9FAC-6EC82D7DF8A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2FE6CFFA" w14:textId="77777777" w:rsidR="007F6B60" w:rsidRDefault="007F6B60" w:rsidP="003A47F2"/>
    <w:p w14:paraId="4089BC94" w14:textId="77777777" w:rsidR="009A6250" w:rsidRPr="009A6250" w:rsidRDefault="009A6250" w:rsidP="003A47F2">
      <w:pPr>
        <w:rPr>
          <w:b/>
          <w:bCs/>
        </w:rPr>
      </w:pPr>
      <w:r w:rsidRPr="009A6250">
        <w:rPr>
          <w:b/>
          <w:bCs/>
        </w:rPr>
        <w:t>Ž</w:t>
      </w:r>
      <w:r w:rsidR="003A47F2" w:rsidRPr="009A6250">
        <w:rPr>
          <w:b/>
          <w:bCs/>
        </w:rPr>
        <w:t xml:space="preserve">ivotní prostředí </w:t>
      </w:r>
    </w:p>
    <w:p w14:paraId="7E718BFA" w14:textId="7AE8CD40" w:rsidR="003A47F2" w:rsidRDefault="003A47F2" w:rsidP="003A47F2">
      <w:r>
        <w:t xml:space="preserve">Respondenti </w:t>
      </w:r>
      <w:r w:rsidR="009A6250">
        <w:t>u</w:t>
      </w:r>
      <w:r w:rsidR="005E53FE">
        <w:t>v</w:t>
      </w:r>
      <w:r w:rsidR="009A6250">
        <w:t>áděli</w:t>
      </w:r>
      <w:r w:rsidR="005E53FE">
        <w:t xml:space="preserve"> svůj </w:t>
      </w:r>
      <w:r w:rsidRPr="00DA0516">
        <w:t>nejčastější</w:t>
      </w:r>
      <w:r w:rsidRPr="005E53FE">
        <w:rPr>
          <w:spacing w:val="-20"/>
        </w:rPr>
        <w:t xml:space="preserve"> </w:t>
      </w:r>
      <w:r w:rsidRPr="00DA0516">
        <w:t>způsob dopravy</w:t>
      </w:r>
      <w:r>
        <w:t>,</w:t>
      </w:r>
      <w:r w:rsidRPr="00DA0516">
        <w:rPr>
          <w:spacing w:val="-20"/>
        </w:rPr>
        <w:t xml:space="preserve"> </w:t>
      </w:r>
      <w:r>
        <w:t>k</w:t>
      </w:r>
      <w:r w:rsidRPr="00DA0516">
        <w:t>ter</w:t>
      </w:r>
      <w:r w:rsidR="005E53FE">
        <w:t>ý</w:t>
      </w:r>
      <w:r w:rsidRPr="00DA0516">
        <w:t xml:space="preserve"> využív</w:t>
      </w:r>
      <w:r>
        <w:t xml:space="preserve">ají </w:t>
      </w:r>
      <w:r w:rsidRPr="00DA0516">
        <w:t>k</w:t>
      </w:r>
      <w:r w:rsidRPr="005E53FE">
        <w:rPr>
          <w:spacing w:val="-20"/>
        </w:rPr>
        <w:t xml:space="preserve"> </w:t>
      </w:r>
      <w:r w:rsidRPr="00DA0516">
        <w:t>dojíždění do</w:t>
      </w:r>
      <w:r>
        <w:t> </w:t>
      </w:r>
      <w:r w:rsidRPr="00DA0516">
        <w:t>práce,</w:t>
      </w:r>
      <w:r w:rsidRPr="005E53FE">
        <w:rPr>
          <w:spacing w:val="-20"/>
        </w:rPr>
        <w:t xml:space="preserve"> </w:t>
      </w:r>
      <w:r w:rsidRPr="00DA0516">
        <w:t>do</w:t>
      </w:r>
      <w:r w:rsidRPr="00DA0516">
        <w:rPr>
          <w:spacing w:val="-20"/>
        </w:rPr>
        <w:t xml:space="preserve"> </w:t>
      </w:r>
      <w:r w:rsidRPr="00DA0516">
        <w:t>školy</w:t>
      </w:r>
      <w:r>
        <w:t>,</w:t>
      </w:r>
      <w:r w:rsidRPr="005E53FE">
        <w:rPr>
          <w:spacing w:val="-20"/>
        </w:rPr>
        <w:t xml:space="preserve"> </w:t>
      </w:r>
      <w:r w:rsidRPr="00DA0516">
        <w:t>na nákup,</w:t>
      </w:r>
      <w:r w:rsidRPr="005E53FE">
        <w:rPr>
          <w:spacing w:val="-20"/>
        </w:rPr>
        <w:t xml:space="preserve"> </w:t>
      </w:r>
      <w:r w:rsidRPr="00DA0516">
        <w:t>na</w:t>
      </w:r>
      <w:r w:rsidRPr="005E53FE">
        <w:rPr>
          <w:spacing w:val="-20"/>
        </w:rPr>
        <w:t xml:space="preserve"> </w:t>
      </w:r>
      <w:r w:rsidRPr="00DA0516">
        <w:t>chatu,</w:t>
      </w:r>
      <w:r w:rsidRPr="005E53FE">
        <w:rPr>
          <w:spacing w:val="-20"/>
        </w:rPr>
        <w:t xml:space="preserve"> </w:t>
      </w:r>
      <w:r w:rsidRPr="00DA0516">
        <w:t>za</w:t>
      </w:r>
      <w:r w:rsidR="005E53FE">
        <w:t xml:space="preserve"> </w:t>
      </w:r>
      <w:r w:rsidRPr="00DA0516">
        <w:t>sportem</w:t>
      </w:r>
      <w:r w:rsidR="005E53FE">
        <w:t xml:space="preserve"> </w:t>
      </w:r>
      <w:r w:rsidRPr="00DA0516">
        <w:t xml:space="preserve">i za zábavou v průběhu posledních 12 měsíců. </w:t>
      </w:r>
      <w:r w:rsidR="009A6250">
        <w:t>N</w:t>
      </w:r>
      <w:r>
        <w:t>adpoloviční většina dotázaných jezdí autem, necelá třetina osob v Česku používá veřejnou hromadnou dopravu, skoro 11 % lidí chodí převážně pěšky a asi 2,5 % osob jezdí na kole.</w:t>
      </w:r>
    </w:p>
    <w:p w14:paraId="77C7896A" w14:textId="42564411" w:rsidR="003A47F2" w:rsidRDefault="003A47F2" w:rsidP="003A47F2">
      <w:pPr>
        <w:pStyle w:val="Titulek"/>
        <w:keepNext/>
      </w:pPr>
      <w:r>
        <w:t xml:space="preserve">Graf </w:t>
      </w:r>
      <w:r>
        <w:fldChar w:fldCharType="begin"/>
      </w:r>
      <w:r>
        <w:instrText xml:space="preserve"> SEQ Graf \* ARABIC </w:instrText>
      </w:r>
      <w:r>
        <w:fldChar w:fldCharType="separate"/>
      </w:r>
      <w:r w:rsidR="00497F80">
        <w:rPr>
          <w:noProof/>
        </w:rPr>
        <w:t>22</w:t>
      </w:r>
      <w:r>
        <w:fldChar w:fldCharType="end"/>
      </w:r>
      <w:r>
        <w:t xml:space="preserve"> </w:t>
      </w:r>
      <w:r w:rsidR="00A4318E">
        <w:t xml:space="preserve"> </w:t>
      </w:r>
      <w:r w:rsidRPr="00DA0F46">
        <w:t>Nejčastější způsob dopravy</w:t>
      </w:r>
      <w:r w:rsidR="003B1B45">
        <w:t xml:space="preserve"> osob </w:t>
      </w:r>
      <w:r w:rsidRPr="00DA0F46">
        <w:t>(2025, %)</w:t>
      </w:r>
    </w:p>
    <w:p w14:paraId="4AB52BC9" w14:textId="77777777" w:rsidR="003A47F2" w:rsidRPr="00860CFF" w:rsidRDefault="003A47F2" w:rsidP="003A47F2">
      <w:pPr>
        <w:spacing w:after="160" w:line="264" w:lineRule="auto"/>
        <w:rPr>
          <w:rFonts w:ascii="Arial Narrow" w:hAnsi="Arial Narrow" w:cs="Arial"/>
          <w:sz w:val="24"/>
          <w:szCs w:val="24"/>
        </w:rPr>
      </w:pPr>
      <w:r w:rsidRPr="00AF61F4">
        <w:rPr>
          <w:noProof/>
          <w:color w:val="CC9610"/>
        </w:rPr>
        <w:drawing>
          <wp:inline distT="0" distB="0" distL="0" distR="0" wp14:anchorId="08066D54" wp14:editId="2105415E">
            <wp:extent cx="5760000" cy="2660015"/>
            <wp:effectExtent l="0" t="0" r="0" b="6985"/>
            <wp:docPr id="1820516488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E628774F-629A-4696-AE09-CEC6DAED421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235D92B1" w14:textId="77777777" w:rsidR="003A47F2" w:rsidRDefault="003A47F2" w:rsidP="003A47F2">
      <w:r w:rsidRPr="00F779DC">
        <w:t xml:space="preserve">V souvislosti </w:t>
      </w:r>
      <w:r>
        <w:t xml:space="preserve">s dopravou </w:t>
      </w:r>
      <w:r w:rsidRPr="00F779DC">
        <w:t>byli respondenti dotázáni, kolik automobilů mají v domácnosti k dispozici pro</w:t>
      </w:r>
      <w:r>
        <w:t xml:space="preserve"> </w:t>
      </w:r>
      <w:r w:rsidRPr="00F779DC">
        <w:t xml:space="preserve">soukromé použití, včetně služebních aut či vozů na leasing. Domácnost tedy nemusí automobil </w:t>
      </w:r>
      <w:r>
        <w:t xml:space="preserve">vyloženě </w:t>
      </w:r>
      <w:r w:rsidRPr="00F779DC">
        <w:t>vlastnit.</w:t>
      </w:r>
      <w:r>
        <w:t xml:space="preserve"> Z výsledků vyplynulo, že zhruba 28</w:t>
      </w:r>
      <w:r w:rsidRPr="00461B2C">
        <w:rPr>
          <w:spacing w:val="-20"/>
        </w:rPr>
        <w:t xml:space="preserve"> </w:t>
      </w:r>
      <w:r>
        <w:t>% českých domácností nemá k dispozici žádný automobil, avšak 46,3 % má doma jedno auto,</w:t>
      </w:r>
      <w:r w:rsidRPr="00D56239">
        <w:rPr>
          <w:spacing w:val="-20"/>
        </w:rPr>
        <w:t xml:space="preserve"> </w:t>
      </w:r>
      <w:r>
        <w:t>více</w:t>
      </w:r>
      <w:r w:rsidRPr="00D56239">
        <w:rPr>
          <w:spacing w:val="-20"/>
        </w:rPr>
        <w:t xml:space="preserve"> </w:t>
      </w:r>
      <w:r>
        <w:t>než pětina domácností jezdí dvěma auty,</w:t>
      </w:r>
      <w:r w:rsidRPr="00D56239">
        <w:rPr>
          <w:spacing w:val="-20"/>
        </w:rPr>
        <w:t xml:space="preserve"> </w:t>
      </w:r>
      <w:r>
        <w:t>další 4</w:t>
      </w:r>
      <w:r w:rsidRPr="00D56239">
        <w:rPr>
          <w:spacing w:val="-20"/>
        </w:rPr>
        <w:t xml:space="preserve"> </w:t>
      </w:r>
      <w:r>
        <w:t>% domácností</w:t>
      </w:r>
      <w:r w:rsidRPr="00D56239">
        <w:rPr>
          <w:spacing w:val="-20"/>
        </w:rPr>
        <w:t xml:space="preserve"> </w:t>
      </w:r>
      <w:r>
        <w:t>používají tři auta a necelé 1 % domácností má dokonce 4 nebo více vozidel.</w:t>
      </w:r>
    </w:p>
    <w:p w14:paraId="7DBB4A25" w14:textId="2D55D77C" w:rsidR="003A47F2" w:rsidRDefault="003A47F2" w:rsidP="00FD580B">
      <w:pPr>
        <w:pStyle w:val="Titulek"/>
        <w:keepNext/>
        <w:spacing w:after="120"/>
        <w:jc w:val="both"/>
      </w:pPr>
      <w:r>
        <w:t xml:space="preserve">Graf </w:t>
      </w:r>
      <w:r>
        <w:fldChar w:fldCharType="begin"/>
      </w:r>
      <w:r>
        <w:instrText xml:space="preserve"> SEQ Graf \* ARABIC </w:instrText>
      </w:r>
      <w:r>
        <w:fldChar w:fldCharType="separate"/>
      </w:r>
      <w:r w:rsidR="00497F80">
        <w:rPr>
          <w:noProof/>
        </w:rPr>
        <w:t>23</w:t>
      </w:r>
      <w:r>
        <w:fldChar w:fldCharType="end"/>
      </w:r>
      <w:r>
        <w:t xml:space="preserve"> </w:t>
      </w:r>
      <w:r w:rsidR="00A4318E">
        <w:t xml:space="preserve"> </w:t>
      </w:r>
      <w:r>
        <w:t>Počet automobilů v domácnosti (2025, %)</w:t>
      </w:r>
    </w:p>
    <w:p w14:paraId="3C6774E8" w14:textId="77777777" w:rsidR="003A47F2" w:rsidRPr="009F419A" w:rsidRDefault="003A47F2" w:rsidP="003A47F2">
      <w:pPr>
        <w:spacing w:after="240" w:line="288" w:lineRule="auto"/>
        <w:rPr>
          <w:rFonts w:cs="Arial"/>
          <w:sz w:val="24"/>
          <w:szCs w:val="24"/>
        </w:rPr>
      </w:pPr>
      <w:r>
        <w:rPr>
          <w:noProof/>
        </w:rPr>
        <w:drawing>
          <wp:inline distT="0" distB="0" distL="0" distR="0" wp14:anchorId="1224A2CD" wp14:editId="5AB5C6E5">
            <wp:extent cx="5759450" cy="2381250"/>
            <wp:effectExtent l="0" t="0" r="0" b="0"/>
            <wp:docPr id="2010203551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2715E35C-AD3C-47B1-B404-0F3CA16E32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6179ABEB" w14:textId="6B9C92A4" w:rsidR="00FD580B" w:rsidRPr="00CB3F77" w:rsidRDefault="00FD580B" w:rsidP="00C65A94">
      <w:pPr>
        <w:spacing w:before="360"/>
      </w:pPr>
      <w:r w:rsidRPr="00CB3F77">
        <w:rPr>
          <w:rFonts w:cs="Arial"/>
        </w:rPr>
        <w:t>Při bližším pohledu na počty aut podle velikosti obcí jsou vidět</w:t>
      </w:r>
      <w:r>
        <w:rPr>
          <w:rFonts w:cs="Arial"/>
        </w:rPr>
        <w:t xml:space="preserve"> </w:t>
      </w:r>
      <w:r w:rsidR="00844AC7">
        <w:rPr>
          <w:rFonts w:cs="Arial"/>
        </w:rPr>
        <w:t>značné</w:t>
      </w:r>
      <w:r>
        <w:rPr>
          <w:rFonts w:cs="Arial"/>
        </w:rPr>
        <w:t xml:space="preserve"> r</w:t>
      </w:r>
      <w:r w:rsidRPr="00CB3F77">
        <w:rPr>
          <w:rFonts w:cs="Arial"/>
        </w:rPr>
        <w:t xml:space="preserve">ozdíly. </w:t>
      </w:r>
      <w:r w:rsidRPr="00CB3F77">
        <w:t xml:space="preserve">Obce </w:t>
      </w:r>
      <w:r w:rsidR="00C65A94">
        <w:t xml:space="preserve">byly </w:t>
      </w:r>
      <w:r>
        <w:t>roz</w:t>
      </w:r>
      <w:r w:rsidRPr="00CB3F77">
        <w:t>děl</w:t>
      </w:r>
      <w:r w:rsidR="00C65A94">
        <w:t xml:space="preserve">eny </w:t>
      </w:r>
      <w:r w:rsidRPr="00CB3F77">
        <w:t>do</w:t>
      </w:r>
      <w:r>
        <w:t xml:space="preserve"> </w:t>
      </w:r>
      <w:r w:rsidRPr="00CB3F77">
        <w:t xml:space="preserve">3 kategorií – velká města nad 100 tisíc obyvatel (což splňuje zhruba polovina krajských měst), středně velká města od 10 do 100 tisíc obyvatel a vesnice či obce do 10 tisíc obyvatel. </w:t>
      </w:r>
    </w:p>
    <w:p w14:paraId="13C54365" w14:textId="77777777" w:rsidR="00FD580B" w:rsidRDefault="00FD580B" w:rsidP="0042632D">
      <w:pPr>
        <w:spacing w:after="300"/>
      </w:pPr>
      <w:r>
        <w:t>Na</w:t>
      </w:r>
      <w:r w:rsidRPr="00CB3F77">
        <w:t xml:space="preserve"> vesnicích či v malých obcích </w:t>
      </w:r>
      <w:r>
        <w:t xml:space="preserve">má </w:t>
      </w:r>
      <w:r w:rsidRPr="00CB3F77">
        <w:t xml:space="preserve">zhruba 44 % </w:t>
      </w:r>
      <w:r>
        <w:t xml:space="preserve">domácností k dispozici jedno auto a dalších 35 % rodin používá dokonce dvě a více aut. Pouze pětina domácností nemá automobil vůbec. </w:t>
      </w:r>
      <w:r w:rsidRPr="00CB3F77">
        <w:t>Naopak v</w:t>
      </w:r>
      <w:r>
        <w:t xml:space="preserve">e velkých městech nad 100 tisíc obyvatel nemají k dispozici žádný automobil téměř čtyři z deseti domácností (37,5 %) a jen 15 % </w:t>
      </w:r>
      <w:r w:rsidRPr="00CB3F77">
        <w:t>dotázaných</w:t>
      </w:r>
      <w:r>
        <w:t xml:space="preserve"> rodin uvedlo, že mají dvě a více aut.</w:t>
      </w:r>
    </w:p>
    <w:p w14:paraId="6A4C8992" w14:textId="58608D16" w:rsidR="003A47F2" w:rsidRDefault="003A47F2" w:rsidP="003A47F2">
      <w:pPr>
        <w:pStyle w:val="Titulek"/>
        <w:keepNext/>
      </w:pPr>
      <w:r>
        <w:t xml:space="preserve">Graf </w:t>
      </w:r>
      <w:r>
        <w:fldChar w:fldCharType="begin"/>
      </w:r>
      <w:r>
        <w:instrText xml:space="preserve"> SEQ Graf \* ARABIC </w:instrText>
      </w:r>
      <w:r>
        <w:fldChar w:fldCharType="separate"/>
      </w:r>
      <w:r w:rsidR="00497F80">
        <w:rPr>
          <w:noProof/>
        </w:rPr>
        <w:t>24</w:t>
      </w:r>
      <w:r>
        <w:fldChar w:fldCharType="end"/>
      </w:r>
      <w:r>
        <w:t xml:space="preserve"> </w:t>
      </w:r>
      <w:r w:rsidR="00A4318E">
        <w:t xml:space="preserve"> </w:t>
      </w:r>
      <w:r w:rsidR="006B14B4">
        <w:t>Podíl automobilů podle velikosti obce (2025, %)</w:t>
      </w:r>
    </w:p>
    <w:p w14:paraId="340DD213" w14:textId="489C202F" w:rsidR="003A47F2" w:rsidRDefault="006B14B4" w:rsidP="003A47F2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noProof/>
        </w:rPr>
        <w:drawing>
          <wp:inline distT="0" distB="0" distL="0" distR="0" wp14:anchorId="288B763B" wp14:editId="11ED3C51">
            <wp:extent cx="5759450" cy="2600325"/>
            <wp:effectExtent l="0" t="0" r="0" b="9525"/>
            <wp:docPr id="750691617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BA9A8147-A92F-4DF6-A271-DF3D4ECD397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14:paraId="1140EAC3" w14:textId="77777777" w:rsidR="003A47F2" w:rsidRDefault="003A47F2" w:rsidP="003A47F2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69D5A361" w14:textId="77777777" w:rsidR="006B14B4" w:rsidRDefault="006B14B4" w:rsidP="003A47F2"/>
    <w:p w14:paraId="61DAFD40" w14:textId="67FD17A5" w:rsidR="00FD580B" w:rsidRDefault="00FD580B" w:rsidP="003A47F2">
      <w:r>
        <w:t xml:space="preserve">Kromě počtu aut se </w:t>
      </w:r>
      <w:r w:rsidRPr="00461B2C">
        <w:t>zkoum</w:t>
      </w:r>
      <w:r>
        <w:t xml:space="preserve">al také jejich druh paliva nebo </w:t>
      </w:r>
      <w:r w:rsidRPr="00461B2C">
        <w:t>pohonn</w:t>
      </w:r>
      <w:r>
        <w:t xml:space="preserve">á </w:t>
      </w:r>
      <w:r w:rsidRPr="00461B2C">
        <w:t>jednotk</w:t>
      </w:r>
      <w:r>
        <w:t xml:space="preserve">a nejnovějšího </w:t>
      </w:r>
      <w:r w:rsidRPr="00461B2C">
        <w:t>automobilu</w:t>
      </w:r>
      <w:r>
        <w:t xml:space="preserve"> v rámci domácnosti. </w:t>
      </w:r>
      <w:r w:rsidR="006B14B4">
        <w:t>Nejvíce aut jezdí na benzín, přes 60 %. V</w:t>
      </w:r>
      <w:r w:rsidRPr="00461B2C">
        <w:t>ozy se vznětovým motorem</w:t>
      </w:r>
      <w:r>
        <w:t xml:space="preserve">, které spalují </w:t>
      </w:r>
      <w:r w:rsidRPr="00461B2C">
        <w:t>naftu</w:t>
      </w:r>
      <w:r>
        <w:t>, zaujímají více než třetinu všech aut. Asi 2 % jsou hy</w:t>
      </w:r>
      <w:r w:rsidRPr="00D9051D">
        <w:t>bridní vozy</w:t>
      </w:r>
      <w:r>
        <w:t xml:space="preserve">, které </w:t>
      </w:r>
      <w:r w:rsidRPr="00D9051D">
        <w:t>kombinují různé zdroje energie</w:t>
      </w:r>
      <w:r w:rsidR="006B14B4">
        <w:t xml:space="preserve"> </w:t>
      </w:r>
      <w:r w:rsidRPr="00D9051D">
        <w:t>– elektřinu a standardní palivo</w:t>
      </w:r>
      <w:r>
        <w:t>.</w:t>
      </w:r>
      <w:r w:rsidR="006B14B4">
        <w:t xml:space="preserve"> Výhradně e</w:t>
      </w:r>
      <w:r>
        <w:t>lektromobil s</w:t>
      </w:r>
      <w:r w:rsidR="006B14B4">
        <w:t xml:space="preserve"> čistě </w:t>
      </w:r>
      <w:r w:rsidRPr="00D9051D">
        <w:t>elektrický</w:t>
      </w:r>
      <w:r>
        <w:t>m</w:t>
      </w:r>
      <w:r w:rsidRPr="00D9051D">
        <w:t xml:space="preserve"> motor</w:t>
      </w:r>
      <w:r>
        <w:t>em m</w:t>
      </w:r>
      <w:r w:rsidR="006B14B4">
        <w:t xml:space="preserve">á </w:t>
      </w:r>
      <w:r>
        <w:t>0,7 %</w:t>
      </w:r>
      <w:r w:rsidR="006B14B4">
        <w:t xml:space="preserve"> českých domácností. </w:t>
      </w:r>
      <w:r>
        <w:t>Přes jedno procento aut</w:t>
      </w:r>
      <w:r w:rsidRPr="0067099D">
        <w:t xml:space="preserve"> jezdí na </w:t>
      </w:r>
      <w:r w:rsidRPr="00D9051D">
        <w:t>stlačený zemní plyn (CNG)</w:t>
      </w:r>
      <w:r>
        <w:t xml:space="preserve">, </w:t>
      </w:r>
      <w:r w:rsidRPr="00D9051D">
        <w:t>zkapalněný zemní plyn (LPG)</w:t>
      </w:r>
      <w:r>
        <w:t xml:space="preserve"> nebo </w:t>
      </w:r>
      <w:r w:rsidRPr="0067099D">
        <w:t>vodík</w:t>
      </w:r>
      <w:r>
        <w:t xml:space="preserve">, případně mají </w:t>
      </w:r>
      <w:r w:rsidRPr="0067099D">
        <w:t>dvoupalivov</w:t>
      </w:r>
      <w:r>
        <w:t>é motory.</w:t>
      </w:r>
    </w:p>
    <w:p w14:paraId="3298AB11" w14:textId="7F90782C" w:rsidR="00FD580B" w:rsidRDefault="00FD580B" w:rsidP="00FD580B">
      <w:pPr>
        <w:pStyle w:val="Titulek"/>
        <w:keepNext/>
      </w:pPr>
      <w:r>
        <w:t xml:space="preserve">Graf </w:t>
      </w:r>
      <w:r>
        <w:fldChar w:fldCharType="begin"/>
      </w:r>
      <w:r>
        <w:instrText xml:space="preserve"> SEQ Graf \* ARABIC </w:instrText>
      </w:r>
      <w:r>
        <w:fldChar w:fldCharType="separate"/>
      </w:r>
      <w:r w:rsidR="00497F80">
        <w:rPr>
          <w:noProof/>
        </w:rPr>
        <w:t>25</w:t>
      </w:r>
      <w:r>
        <w:fldChar w:fldCharType="end"/>
      </w:r>
      <w:r>
        <w:t xml:space="preserve">  </w:t>
      </w:r>
      <w:r w:rsidRPr="00103EAF">
        <w:t>Druh paliva u nejnovějšího automobilu (2025, %)</w:t>
      </w:r>
    </w:p>
    <w:p w14:paraId="255E6D6D" w14:textId="20732F82" w:rsidR="00FD580B" w:rsidRDefault="00FD580B" w:rsidP="003A47F2">
      <w:pPr>
        <w:pStyle w:val="Titulek"/>
        <w:keepNext/>
      </w:pPr>
      <w:r>
        <w:rPr>
          <w:noProof/>
        </w:rPr>
        <w:drawing>
          <wp:inline distT="0" distB="0" distL="0" distR="0" wp14:anchorId="7DF25302" wp14:editId="0F515377">
            <wp:extent cx="5759450" cy="2181225"/>
            <wp:effectExtent l="0" t="0" r="0" b="9525"/>
            <wp:docPr id="1506491635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4E89EC2C-FBBC-4C94-B704-C96ED2BC64D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0749489D" w14:textId="3E19A676" w:rsidR="003A47F2" w:rsidRDefault="003A47F2" w:rsidP="000F3EA9">
      <w:pPr>
        <w:spacing w:after="0"/>
      </w:pPr>
      <w:r>
        <w:t>Jed</w:t>
      </w:r>
      <w:r w:rsidR="006B14B4">
        <w:t>e</w:t>
      </w:r>
      <w:r>
        <w:t>n</w:t>
      </w:r>
      <w:r w:rsidR="006B14B4">
        <w:t xml:space="preserve"> </w:t>
      </w:r>
      <w:r>
        <w:t>z</w:t>
      </w:r>
      <w:r w:rsidR="006B14B4">
        <w:t xml:space="preserve"> dotazů mířil také na </w:t>
      </w:r>
      <w:r w:rsidRPr="002A330E">
        <w:t>oblast renovací domů</w:t>
      </w:r>
      <w:r w:rsidR="000F3EA9">
        <w:t xml:space="preserve"> a </w:t>
      </w:r>
      <w:r w:rsidRPr="002A330E">
        <w:t>bytů,</w:t>
      </w:r>
      <w:r w:rsidR="000F3EA9">
        <w:t xml:space="preserve"> </w:t>
      </w:r>
      <w:r w:rsidRPr="002A330E">
        <w:t>především</w:t>
      </w:r>
      <w:r w:rsidR="000F3EA9">
        <w:t xml:space="preserve"> </w:t>
      </w:r>
      <w:r w:rsidRPr="002A330E">
        <w:t xml:space="preserve">z hlediska zvyšování energetické účinnosti bydlení. </w:t>
      </w:r>
      <w:r>
        <w:t xml:space="preserve">Více než </w:t>
      </w:r>
      <w:r w:rsidRPr="002A330E">
        <w:t>dvě třetiny domácností uvedly, že mají zateplenou fasádu, střechu nebo podlahy</w:t>
      </w:r>
      <w:r w:rsidR="000F3EA9">
        <w:t xml:space="preserve">. </w:t>
      </w:r>
      <w:r w:rsidRPr="002A330E">
        <w:t>Pokud jde o výměnu starých netěsnících oken za nová, s lepšími termo-izolačními vlastnostmi,</w:t>
      </w:r>
      <w:r>
        <w:t xml:space="preserve"> </w:t>
      </w:r>
      <w:r w:rsidRPr="002A330E">
        <w:t>je</w:t>
      </w:r>
      <w:r>
        <w:t xml:space="preserve"> zjevné</w:t>
      </w:r>
      <w:r w:rsidRPr="002A330E">
        <w:t xml:space="preserve">, že </w:t>
      </w:r>
      <w:r>
        <w:t xml:space="preserve">naprostá </w:t>
      </w:r>
      <w:r w:rsidRPr="002A330E">
        <w:t>většina domácností (</w:t>
      </w:r>
      <w:r>
        <w:t>91</w:t>
      </w:r>
      <w:r w:rsidRPr="002A330E">
        <w:t>,</w:t>
      </w:r>
      <w:r>
        <w:t xml:space="preserve">1 </w:t>
      </w:r>
      <w:r w:rsidRPr="002A330E">
        <w:t>%) již má okna s dvojitými nebo trojitými skly</w:t>
      </w:r>
      <w:r>
        <w:t>. Oproti roku 2023</w:t>
      </w:r>
      <w:r w:rsidRPr="002A330E">
        <w:t>,</w:t>
      </w:r>
      <w:r>
        <w:t xml:space="preserve"> kdy </w:t>
      </w:r>
      <w:r w:rsidRPr="002A330E">
        <w:t>respondent</w:t>
      </w:r>
      <w:r>
        <w:t xml:space="preserve">i odpovídali na stejný dotaz, </w:t>
      </w:r>
      <w:r w:rsidRPr="002A330E">
        <w:t>t</w:t>
      </w:r>
      <w:r>
        <w:t xml:space="preserve">ěchto </w:t>
      </w:r>
      <w:r w:rsidRPr="002A330E">
        <w:t>renovac</w:t>
      </w:r>
      <w:r>
        <w:t xml:space="preserve">í pro úsporu energií </w:t>
      </w:r>
      <w:r w:rsidRPr="002A330E">
        <w:t>post</w:t>
      </w:r>
      <w:r>
        <w:t xml:space="preserve">upně mírně přibývá. </w:t>
      </w:r>
    </w:p>
    <w:p w14:paraId="1E2CF758" w14:textId="77777777" w:rsidR="009A6250" w:rsidRDefault="009A6250" w:rsidP="000F3EA9">
      <w:pPr>
        <w:spacing w:after="0"/>
      </w:pPr>
    </w:p>
    <w:p w14:paraId="5D245AC5" w14:textId="1E266A71" w:rsidR="003A47F2" w:rsidRDefault="003A47F2" w:rsidP="006B14B4">
      <w:pPr>
        <w:pStyle w:val="Titulek"/>
        <w:keepNext/>
        <w:spacing w:before="120"/>
      </w:pPr>
      <w:r>
        <w:t xml:space="preserve">Graf </w:t>
      </w:r>
      <w:r>
        <w:fldChar w:fldCharType="begin"/>
      </w:r>
      <w:r>
        <w:instrText xml:space="preserve"> SEQ Graf \* ARABIC </w:instrText>
      </w:r>
      <w:r>
        <w:fldChar w:fldCharType="separate"/>
      </w:r>
      <w:r w:rsidR="00497F80">
        <w:rPr>
          <w:noProof/>
        </w:rPr>
        <w:t>26</w:t>
      </w:r>
      <w:r>
        <w:fldChar w:fldCharType="end"/>
      </w:r>
      <w:r>
        <w:t xml:space="preserve"> </w:t>
      </w:r>
      <w:r w:rsidR="00A4318E">
        <w:t xml:space="preserve"> </w:t>
      </w:r>
      <w:r w:rsidRPr="00366F6B">
        <w:t>Renovace domů a bytů – zateplení a okna (2023 a 2025, %)</w:t>
      </w:r>
    </w:p>
    <w:p w14:paraId="6D6BFAF7" w14:textId="77777777" w:rsidR="003A47F2" w:rsidRDefault="003A47F2" w:rsidP="003A47F2">
      <w:pPr>
        <w:spacing w:after="0" w:line="288" w:lineRule="auto"/>
        <w:jc w:val="center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  <w:noProof/>
        </w:rPr>
        <w:drawing>
          <wp:inline distT="0" distB="0" distL="0" distR="0" wp14:anchorId="2902A44D" wp14:editId="4050A289">
            <wp:extent cx="5759450" cy="2952750"/>
            <wp:effectExtent l="0" t="0" r="0" b="0"/>
            <wp:docPr id="1399070641" name="Obrázek 2" descr="Obsah obrázku text, snímek obrazovky, Písmo, číslo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070641" name="Obrázek 2" descr="Obsah obrázku text, snímek obrazovky, Písmo, číslo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4" cy="2953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77BD54" w14:textId="77777777" w:rsidR="006B14B4" w:rsidRDefault="006B14B4" w:rsidP="003A47F2">
      <w:pPr>
        <w:spacing w:after="0" w:line="240" w:lineRule="auto"/>
        <w:jc w:val="right"/>
        <w:rPr>
          <w:rFonts w:ascii="Arial Narrow" w:eastAsia="Times New Roman" w:hAnsi="Arial Narrow" w:cs="Arial"/>
          <w:color w:val="0071BC"/>
          <w:szCs w:val="20"/>
          <w:lang w:eastAsia="ar-SA"/>
        </w:rPr>
      </w:pPr>
    </w:p>
    <w:p w14:paraId="1E025601" w14:textId="77777777" w:rsidR="006B14B4" w:rsidRDefault="006B14B4" w:rsidP="003A47F2">
      <w:pPr>
        <w:spacing w:after="0" w:line="240" w:lineRule="auto"/>
        <w:jc w:val="right"/>
        <w:rPr>
          <w:rFonts w:ascii="Arial Narrow" w:eastAsia="Times New Roman" w:hAnsi="Arial Narrow" w:cs="Arial"/>
          <w:color w:val="0071BC"/>
          <w:szCs w:val="20"/>
          <w:lang w:eastAsia="ar-SA"/>
        </w:rPr>
      </w:pPr>
    </w:p>
    <w:p w14:paraId="4A7E237C" w14:textId="77777777" w:rsidR="006B14B4" w:rsidRDefault="006B14B4" w:rsidP="003A47F2">
      <w:pPr>
        <w:spacing w:after="0" w:line="240" w:lineRule="auto"/>
        <w:jc w:val="right"/>
        <w:rPr>
          <w:rFonts w:ascii="Arial Narrow" w:eastAsia="Times New Roman" w:hAnsi="Arial Narrow" w:cs="Arial"/>
          <w:color w:val="0071BC"/>
          <w:szCs w:val="20"/>
          <w:lang w:eastAsia="ar-SA"/>
        </w:rPr>
      </w:pPr>
    </w:p>
    <w:p w14:paraId="09302F4E" w14:textId="5AAA1896" w:rsidR="003A47F2" w:rsidRDefault="000F3EA9" w:rsidP="003A47F2">
      <w:pPr>
        <w:spacing w:after="0" w:line="240" w:lineRule="auto"/>
        <w:jc w:val="right"/>
        <w:rPr>
          <w:rFonts w:ascii="Arial Narrow" w:eastAsia="Times New Roman" w:hAnsi="Arial Narrow" w:cs="Arial"/>
          <w:color w:val="0071BC"/>
          <w:szCs w:val="20"/>
          <w:lang w:eastAsia="ar-SA"/>
        </w:rPr>
      </w:pPr>
      <w:r w:rsidRPr="00F05D31">
        <w:rPr>
          <w:rFonts w:ascii="Arial Narrow" w:hAnsi="Arial Narrow" w:cs="Arial"/>
          <w:b/>
          <w:noProof/>
        </w:rPr>
        <w:drawing>
          <wp:anchor distT="0" distB="0" distL="114300" distR="114300" simplePos="0" relativeHeight="251677696" behindDoc="0" locked="0" layoutInCell="1" allowOverlap="1" wp14:anchorId="10BEBC52" wp14:editId="32A0D172">
            <wp:simplePos x="0" y="0"/>
            <wp:positionH relativeFrom="column">
              <wp:posOffset>4595495</wp:posOffset>
            </wp:positionH>
            <wp:positionV relativeFrom="paragraph">
              <wp:posOffset>5715</wp:posOffset>
            </wp:positionV>
            <wp:extent cx="1104900" cy="737870"/>
            <wp:effectExtent l="0" t="0" r="0" b="5080"/>
            <wp:wrapSquare wrapText="bothSides"/>
            <wp:docPr id="1243840236" name="Obrázek 4" descr="Obsah obrázku vlajka, hvězda, symbol, modrá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840236" name="Obrázek 4" descr="Obsah obrázku vlajka, hvězda, symbol, modrá&#10;&#10;Obsah generovaný pomocí AI může být nesprávný."/>
                    <pic:cNvPicPr>
                      <a:picLocks noChangeAspect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937B29" w14:textId="77777777" w:rsidR="003A47F2" w:rsidRDefault="003A47F2" w:rsidP="003A47F2">
      <w:pPr>
        <w:spacing w:after="0" w:line="240" w:lineRule="auto"/>
        <w:jc w:val="right"/>
        <w:rPr>
          <w:rFonts w:ascii="Arial Narrow" w:eastAsia="Times New Roman" w:hAnsi="Arial Narrow" w:cs="Arial"/>
          <w:color w:val="0071BC"/>
          <w:szCs w:val="20"/>
          <w:lang w:eastAsia="ar-SA"/>
        </w:rPr>
      </w:pPr>
    </w:p>
    <w:p w14:paraId="594FCCD3" w14:textId="67445148" w:rsidR="006B14B4" w:rsidRPr="006B14B4" w:rsidRDefault="000F3EA9" w:rsidP="000F3EA9">
      <w:pPr>
        <w:pStyle w:val="Default"/>
        <w:spacing w:line="288" w:lineRule="auto"/>
        <w:rPr>
          <w:i/>
          <w:color w:val="0071BC"/>
          <w:sz w:val="22"/>
          <w:szCs w:val="22"/>
          <w:u w:val="single"/>
        </w:rPr>
      </w:pPr>
      <w:r w:rsidRPr="00DC4945">
        <w:rPr>
          <w:sz w:val="22"/>
          <w:szCs w:val="22"/>
        </w:rPr>
        <w:t>Publikace s výsledky šetření Životní podmínky 2025 je dostupná na</w:t>
      </w:r>
      <w:r>
        <w:rPr>
          <w:sz w:val="22"/>
          <w:szCs w:val="22"/>
        </w:rPr>
        <w:t> </w:t>
      </w:r>
      <w:r w:rsidRPr="00DC4945">
        <w:rPr>
          <w:sz w:val="22"/>
          <w:szCs w:val="22"/>
        </w:rPr>
        <w:t xml:space="preserve">webových stránkách ČSÚ: </w:t>
      </w:r>
      <w:hyperlink r:id="rId44" w:history="1">
        <w:r w:rsidRPr="00DC4945">
          <w:rPr>
            <w:rStyle w:val="Hypertextovodkaz"/>
            <w:i/>
            <w:color w:val="0071BC"/>
            <w:sz w:val="22"/>
            <w:szCs w:val="22"/>
          </w:rPr>
          <w:t>Životní podmínky 2025</w:t>
        </w:r>
      </w:hyperlink>
      <w:r w:rsidRPr="00DC4945">
        <w:rPr>
          <w:rStyle w:val="Hypertextovodkaz"/>
          <w:i/>
          <w:color w:val="0071BC"/>
          <w:sz w:val="22"/>
          <w:szCs w:val="22"/>
        </w:rPr>
        <w:t xml:space="preserve"> </w:t>
      </w:r>
    </w:p>
    <w:p w14:paraId="6CE893BB" w14:textId="2FBC2C03" w:rsidR="003A47F2" w:rsidRDefault="003A47F2" w:rsidP="003A47F2">
      <w:pPr>
        <w:spacing w:after="0" w:line="240" w:lineRule="auto"/>
        <w:jc w:val="right"/>
        <w:rPr>
          <w:rFonts w:ascii="Arial Narrow" w:eastAsia="Times New Roman" w:hAnsi="Arial Narrow" w:cs="Arial"/>
          <w:color w:val="0071BC"/>
          <w:szCs w:val="20"/>
          <w:lang w:eastAsia="ar-SA"/>
        </w:rPr>
      </w:pPr>
    </w:p>
    <w:p w14:paraId="53DA92A8" w14:textId="06D3E570" w:rsidR="00DC4945" w:rsidRDefault="003A47F2" w:rsidP="003A47F2">
      <w:pPr>
        <w:spacing w:after="0" w:line="240" w:lineRule="auto"/>
        <w:jc w:val="right"/>
        <w:rPr>
          <w:rFonts w:eastAsia="Times New Roman" w:cs="Arial"/>
          <w:color w:val="0071BC"/>
          <w:szCs w:val="20"/>
          <w:lang w:eastAsia="ar-SA"/>
        </w:rPr>
      </w:pPr>
      <w:r w:rsidRPr="00DC4945">
        <w:rPr>
          <w:rFonts w:eastAsia="Times New Roman" w:cs="Arial"/>
          <w:color w:val="0071BC"/>
          <w:szCs w:val="20"/>
          <w:lang w:eastAsia="ar-SA"/>
        </w:rPr>
        <w:t xml:space="preserve">Modul EU-SILC 2025 byl </w:t>
      </w:r>
    </w:p>
    <w:p w14:paraId="3F508DC9" w14:textId="27625035" w:rsidR="006B14B4" w:rsidRDefault="003A47F2" w:rsidP="002271B6">
      <w:pPr>
        <w:spacing w:line="240" w:lineRule="auto"/>
        <w:jc w:val="right"/>
        <w:rPr>
          <w:rFonts w:eastAsia="Times New Roman" w:cs="Arial"/>
          <w:color w:val="0071BC"/>
          <w:szCs w:val="20"/>
          <w:lang w:eastAsia="ar-SA"/>
        </w:rPr>
      </w:pPr>
      <w:r w:rsidRPr="00DC4945">
        <w:rPr>
          <w:rFonts w:eastAsia="Times New Roman" w:cs="Arial"/>
          <w:color w:val="0071BC"/>
          <w:szCs w:val="20"/>
          <w:lang w:eastAsia="ar-SA"/>
        </w:rPr>
        <w:t>spolufinancován grantem EU</w:t>
      </w:r>
    </w:p>
    <w:p w14:paraId="63E4D33D" w14:textId="5D315E54" w:rsidR="003A47F2" w:rsidRPr="00DC4945" w:rsidRDefault="003A47F2" w:rsidP="003A47F2">
      <w:pPr>
        <w:spacing w:after="0" w:line="240" w:lineRule="auto"/>
        <w:rPr>
          <w:rFonts w:cs="Arial"/>
          <w:sz w:val="16"/>
          <w:szCs w:val="16"/>
          <w:u w:val="single"/>
          <w:lang w:eastAsia="cs-CZ"/>
        </w:rPr>
      </w:pPr>
      <w:r w:rsidRPr="00DC4945">
        <w:rPr>
          <w:rFonts w:cs="Arial"/>
          <w:b/>
          <w:sz w:val="16"/>
          <w:szCs w:val="16"/>
        </w:rPr>
        <w:t>Kontakt:</w:t>
      </w:r>
    </w:p>
    <w:tbl>
      <w:tblPr>
        <w:tblW w:w="9781" w:type="dxa"/>
        <w:tblInd w:w="-113" w:type="dxa"/>
        <w:tblLook w:val="04A0" w:firstRow="1" w:lastRow="0" w:firstColumn="1" w:lastColumn="0" w:noHBand="0" w:noVBand="1"/>
      </w:tblPr>
      <w:tblGrid>
        <w:gridCol w:w="4614"/>
        <w:gridCol w:w="5167"/>
      </w:tblGrid>
      <w:tr w:rsidR="003A47F2" w:rsidRPr="00DC4945" w14:paraId="520C6EDE" w14:textId="77777777" w:rsidTr="000F3EA9">
        <w:trPr>
          <w:cantSplit/>
          <w:trHeight w:hRule="exact" w:val="794"/>
        </w:trPr>
        <w:tc>
          <w:tcPr>
            <w:tcW w:w="4614" w:type="dxa"/>
            <w:hideMark/>
          </w:tcPr>
          <w:p w14:paraId="5C88C212" w14:textId="65B69C13" w:rsidR="003A47F2" w:rsidRPr="00DC4945" w:rsidRDefault="003A47F2" w:rsidP="009B7C0E">
            <w:pPr>
              <w:spacing w:after="0" w:line="240" w:lineRule="auto"/>
              <w:ind w:left="601" w:right="-284" w:hanging="601"/>
              <w:rPr>
                <w:rFonts w:cs="Arial"/>
                <w:sz w:val="17"/>
                <w:szCs w:val="17"/>
              </w:rPr>
            </w:pPr>
            <w:r w:rsidRPr="00DC4945">
              <w:rPr>
                <w:rFonts w:cs="Arial"/>
                <w:sz w:val="17"/>
                <w:szCs w:val="17"/>
              </w:rPr>
              <w:t>Ing. Táňa Dvornáková, odbor šetření v domácnostech ČSÚ</w:t>
            </w:r>
          </w:p>
          <w:p w14:paraId="058A107F" w14:textId="7C643BE7" w:rsidR="003A47F2" w:rsidRPr="00DC4945" w:rsidRDefault="003A47F2" w:rsidP="009B7C0E">
            <w:pPr>
              <w:spacing w:after="0" w:line="240" w:lineRule="auto"/>
              <w:rPr>
                <w:rFonts w:cs="Arial"/>
                <w:sz w:val="17"/>
                <w:szCs w:val="17"/>
              </w:rPr>
            </w:pPr>
            <w:r w:rsidRPr="00DC4945">
              <w:rPr>
                <w:rFonts w:cs="Arial"/>
                <w:sz w:val="17"/>
                <w:szCs w:val="17"/>
              </w:rPr>
              <w:t xml:space="preserve">tel.: 274 05 4360, e-mail: </w:t>
            </w:r>
            <w:hyperlink r:id="rId45" w:history="1">
              <w:r w:rsidR="00497F80" w:rsidRPr="00BC21DC">
                <w:rPr>
                  <w:rStyle w:val="Hypertextovodkaz"/>
                  <w:rFonts w:cs="Arial"/>
                  <w:sz w:val="17"/>
                  <w:szCs w:val="17"/>
                </w:rPr>
                <w:t>tana.dvornakova@csu.gov.cz</w:t>
              </w:r>
            </w:hyperlink>
            <w:r w:rsidR="00497F80">
              <w:rPr>
                <w:rFonts w:cs="Arial"/>
                <w:sz w:val="17"/>
                <w:szCs w:val="17"/>
              </w:rPr>
              <w:t xml:space="preserve"> </w:t>
            </w:r>
          </w:p>
        </w:tc>
        <w:tc>
          <w:tcPr>
            <w:tcW w:w="5167" w:type="dxa"/>
            <w:hideMark/>
          </w:tcPr>
          <w:p w14:paraId="1CA79774" w14:textId="77777777" w:rsidR="003A47F2" w:rsidRPr="00DC4945" w:rsidRDefault="003A47F2" w:rsidP="009B7C0E">
            <w:pPr>
              <w:spacing w:after="0" w:line="240" w:lineRule="auto"/>
              <w:ind w:left="601" w:right="-284" w:hanging="601"/>
              <w:rPr>
                <w:rFonts w:cs="Arial"/>
                <w:sz w:val="17"/>
                <w:szCs w:val="17"/>
              </w:rPr>
            </w:pPr>
            <w:r w:rsidRPr="00DC4945">
              <w:rPr>
                <w:rFonts w:cs="Arial"/>
                <w:sz w:val="17"/>
                <w:szCs w:val="17"/>
              </w:rPr>
              <w:t>RNDr. Simona Měřinská, odbor šetření v domácnostech ČSÚ</w:t>
            </w:r>
          </w:p>
          <w:p w14:paraId="646A0346" w14:textId="1909C8A0" w:rsidR="003A47F2" w:rsidRPr="00DC4945" w:rsidRDefault="003A47F2" w:rsidP="009B7C0E">
            <w:pPr>
              <w:spacing w:after="0" w:line="240" w:lineRule="auto"/>
              <w:ind w:right="-284"/>
              <w:rPr>
                <w:rFonts w:cs="Arial"/>
                <w:sz w:val="17"/>
                <w:szCs w:val="17"/>
              </w:rPr>
            </w:pPr>
            <w:r w:rsidRPr="00DC4945">
              <w:rPr>
                <w:rFonts w:cs="Arial"/>
                <w:sz w:val="17"/>
                <w:szCs w:val="17"/>
              </w:rPr>
              <w:t xml:space="preserve">tel.: 274 05 2345, e-mail: </w:t>
            </w:r>
            <w:hyperlink r:id="rId46" w:history="1">
              <w:r w:rsidR="00DC4945" w:rsidRPr="00DC4945">
                <w:rPr>
                  <w:rStyle w:val="Hypertextovodkaz"/>
                  <w:rFonts w:cs="Arial"/>
                  <w:sz w:val="17"/>
                  <w:szCs w:val="17"/>
                </w:rPr>
                <w:t>simona.merinska@csu.gov.cz</w:t>
              </w:r>
            </w:hyperlink>
          </w:p>
        </w:tc>
      </w:tr>
    </w:tbl>
    <w:p w14:paraId="7E59E930" w14:textId="7980AAEE" w:rsidR="00DC4945" w:rsidRDefault="00DC4945" w:rsidP="00380147">
      <w:pPr>
        <w:pStyle w:val="2Text0"/>
        <w:spacing w:before="0" w:after="0" w:line="100" w:lineRule="exact"/>
        <w:rPr>
          <w:rFonts w:ascii="Arial" w:hAnsi="Arial" w:cs="Arial"/>
          <w:b/>
          <w:sz w:val="26"/>
          <w:szCs w:val="26"/>
        </w:rPr>
      </w:pPr>
    </w:p>
    <w:sectPr w:rsidR="00DC4945" w:rsidSect="002E27F1">
      <w:headerReference w:type="even" r:id="rId47"/>
      <w:footerReference w:type="even" r:id="rId48"/>
      <w:footerReference w:type="default" r:id="rId49"/>
      <w:headerReference w:type="first" r:id="rId50"/>
      <w:type w:val="continuous"/>
      <w:pgSz w:w="11906" w:h="16838" w:code="9"/>
      <w:pgMar w:top="1077" w:right="1418" w:bottom="510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6EC9A" w14:textId="77777777" w:rsidR="004A4F52" w:rsidRDefault="004A4F52">
      <w:r>
        <w:separator/>
      </w:r>
    </w:p>
  </w:endnote>
  <w:endnote w:type="continuationSeparator" w:id="0">
    <w:p w14:paraId="1ECBE6D2" w14:textId="77777777" w:rsidR="004A4F52" w:rsidRDefault="004A4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65C9C" w14:textId="77777777" w:rsidR="00B33C33" w:rsidRDefault="00B33C3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78BA53C" w14:textId="77777777" w:rsidR="00B33C33" w:rsidRDefault="00B33C33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8F897" w14:textId="77777777" w:rsidR="00B33C33" w:rsidRDefault="00B33C33">
    <w:pPr>
      <w:pStyle w:val="Zpat"/>
      <w:ind w:right="360" w:hanging="1417"/>
      <w:jc w:val="center"/>
      <w:rPr>
        <w:rFonts w:ascii="Arial Narrow" w:hAnsi="Arial Narrow"/>
        <w:color w:val="5F5F5F"/>
        <w:sz w:val="16"/>
      </w:rPr>
    </w:pPr>
  </w:p>
  <w:p w14:paraId="1FE580B7" w14:textId="1E8B1179" w:rsidR="00B33C33" w:rsidRDefault="00B33C33">
    <w:pPr>
      <w:pStyle w:val="Zpat"/>
      <w:framePr w:wrap="notBeside" w:vAnchor="page" w:hAnchor="page" w:x="11137" w:y="16047"/>
      <w:rPr>
        <w:rStyle w:val="slostrnky"/>
        <w:color w:val="5F5F5F"/>
      </w:rPr>
    </w:pPr>
    <w:r>
      <w:rPr>
        <w:rStyle w:val="slostrnky"/>
        <w:color w:val="5F5F5F"/>
      </w:rPr>
      <w:fldChar w:fldCharType="begin"/>
    </w:r>
    <w:r>
      <w:rPr>
        <w:rStyle w:val="slostrnky"/>
        <w:color w:val="5F5F5F"/>
      </w:rPr>
      <w:instrText xml:space="preserve">PAGE  </w:instrText>
    </w:r>
    <w:r>
      <w:rPr>
        <w:rStyle w:val="slostrnky"/>
        <w:color w:val="5F5F5F"/>
      </w:rPr>
      <w:fldChar w:fldCharType="separate"/>
    </w:r>
    <w:r w:rsidR="005A7D7A">
      <w:rPr>
        <w:rStyle w:val="slostrnky"/>
        <w:noProof/>
        <w:color w:val="5F5F5F"/>
      </w:rPr>
      <w:t>16</w:t>
    </w:r>
    <w:r>
      <w:rPr>
        <w:rStyle w:val="slostrnky"/>
        <w:color w:val="5F5F5F"/>
      </w:rPr>
      <w:fldChar w:fldCharType="end"/>
    </w:r>
  </w:p>
  <w:p w14:paraId="4287A760" w14:textId="77777777" w:rsidR="00B33C33" w:rsidRDefault="00B33C33">
    <w:pPr>
      <w:pStyle w:val="Zpat"/>
      <w:jc w:val="center"/>
      <w:rPr>
        <w:color w:val="5F5F5F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19371" w14:textId="77777777" w:rsidR="004A4F52" w:rsidRDefault="004A4F52">
      <w:r>
        <w:separator/>
      </w:r>
    </w:p>
  </w:footnote>
  <w:footnote w:type="continuationSeparator" w:id="0">
    <w:p w14:paraId="7737F8AE" w14:textId="77777777" w:rsidR="004A4F52" w:rsidRDefault="004A4F52">
      <w:r>
        <w:continuationSeparator/>
      </w:r>
    </w:p>
  </w:footnote>
  <w:footnote w:id="1">
    <w:p w14:paraId="07DE751A" w14:textId="27A3C548" w:rsidR="005A3EC1" w:rsidRPr="00321353" w:rsidRDefault="005A3EC1" w:rsidP="00004A55">
      <w:pPr>
        <w:pStyle w:val="Textpoznpodarou"/>
        <w:rPr>
          <w:lang w:val="cs-CZ"/>
        </w:rPr>
      </w:pPr>
      <w:r w:rsidRPr="00533212">
        <w:rPr>
          <w:rStyle w:val="Znakapoznpodarou"/>
          <w:sz w:val="18"/>
          <w:szCs w:val="18"/>
        </w:rPr>
        <w:footnoteRef/>
      </w:r>
      <w:r w:rsidRPr="00533212">
        <w:rPr>
          <w:sz w:val="18"/>
          <w:szCs w:val="18"/>
        </w:rPr>
        <w:t xml:space="preserve"> Za závislé děti jsou považovány všechny děti do 17 let včetně a dále děti ve věku 18 - 24 let, pokud v době </w:t>
      </w:r>
      <w:r w:rsidR="00004A55" w:rsidRPr="00533212">
        <w:rPr>
          <w:sz w:val="18"/>
          <w:szCs w:val="18"/>
        </w:rPr>
        <w:t>zjišťování</w:t>
      </w:r>
      <w:r w:rsidRPr="00533212">
        <w:rPr>
          <w:sz w:val="18"/>
          <w:szCs w:val="18"/>
        </w:rPr>
        <w:t xml:space="preserve"> byly neaktivními a žily v domácnosti s alespoň jedním rodičem.</w:t>
      </w:r>
    </w:p>
  </w:footnote>
  <w:footnote w:id="2">
    <w:p w14:paraId="6E0AAABB" w14:textId="77777777" w:rsidR="00B33C33" w:rsidRPr="00E25D4D" w:rsidRDefault="00B33C33">
      <w:pPr>
        <w:pStyle w:val="Textpoznpodarou"/>
        <w:rPr>
          <w:rFonts w:cs="Arial"/>
          <w:sz w:val="18"/>
          <w:szCs w:val="18"/>
          <w:lang w:val="cs-CZ"/>
        </w:rPr>
      </w:pPr>
      <w:r w:rsidRPr="00E25D4D">
        <w:rPr>
          <w:rStyle w:val="Znakapoznpodarou"/>
          <w:rFonts w:cs="Arial"/>
          <w:sz w:val="18"/>
          <w:szCs w:val="18"/>
        </w:rPr>
        <w:footnoteRef/>
      </w:r>
      <w:r w:rsidRPr="00E25D4D">
        <w:rPr>
          <w:rFonts w:cs="Arial"/>
          <w:sz w:val="18"/>
          <w:szCs w:val="18"/>
        </w:rPr>
        <w:t xml:space="preserve"> </w:t>
      </w:r>
      <w:r w:rsidRPr="00E25D4D">
        <w:rPr>
          <w:rFonts w:cs="Arial"/>
          <w:sz w:val="18"/>
          <w:szCs w:val="18"/>
          <w:lang w:val="cs-CZ"/>
        </w:rPr>
        <w:t>Zohledňuje rozdílné složení vícečlenných domácností.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D3FF5" w14:textId="77777777" w:rsidR="00B33C33" w:rsidRDefault="00B33C33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</w:t>
    </w:r>
    <w:r>
      <w:rPr>
        <w:rStyle w:val="slostrnky"/>
      </w:rPr>
      <w:fldChar w:fldCharType="end"/>
    </w:r>
  </w:p>
  <w:p w14:paraId="0ABB793E" w14:textId="77777777" w:rsidR="00B33C33" w:rsidRDefault="00B33C33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EF869" w14:textId="77777777" w:rsidR="00B33C33" w:rsidRDefault="00B33C33">
    <w:pPr>
      <w:pStyle w:val="Zhlav"/>
    </w:pPr>
  </w:p>
  <w:p w14:paraId="313CC776" w14:textId="77777777" w:rsidR="00B33C33" w:rsidRDefault="00B33C3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7D2A"/>
    <w:multiLevelType w:val="hybridMultilevel"/>
    <w:tmpl w:val="EDF6A61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974F5"/>
    <w:multiLevelType w:val="hybridMultilevel"/>
    <w:tmpl w:val="B5368AC2"/>
    <w:lvl w:ilvl="0" w:tplc="B7EECE4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47D2334"/>
    <w:multiLevelType w:val="hybridMultilevel"/>
    <w:tmpl w:val="7304F360"/>
    <w:lvl w:ilvl="0" w:tplc="FD02F8C6">
      <w:start w:val="3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E6FA1"/>
    <w:multiLevelType w:val="hybridMultilevel"/>
    <w:tmpl w:val="C78866AA"/>
    <w:lvl w:ilvl="0" w:tplc="E6AE4164">
      <w:start w:val="1"/>
      <w:numFmt w:val="decimal"/>
      <w:pStyle w:val="5selnodrky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70D06"/>
    <w:multiLevelType w:val="hybridMultilevel"/>
    <w:tmpl w:val="B5368AC2"/>
    <w:lvl w:ilvl="0" w:tplc="B7EECE4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BF7154"/>
    <w:multiLevelType w:val="hybridMultilevel"/>
    <w:tmpl w:val="B5368AC2"/>
    <w:lvl w:ilvl="0" w:tplc="B7EECE4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6A1275F"/>
    <w:multiLevelType w:val="hybridMultilevel"/>
    <w:tmpl w:val="3E50F4A0"/>
    <w:lvl w:ilvl="0" w:tplc="202239A0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64B044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40AB68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9C7E76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7CF152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F63BFC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FCB9F8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E40AD8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341018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7575E13"/>
    <w:multiLevelType w:val="hybridMultilevel"/>
    <w:tmpl w:val="90FC830A"/>
    <w:lvl w:ilvl="0" w:tplc="7A9E85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F0D535C"/>
    <w:multiLevelType w:val="hybridMultilevel"/>
    <w:tmpl w:val="90FC830A"/>
    <w:lvl w:ilvl="0" w:tplc="7A9E85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987D53"/>
    <w:multiLevelType w:val="hybridMultilevel"/>
    <w:tmpl w:val="6D4465BC"/>
    <w:lvl w:ilvl="0" w:tplc="504CCAD8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00E460"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8A0052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02A480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78429E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34EAB2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3ECB6E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8E3BC4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1A2900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0B43380"/>
    <w:multiLevelType w:val="hybridMultilevel"/>
    <w:tmpl w:val="EDF2F8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886E92"/>
    <w:multiLevelType w:val="hybridMultilevel"/>
    <w:tmpl w:val="72FE0448"/>
    <w:lvl w:ilvl="0" w:tplc="76A65D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87C747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684E65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A522AD9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DD6297F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CD7E18A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79D8B46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3552F87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1C14771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4B5393B"/>
    <w:multiLevelType w:val="hybridMultilevel"/>
    <w:tmpl w:val="BBD0C806"/>
    <w:lvl w:ilvl="0" w:tplc="497685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DE5F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7A8B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720F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881D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14BA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DCEA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F655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7691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EB265A1"/>
    <w:multiLevelType w:val="hybridMultilevel"/>
    <w:tmpl w:val="32426F4C"/>
    <w:lvl w:ilvl="0" w:tplc="504CCAD8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864F6E">
      <w:numFmt w:val="bullet"/>
      <w:lvlText w:val="®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F8A0052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02A480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78429E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34EAB2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3ECB6E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8E3BC4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1A2900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2F202E1"/>
    <w:multiLevelType w:val="hybridMultilevel"/>
    <w:tmpl w:val="802ECD82"/>
    <w:lvl w:ilvl="0" w:tplc="B5A2B98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E354E7"/>
    <w:multiLevelType w:val="multilevel"/>
    <w:tmpl w:val="EBA26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9074E3B"/>
    <w:multiLevelType w:val="hybridMultilevel"/>
    <w:tmpl w:val="E4C0176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953458A"/>
    <w:multiLevelType w:val="hybridMultilevel"/>
    <w:tmpl w:val="B5368AC2"/>
    <w:lvl w:ilvl="0" w:tplc="B7EECE4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12B30C9"/>
    <w:multiLevelType w:val="hybridMultilevel"/>
    <w:tmpl w:val="B8366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7202C9"/>
    <w:multiLevelType w:val="hybridMultilevel"/>
    <w:tmpl w:val="2828ED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3A4291"/>
    <w:multiLevelType w:val="hybridMultilevel"/>
    <w:tmpl w:val="9E1E6BBA"/>
    <w:lvl w:ilvl="0" w:tplc="2F4A7010">
      <w:start w:val="1"/>
      <w:numFmt w:val="lowerLetter"/>
      <w:pStyle w:val="8aodrky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E27C14"/>
    <w:multiLevelType w:val="hybridMultilevel"/>
    <w:tmpl w:val="A77CEBDC"/>
    <w:lvl w:ilvl="0" w:tplc="12884AC8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98C592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BA22C2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4808A2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5AFE9C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6C220E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04B096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2410C6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72FD88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0AF64AE"/>
    <w:multiLevelType w:val="hybridMultilevel"/>
    <w:tmpl w:val="B5368AC2"/>
    <w:lvl w:ilvl="0" w:tplc="B7EECE4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7673799"/>
    <w:multiLevelType w:val="hybridMultilevel"/>
    <w:tmpl w:val="848C578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9397A55"/>
    <w:multiLevelType w:val="hybridMultilevel"/>
    <w:tmpl w:val="C096DB9A"/>
    <w:lvl w:ilvl="0" w:tplc="04050019">
      <w:start w:val="1"/>
      <w:numFmt w:val="lowerLetter"/>
      <w:lvlText w:val="%1."/>
      <w:lvlJc w:val="left"/>
      <w:pPr>
        <w:ind w:left="2136" w:hanging="360"/>
      </w:pPr>
    </w:lvl>
    <w:lvl w:ilvl="1" w:tplc="04050019" w:tentative="1">
      <w:start w:val="1"/>
      <w:numFmt w:val="lowerLetter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5" w15:restartNumberingAfterBreak="0">
    <w:nsid w:val="6EC37926"/>
    <w:multiLevelType w:val="hybridMultilevel"/>
    <w:tmpl w:val="41DABF00"/>
    <w:lvl w:ilvl="0" w:tplc="2FD8B7AE">
      <w:start w:val="1"/>
      <w:numFmt w:val="lowerLetter"/>
      <w:lvlText w:val="%1)"/>
      <w:lvlJc w:val="left"/>
      <w:pPr>
        <w:ind w:left="720" w:hanging="360"/>
      </w:pPr>
    </w:lvl>
    <w:lvl w:ilvl="1" w:tplc="33B63198">
      <w:start w:val="1"/>
      <w:numFmt w:val="lowerLetter"/>
      <w:lvlText w:val="%2."/>
      <w:lvlJc w:val="left"/>
      <w:pPr>
        <w:ind w:left="1440" w:hanging="360"/>
      </w:pPr>
    </w:lvl>
    <w:lvl w:ilvl="2" w:tplc="0220C356">
      <w:start w:val="1"/>
      <w:numFmt w:val="lowerRoman"/>
      <w:lvlText w:val="%3."/>
      <w:lvlJc w:val="right"/>
      <w:pPr>
        <w:ind w:left="2160" w:hanging="180"/>
      </w:pPr>
    </w:lvl>
    <w:lvl w:ilvl="3" w:tplc="65E0B9A4">
      <w:start w:val="1"/>
      <w:numFmt w:val="decimal"/>
      <w:lvlText w:val="%4."/>
      <w:lvlJc w:val="left"/>
      <w:pPr>
        <w:ind w:left="2880" w:hanging="360"/>
      </w:pPr>
    </w:lvl>
    <w:lvl w:ilvl="4" w:tplc="4708871C">
      <w:start w:val="1"/>
      <w:numFmt w:val="lowerLetter"/>
      <w:lvlText w:val="%5."/>
      <w:lvlJc w:val="left"/>
      <w:pPr>
        <w:ind w:left="3600" w:hanging="360"/>
      </w:pPr>
    </w:lvl>
    <w:lvl w:ilvl="5" w:tplc="C3E025AE">
      <w:start w:val="1"/>
      <w:numFmt w:val="lowerRoman"/>
      <w:lvlText w:val="%6."/>
      <w:lvlJc w:val="right"/>
      <w:pPr>
        <w:ind w:left="4320" w:hanging="180"/>
      </w:pPr>
    </w:lvl>
    <w:lvl w:ilvl="6" w:tplc="05504F04">
      <w:start w:val="1"/>
      <w:numFmt w:val="decimal"/>
      <w:lvlText w:val="%7."/>
      <w:lvlJc w:val="left"/>
      <w:pPr>
        <w:ind w:left="5040" w:hanging="360"/>
      </w:pPr>
    </w:lvl>
    <w:lvl w:ilvl="7" w:tplc="B26A4132">
      <w:start w:val="1"/>
      <w:numFmt w:val="lowerLetter"/>
      <w:lvlText w:val="%8."/>
      <w:lvlJc w:val="left"/>
      <w:pPr>
        <w:ind w:left="5760" w:hanging="360"/>
      </w:pPr>
    </w:lvl>
    <w:lvl w:ilvl="8" w:tplc="708C22B4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F66DDA"/>
    <w:multiLevelType w:val="multilevel"/>
    <w:tmpl w:val="698A43FE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76A60064"/>
    <w:multiLevelType w:val="multilevel"/>
    <w:tmpl w:val="24B8085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76DE7A6C"/>
    <w:multiLevelType w:val="hybridMultilevel"/>
    <w:tmpl w:val="EE54CD16"/>
    <w:lvl w:ilvl="0" w:tplc="65783EA6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122F9E"/>
    <w:multiLevelType w:val="hybridMultilevel"/>
    <w:tmpl w:val="CD7CAB2C"/>
    <w:lvl w:ilvl="0" w:tplc="23389272">
      <w:start w:val="1"/>
      <w:numFmt w:val="bullet"/>
      <w:pStyle w:val="6odrky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AE1285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9809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3E82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7608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C6B4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F6BC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FAD9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86C2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C255EA"/>
    <w:multiLevelType w:val="hybridMultilevel"/>
    <w:tmpl w:val="8E7E15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540774"/>
    <w:multiLevelType w:val="hybridMultilevel"/>
    <w:tmpl w:val="B5368AC2"/>
    <w:lvl w:ilvl="0" w:tplc="B7EECE4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82710371">
    <w:abstractNumId w:val="20"/>
  </w:num>
  <w:num w:numId="2" w16cid:durableId="679939235">
    <w:abstractNumId w:val="3"/>
  </w:num>
  <w:num w:numId="3" w16cid:durableId="2146072793">
    <w:abstractNumId w:val="29"/>
  </w:num>
  <w:num w:numId="4" w16cid:durableId="802844210">
    <w:abstractNumId w:val="11"/>
  </w:num>
  <w:num w:numId="5" w16cid:durableId="32794600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934960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57111040">
    <w:abstractNumId w:val="26"/>
  </w:num>
  <w:num w:numId="8" w16cid:durableId="1298681818">
    <w:abstractNumId w:val="0"/>
  </w:num>
  <w:num w:numId="9" w16cid:durableId="199394562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6114444">
    <w:abstractNumId w:val="10"/>
  </w:num>
  <w:num w:numId="11" w16cid:durableId="1769538834">
    <w:abstractNumId w:val="23"/>
  </w:num>
  <w:num w:numId="12" w16cid:durableId="355735015">
    <w:abstractNumId w:val="8"/>
  </w:num>
  <w:num w:numId="13" w16cid:durableId="1144276282">
    <w:abstractNumId w:val="30"/>
  </w:num>
  <w:num w:numId="14" w16cid:durableId="732462559">
    <w:abstractNumId w:val="24"/>
  </w:num>
  <w:num w:numId="15" w16cid:durableId="1972202807">
    <w:abstractNumId w:val="4"/>
  </w:num>
  <w:num w:numId="16" w16cid:durableId="55402189">
    <w:abstractNumId w:val="7"/>
  </w:num>
  <w:num w:numId="17" w16cid:durableId="1220898704">
    <w:abstractNumId w:val="17"/>
  </w:num>
  <w:num w:numId="18" w16cid:durableId="1408724325">
    <w:abstractNumId w:val="31"/>
  </w:num>
  <w:num w:numId="19" w16cid:durableId="1465856697">
    <w:abstractNumId w:val="1"/>
  </w:num>
  <w:num w:numId="20" w16cid:durableId="1371760385">
    <w:abstractNumId w:val="5"/>
  </w:num>
  <w:num w:numId="21" w16cid:durableId="12001043">
    <w:abstractNumId w:val="22"/>
  </w:num>
  <w:num w:numId="22" w16cid:durableId="1613590921">
    <w:abstractNumId w:val="3"/>
    <w:lvlOverride w:ilvl="0">
      <w:startOverride w:val="1"/>
    </w:lvlOverride>
  </w:num>
  <w:num w:numId="23" w16cid:durableId="611589929">
    <w:abstractNumId w:val="26"/>
  </w:num>
  <w:num w:numId="24" w16cid:durableId="1811050362">
    <w:abstractNumId w:val="26"/>
  </w:num>
  <w:num w:numId="25" w16cid:durableId="1677033349">
    <w:abstractNumId w:val="26"/>
  </w:num>
  <w:num w:numId="26" w16cid:durableId="1370036577">
    <w:abstractNumId w:val="26"/>
  </w:num>
  <w:num w:numId="27" w16cid:durableId="1287194931">
    <w:abstractNumId w:val="26"/>
  </w:num>
  <w:num w:numId="28" w16cid:durableId="1080643750">
    <w:abstractNumId w:val="26"/>
  </w:num>
  <w:num w:numId="29" w16cid:durableId="1773431861">
    <w:abstractNumId w:val="26"/>
  </w:num>
  <w:num w:numId="30" w16cid:durableId="1033578764">
    <w:abstractNumId w:val="26"/>
  </w:num>
  <w:num w:numId="31" w16cid:durableId="1752892960">
    <w:abstractNumId w:val="12"/>
  </w:num>
  <w:num w:numId="32" w16cid:durableId="1694455266">
    <w:abstractNumId w:val="26"/>
  </w:num>
  <w:num w:numId="33" w16cid:durableId="1441221330">
    <w:abstractNumId w:val="26"/>
  </w:num>
  <w:num w:numId="34" w16cid:durableId="2017805801">
    <w:abstractNumId w:val="16"/>
  </w:num>
  <w:num w:numId="35" w16cid:durableId="1867521662">
    <w:abstractNumId w:val="26"/>
  </w:num>
  <w:num w:numId="36" w16cid:durableId="1716268801">
    <w:abstractNumId w:val="26"/>
  </w:num>
  <w:num w:numId="37" w16cid:durableId="1003976936">
    <w:abstractNumId w:val="21"/>
  </w:num>
  <w:num w:numId="38" w16cid:durableId="1354069781">
    <w:abstractNumId w:val="6"/>
  </w:num>
  <w:num w:numId="39" w16cid:durableId="452134676">
    <w:abstractNumId w:val="19"/>
  </w:num>
  <w:num w:numId="40" w16cid:durableId="613483118">
    <w:abstractNumId w:val="2"/>
  </w:num>
  <w:num w:numId="41" w16cid:durableId="352609697">
    <w:abstractNumId w:val="9"/>
  </w:num>
  <w:num w:numId="42" w16cid:durableId="761266609">
    <w:abstractNumId w:val="13"/>
  </w:num>
  <w:num w:numId="43" w16cid:durableId="615186494">
    <w:abstractNumId w:val="26"/>
  </w:num>
  <w:num w:numId="44" w16cid:durableId="498228078">
    <w:abstractNumId w:val="26"/>
  </w:num>
  <w:num w:numId="45" w16cid:durableId="106896382">
    <w:abstractNumId w:val="26"/>
  </w:num>
  <w:num w:numId="46" w16cid:durableId="444037310">
    <w:abstractNumId w:val="28"/>
  </w:num>
  <w:num w:numId="47" w16cid:durableId="1885871328">
    <w:abstractNumId w:val="14"/>
  </w:num>
  <w:num w:numId="48" w16cid:durableId="638614035">
    <w:abstractNumId w:val="15"/>
  </w:num>
  <w:num w:numId="49" w16cid:durableId="381830525">
    <w:abstractNumId w:val="26"/>
  </w:num>
  <w:num w:numId="50" w16cid:durableId="827135223">
    <w:abstractNumId w:val="2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10"/>
  <w:displayHorizont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MO_ReportControlsVisible" w:val="Empty"/>
    <w:docVar w:name="_AMO_UniqueIdentifier" w:val="Empty"/>
  </w:docVars>
  <w:rsids>
    <w:rsidRoot w:val="00DC67F9"/>
    <w:rsid w:val="00000348"/>
    <w:rsid w:val="00000FD3"/>
    <w:rsid w:val="00001522"/>
    <w:rsid w:val="00003578"/>
    <w:rsid w:val="000038F8"/>
    <w:rsid w:val="00003F76"/>
    <w:rsid w:val="00004A55"/>
    <w:rsid w:val="00004B1E"/>
    <w:rsid w:val="00004E62"/>
    <w:rsid w:val="00007075"/>
    <w:rsid w:val="00010476"/>
    <w:rsid w:val="000104B9"/>
    <w:rsid w:val="0001062A"/>
    <w:rsid w:val="00010E79"/>
    <w:rsid w:val="00011037"/>
    <w:rsid w:val="00011A4B"/>
    <w:rsid w:val="0001292D"/>
    <w:rsid w:val="00012D8B"/>
    <w:rsid w:val="000144EB"/>
    <w:rsid w:val="00014639"/>
    <w:rsid w:val="0001485D"/>
    <w:rsid w:val="00014DAD"/>
    <w:rsid w:val="00014DC2"/>
    <w:rsid w:val="00015BD9"/>
    <w:rsid w:val="00015E18"/>
    <w:rsid w:val="00017252"/>
    <w:rsid w:val="000178CB"/>
    <w:rsid w:val="00017A02"/>
    <w:rsid w:val="000206DC"/>
    <w:rsid w:val="00020714"/>
    <w:rsid w:val="000217F1"/>
    <w:rsid w:val="00021FB8"/>
    <w:rsid w:val="00022282"/>
    <w:rsid w:val="00022618"/>
    <w:rsid w:val="00022B5C"/>
    <w:rsid w:val="00023DAC"/>
    <w:rsid w:val="00024B32"/>
    <w:rsid w:val="00024C8B"/>
    <w:rsid w:val="00025021"/>
    <w:rsid w:val="000252FF"/>
    <w:rsid w:val="00025B11"/>
    <w:rsid w:val="00025C41"/>
    <w:rsid w:val="00025FAC"/>
    <w:rsid w:val="000267F4"/>
    <w:rsid w:val="00027325"/>
    <w:rsid w:val="00027B72"/>
    <w:rsid w:val="000312B9"/>
    <w:rsid w:val="00031871"/>
    <w:rsid w:val="000326BE"/>
    <w:rsid w:val="00033534"/>
    <w:rsid w:val="00034970"/>
    <w:rsid w:val="00034A5A"/>
    <w:rsid w:val="00035ADF"/>
    <w:rsid w:val="00037513"/>
    <w:rsid w:val="00037FE6"/>
    <w:rsid w:val="00040F4A"/>
    <w:rsid w:val="00041009"/>
    <w:rsid w:val="00041241"/>
    <w:rsid w:val="00041514"/>
    <w:rsid w:val="00043078"/>
    <w:rsid w:val="0004696D"/>
    <w:rsid w:val="00046A9B"/>
    <w:rsid w:val="00047EDB"/>
    <w:rsid w:val="00050404"/>
    <w:rsid w:val="00050DF5"/>
    <w:rsid w:val="00050EBB"/>
    <w:rsid w:val="00051F64"/>
    <w:rsid w:val="00052267"/>
    <w:rsid w:val="000522EE"/>
    <w:rsid w:val="0005337C"/>
    <w:rsid w:val="00054154"/>
    <w:rsid w:val="00054A19"/>
    <w:rsid w:val="00055C59"/>
    <w:rsid w:val="00055E9C"/>
    <w:rsid w:val="0005646C"/>
    <w:rsid w:val="000564A3"/>
    <w:rsid w:val="0005681F"/>
    <w:rsid w:val="000622BC"/>
    <w:rsid w:val="00062598"/>
    <w:rsid w:val="00062667"/>
    <w:rsid w:val="00062970"/>
    <w:rsid w:val="00063678"/>
    <w:rsid w:val="00065731"/>
    <w:rsid w:val="000657BB"/>
    <w:rsid w:val="00065BBF"/>
    <w:rsid w:val="0006666B"/>
    <w:rsid w:val="00066B76"/>
    <w:rsid w:val="000674BB"/>
    <w:rsid w:val="000675B4"/>
    <w:rsid w:val="00067B49"/>
    <w:rsid w:val="00070025"/>
    <w:rsid w:val="000704B0"/>
    <w:rsid w:val="000715DA"/>
    <w:rsid w:val="00071F40"/>
    <w:rsid w:val="00072E87"/>
    <w:rsid w:val="000730EB"/>
    <w:rsid w:val="000749C5"/>
    <w:rsid w:val="0007778B"/>
    <w:rsid w:val="0007788A"/>
    <w:rsid w:val="000804D8"/>
    <w:rsid w:val="000805E6"/>
    <w:rsid w:val="0008085A"/>
    <w:rsid w:val="00081118"/>
    <w:rsid w:val="0008120F"/>
    <w:rsid w:val="00081782"/>
    <w:rsid w:val="0008215B"/>
    <w:rsid w:val="000832DE"/>
    <w:rsid w:val="00084FE7"/>
    <w:rsid w:val="0008565A"/>
    <w:rsid w:val="00085E14"/>
    <w:rsid w:val="00086991"/>
    <w:rsid w:val="00086C69"/>
    <w:rsid w:val="00087F73"/>
    <w:rsid w:val="0009087C"/>
    <w:rsid w:val="00090937"/>
    <w:rsid w:val="00090D0C"/>
    <w:rsid w:val="00091760"/>
    <w:rsid w:val="0009307D"/>
    <w:rsid w:val="00093741"/>
    <w:rsid w:val="00093BFA"/>
    <w:rsid w:val="0009477B"/>
    <w:rsid w:val="00095AF6"/>
    <w:rsid w:val="00095D9C"/>
    <w:rsid w:val="00096364"/>
    <w:rsid w:val="000965D1"/>
    <w:rsid w:val="00096E97"/>
    <w:rsid w:val="00097701"/>
    <w:rsid w:val="000977C6"/>
    <w:rsid w:val="00097B40"/>
    <w:rsid w:val="00097C83"/>
    <w:rsid w:val="000A18BD"/>
    <w:rsid w:val="000A1D3C"/>
    <w:rsid w:val="000A2091"/>
    <w:rsid w:val="000A20C6"/>
    <w:rsid w:val="000A24C5"/>
    <w:rsid w:val="000A28A1"/>
    <w:rsid w:val="000A4035"/>
    <w:rsid w:val="000A45E0"/>
    <w:rsid w:val="000A553A"/>
    <w:rsid w:val="000A5C79"/>
    <w:rsid w:val="000A6146"/>
    <w:rsid w:val="000A62AF"/>
    <w:rsid w:val="000A6375"/>
    <w:rsid w:val="000A6755"/>
    <w:rsid w:val="000A7021"/>
    <w:rsid w:val="000A7042"/>
    <w:rsid w:val="000A7C81"/>
    <w:rsid w:val="000A7DA9"/>
    <w:rsid w:val="000B0008"/>
    <w:rsid w:val="000B07BA"/>
    <w:rsid w:val="000B155F"/>
    <w:rsid w:val="000B17F9"/>
    <w:rsid w:val="000B2A4F"/>
    <w:rsid w:val="000B38E5"/>
    <w:rsid w:val="000B516F"/>
    <w:rsid w:val="000B5561"/>
    <w:rsid w:val="000B57DA"/>
    <w:rsid w:val="000B66E3"/>
    <w:rsid w:val="000C0112"/>
    <w:rsid w:val="000C10B1"/>
    <w:rsid w:val="000C17D3"/>
    <w:rsid w:val="000C193F"/>
    <w:rsid w:val="000C2038"/>
    <w:rsid w:val="000C242B"/>
    <w:rsid w:val="000C3134"/>
    <w:rsid w:val="000C32FE"/>
    <w:rsid w:val="000C3BC2"/>
    <w:rsid w:val="000C47DE"/>
    <w:rsid w:val="000C5034"/>
    <w:rsid w:val="000C5263"/>
    <w:rsid w:val="000C5447"/>
    <w:rsid w:val="000C59AA"/>
    <w:rsid w:val="000C629D"/>
    <w:rsid w:val="000C676E"/>
    <w:rsid w:val="000C76F4"/>
    <w:rsid w:val="000D1A71"/>
    <w:rsid w:val="000D1DB4"/>
    <w:rsid w:val="000D2DC6"/>
    <w:rsid w:val="000D2FDA"/>
    <w:rsid w:val="000D3368"/>
    <w:rsid w:val="000D4ABE"/>
    <w:rsid w:val="000D5132"/>
    <w:rsid w:val="000D55BD"/>
    <w:rsid w:val="000D5E8C"/>
    <w:rsid w:val="000D6302"/>
    <w:rsid w:val="000D6886"/>
    <w:rsid w:val="000D6DEC"/>
    <w:rsid w:val="000D79C8"/>
    <w:rsid w:val="000D7D49"/>
    <w:rsid w:val="000E09B5"/>
    <w:rsid w:val="000E10F9"/>
    <w:rsid w:val="000E16C5"/>
    <w:rsid w:val="000E27BA"/>
    <w:rsid w:val="000E2F0E"/>
    <w:rsid w:val="000E39AE"/>
    <w:rsid w:val="000E447A"/>
    <w:rsid w:val="000E47E5"/>
    <w:rsid w:val="000E4AC3"/>
    <w:rsid w:val="000E5261"/>
    <w:rsid w:val="000E5AEE"/>
    <w:rsid w:val="000E610C"/>
    <w:rsid w:val="000E6DA5"/>
    <w:rsid w:val="000E724B"/>
    <w:rsid w:val="000E74A3"/>
    <w:rsid w:val="000F14A7"/>
    <w:rsid w:val="000F2464"/>
    <w:rsid w:val="000F2DCF"/>
    <w:rsid w:val="000F2E9A"/>
    <w:rsid w:val="000F2EB2"/>
    <w:rsid w:val="000F3A30"/>
    <w:rsid w:val="000F3EA9"/>
    <w:rsid w:val="000F5D39"/>
    <w:rsid w:val="000F7101"/>
    <w:rsid w:val="000F7F6E"/>
    <w:rsid w:val="00100792"/>
    <w:rsid w:val="00100A72"/>
    <w:rsid w:val="001014A8"/>
    <w:rsid w:val="00101DE0"/>
    <w:rsid w:val="001025A7"/>
    <w:rsid w:val="00102B40"/>
    <w:rsid w:val="00102F96"/>
    <w:rsid w:val="001032D0"/>
    <w:rsid w:val="00103814"/>
    <w:rsid w:val="00103CA3"/>
    <w:rsid w:val="0010461E"/>
    <w:rsid w:val="00104A83"/>
    <w:rsid w:val="00104C65"/>
    <w:rsid w:val="00105758"/>
    <w:rsid w:val="00105B70"/>
    <w:rsid w:val="00105EDB"/>
    <w:rsid w:val="00106439"/>
    <w:rsid w:val="00106490"/>
    <w:rsid w:val="00107110"/>
    <w:rsid w:val="001077EE"/>
    <w:rsid w:val="00107DE8"/>
    <w:rsid w:val="00111D4A"/>
    <w:rsid w:val="00111F39"/>
    <w:rsid w:val="00112C07"/>
    <w:rsid w:val="00113D05"/>
    <w:rsid w:val="0011559E"/>
    <w:rsid w:val="00115745"/>
    <w:rsid w:val="00116F03"/>
    <w:rsid w:val="001202DB"/>
    <w:rsid w:val="00120EF8"/>
    <w:rsid w:val="001219D7"/>
    <w:rsid w:val="00124D82"/>
    <w:rsid w:val="001306B6"/>
    <w:rsid w:val="00131F4E"/>
    <w:rsid w:val="001342AD"/>
    <w:rsid w:val="00135110"/>
    <w:rsid w:val="0013644B"/>
    <w:rsid w:val="00136C9E"/>
    <w:rsid w:val="00136F6F"/>
    <w:rsid w:val="001370AA"/>
    <w:rsid w:val="001373C3"/>
    <w:rsid w:val="00141615"/>
    <w:rsid w:val="00141971"/>
    <w:rsid w:val="00141CE6"/>
    <w:rsid w:val="00141FFE"/>
    <w:rsid w:val="00142818"/>
    <w:rsid w:val="0014294A"/>
    <w:rsid w:val="00142F45"/>
    <w:rsid w:val="0014379C"/>
    <w:rsid w:val="00143886"/>
    <w:rsid w:val="001443CE"/>
    <w:rsid w:val="001459E3"/>
    <w:rsid w:val="00146563"/>
    <w:rsid w:val="0014666E"/>
    <w:rsid w:val="00147074"/>
    <w:rsid w:val="0014778A"/>
    <w:rsid w:val="0015159F"/>
    <w:rsid w:val="001516A9"/>
    <w:rsid w:val="00151A78"/>
    <w:rsid w:val="001520E6"/>
    <w:rsid w:val="0015240C"/>
    <w:rsid w:val="00152B77"/>
    <w:rsid w:val="00153ED2"/>
    <w:rsid w:val="00154E23"/>
    <w:rsid w:val="00155274"/>
    <w:rsid w:val="001555A9"/>
    <w:rsid w:val="001558A7"/>
    <w:rsid w:val="001558DC"/>
    <w:rsid w:val="00156887"/>
    <w:rsid w:val="00156ED6"/>
    <w:rsid w:val="001570D8"/>
    <w:rsid w:val="0016088C"/>
    <w:rsid w:val="00164ADB"/>
    <w:rsid w:val="00164B2E"/>
    <w:rsid w:val="00165A28"/>
    <w:rsid w:val="00166D78"/>
    <w:rsid w:val="001676CA"/>
    <w:rsid w:val="001676D5"/>
    <w:rsid w:val="00170FC0"/>
    <w:rsid w:val="0017186A"/>
    <w:rsid w:val="001726F3"/>
    <w:rsid w:val="00172DE9"/>
    <w:rsid w:val="00174522"/>
    <w:rsid w:val="0017469E"/>
    <w:rsid w:val="001758DD"/>
    <w:rsid w:val="00175E94"/>
    <w:rsid w:val="00177BEB"/>
    <w:rsid w:val="00177E81"/>
    <w:rsid w:val="00180B3B"/>
    <w:rsid w:val="00180DFD"/>
    <w:rsid w:val="00181950"/>
    <w:rsid w:val="00182728"/>
    <w:rsid w:val="001836FE"/>
    <w:rsid w:val="0018395C"/>
    <w:rsid w:val="00183E17"/>
    <w:rsid w:val="00184D06"/>
    <w:rsid w:val="0018519D"/>
    <w:rsid w:val="001853D0"/>
    <w:rsid w:val="001853E4"/>
    <w:rsid w:val="00185801"/>
    <w:rsid w:val="00185B2B"/>
    <w:rsid w:val="00185E7D"/>
    <w:rsid w:val="00186125"/>
    <w:rsid w:val="00186FF4"/>
    <w:rsid w:val="00190535"/>
    <w:rsid w:val="00190ABB"/>
    <w:rsid w:val="00190BF7"/>
    <w:rsid w:val="00191329"/>
    <w:rsid w:val="001914A2"/>
    <w:rsid w:val="0019180C"/>
    <w:rsid w:val="00191D79"/>
    <w:rsid w:val="00192505"/>
    <w:rsid w:val="001928C5"/>
    <w:rsid w:val="00192A57"/>
    <w:rsid w:val="00193166"/>
    <w:rsid w:val="00193928"/>
    <w:rsid w:val="00193BFE"/>
    <w:rsid w:val="00193EB5"/>
    <w:rsid w:val="001941FA"/>
    <w:rsid w:val="00194B09"/>
    <w:rsid w:val="00195EBE"/>
    <w:rsid w:val="0019709C"/>
    <w:rsid w:val="00197592"/>
    <w:rsid w:val="00197E6D"/>
    <w:rsid w:val="001A007C"/>
    <w:rsid w:val="001A0146"/>
    <w:rsid w:val="001A0F0D"/>
    <w:rsid w:val="001A100B"/>
    <w:rsid w:val="001A1DD5"/>
    <w:rsid w:val="001A249C"/>
    <w:rsid w:val="001A2FBC"/>
    <w:rsid w:val="001A54CD"/>
    <w:rsid w:val="001A5AF6"/>
    <w:rsid w:val="001A5D7C"/>
    <w:rsid w:val="001A5FA5"/>
    <w:rsid w:val="001A6379"/>
    <w:rsid w:val="001A6FEE"/>
    <w:rsid w:val="001B0817"/>
    <w:rsid w:val="001B10BB"/>
    <w:rsid w:val="001B1994"/>
    <w:rsid w:val="001B1A1C"/>
    <w:rsid w:val="001B3A05"/>
    <w:rsid w:val="001B50F8"/>
    <w:rsid w:val="001B52F1"/>
    <w:rsid w:val="001B6A4E"/>
    <w:rsid w:val="001B7495"/>
    <w:rsid w:val="001C078E"/>
    <w:rsid w:val="001C10FE"/>
    <w:rsid w:val="001C1920"/>
    <w:rsid w:val="001C1BF6"/>
    <w:rsid w:val="001C2D1D"/>
    <w:rsid w:val="001C364F"/>
    <w:rsid w:val="001C38ED"/>
    <w:rsid w:val="001C3D9B"/>
    <w:rsid w:val="001C408B"/>
    <w:rsid w:val="001C55E8"/>
    <w:rsid w:val="001C5A90"/>
    <w:rsid w:val="001D08AB"/>
    <w:rsid w:val="001D0B66"/>
    <w:rsid w:val="001D0DE1"/>
    <w:rsid w:val="001D10CC"/>
    <w:rsid w:val="001D2A72"/>
    <w:rsid w:val="001D3CCB"/>
    <w:rsid w:val="001D47A8"/>
    <w:rsid w:val="001D50F2"/>
    <w:rsid w:val="001D5326"/>
    <w:rsid w:val="001D5500"/>
    <w:rsid w:val="001D5E0E"/>
    <w:rsid w:val="001D6F88"/>
    <w:rsid w:val="001D770E"/>
    <w:rsid w:val="001D7BB9"/>
    <w:rsid w:val="001E0282"/>
    <w:rsid w:val="001E457B"/>
    <w:rsid w:val="001E4F69"/>
    <w:rsid w:val="001E6073"/>
    <w:rsid w:val="001E6CD0"/>
    <w:rsid w:val="001E705A"/>
    <w:rsid w:val="001E7174"/>
    <w:rsid w:val="001F0935"/>
    <w:rsid w:val="001F0EC9"/>
    <w:rsid w:val="001F104B"/>
    <w:rsid w:val="001F1F70"/>
    <w:rsid w:val="001F3663"/>
    <w:rsid w:val="001F3A92"/>
    <w:rsid w:val="001F3E5F"/>
    <w:rsid w:val="001F5945"/>
    <w:rsid w:val="001F6C24"/>
    <w:rsid w:val="001F6D2A"/>
    <w:rsid w:val="00200192"/>
    <w:rsid w:val="00200196"/>
    <w:rsid w:val="00201F05"/>
    <w:rsid w:val="00203248"/>
    <w:rsid w:val="00204972"/>
    <w:rsid w:val="00204B81"/>
    <w:rsid w:val="00205128"/>
    <w:rsid w:val="0020544F"/>
    <w:rsid w:val="002055B9"/>
    <w:rsid w:val="0021038D"/>
    <w:rsid w:val="00210DBC"/>
    <w:rsid w:val="00211824"/>
    <w:rsid w:val="002129F0"/>
    <w:rsid w:val="00213032"/>
    <w:rsid w:val="002138E1"/>
    <w:rsid w:val="002139EC"/>
    <w:rsid w:val="0021554E"/>
    <w:rsid w:val="002162EE"/>
    <w:rsid w:val="002177A7"/>
    <w:rsid w:val="002206F1"/>
    <w:rsid w:val="00221042"/>
    <w:rsid w:val="0022124C"/>
    <w:rsid w:val="00221B95"/>
    <w:rsid w:val="00222261"/>
    <w:rsid w:val="00222447"/>
    <w:rsid w:val="0022285C"/>
    <w:rsid w:val="0022304B"/>
    <w:rsid w:val="00224441"/>
    <w:rsid w:val="002254A5"/>
    <w:rsid w:val="00225830"/>
    <w:rsid w:val="0022690D"/>
    <w:rsid w:val="00226CEC"/>
    <w:rsid w:val="002271B6"/>
    <w:rsid w:val="00227A02"/>
    <w:rsid w:val="00227C59"/>
    <w:rsid w:val="00230390"/>
    <w:rsid w:val="002304FD"/>
    <w:rsid w:val="00230FD3"/>
    <w:rsid w:val="00231E12"/>
    <w:rsid w:val="0023254A"/>
    <w:rsid w:val="0023266C"/>
    <w:rsid w:val="002329AB"/>
    <w:rsid w:val="00232D30"/>
    <w:rsid w:val="00233B14"/>
    <w:rsid w:val="0023489C"/>
    <w:rsid w:val="002361E8"/>
    <w:rsid w:val="00236590"/>
    <w:rsid w:val="00237DEC"/>
    <w:rsid w:val="00240483"/>
    <w:rsid w:val="00240D72"/>
    <w:rsid w:val="0024160B"/>
    <w:rsid w:val="002419C1"/>
    <w:rsid w:val="00241F72"/>
    <w:rsid w:val="00242615"/>
    <w:rsid w:val="0024337B"/>
    <w:rsid w:val="0024376C"/>
    <w:rsid w:val="00243C7A"/>
    <w:rsid w:val="00244844"/>
    <w:rsid w:val="0024552A"/>
    <w:rsid w:val="002455EB"/>
    <w:rsid w:val="002456F1"/>
    <w:rsid w:val="00245E21"/>
    <w:rsid w:val="00247399"/>
    <w:rsid w:val="00247EB3"/>
    <w:rsid w:val="00247EEE"/>
    <w:rsid w:val="00250539"/>
    <w:rsid w:val="00250C1B"/>
    <w:rsid w:val="00251BCF"/>
    <w:rsid w:val="00251FB6"/>
    <w:rsid w:val="0025213D"/>
    <w:rsid w:val="00253E9A"/>
    <w:rsid w:val="00254BF4"/>
    <w:rsid w:val="00254D44"/>
    <w:rsid w:val="00255697"/>
    <w:rsid w:val="00255FEA"/>
    <w:rsid w:val="0025619F"/>
    <w:rsid w:val="00256286"/>
    <w:rsid w:val="002565D4"/>
    <w:rsid w:val="00257E4B"/>
    <w:rsid w:val="00260B4F"/>
    <w:rsid w:val="00261383"/>
    <w:rsid w:val="00261D95"/>
    <w:rsid w:val="002629DD"/>
    <w:rsid w:val="00264780"/>
    <w:rsid w:val="00264F3C"/>
    <w:rsid w:val="0026513F"/>
    <w:rsid w:val="00266007"/>
    <w:rsid w:val="002660B0"/>
    <w:rsid w:val="00270E4F"/>
    <w:rsid w:val="002711FB"/>
    <w:rsid w:val="0027199C"/>
    <w:rsid w:val="00272882"/>
    <w:rsid w:val="00272A2E"/>
    <w:rsid w:val="002739DB"/>
    <w:rsid w:val="00275954"/>
    <w:rsid w:val="00275B6B"/>
    <w:rsid w:val="00275DCC"/>
    <w:rsid w:val="0027666C"/>
    <w:rsid w:val="00280060"/>
    <w:rsid w:val="00280347"/>
    <w:rsid w:val="00280B37"/>
    <w:rsid w:val="002811B1"/>
    <w:rsid w:val="002811FB"/>
    <w:rsid w:val="002814E9"/>
    <w:rsid w:val="0028177C"/>
    <w:rsid w:val="00282025"/>
    <w:rsid w:val="00282088"/>
    <w:rsid w:val="00282937"/>
    <w:rsid w:val="0028340E"/>
    <w:rsid w:val="00284330"/>
    <w:rsid w:val="00284F57"/>
    <w:rsid w:val="00285DD4"/>
    <w:rsid w:val="00287185"/>
    <w:rsid w:val="00290D27"/>
    <w:rsid w:val="00292774"/>
    <w:rsid w:val="00292E34"/>
    <w:rsid w:val="0029313C"/>
    <w:rsid w:val="00293151"/>
    <w:rsid w:val="00293875"/>
    <w:rsid w:val="002939C0"/>
    <w:rsid w:val="00293C2A"/>
    <w:rsid w:val="00293EAE"/>
    <w:rsid w:val="00293F90"/>
    <w:rsid w:val="00294405"/>
    <w:rsid w:val="00297E9B"/>
    <w:rsid w:val="002A2150"/>
    <w:rsid w:val="002A2355"/>
    <w:rsid w:val="002A2589"/>
    <w:rsid w:val="002A2E39"/>
    <w:rsid w:val="002A2E8E"/>
    <w:rsid w:val="002A32EB"/>
    <w:rsid w:val="002A4CF0"/>
    <w:rsid w:val="002A4D83"/>
    <w:rsid w:val="002A59C0"/>
    <w:rsid w:val="002A6BA7"/>
    <w:rsid w:val="002A6E8B"/>
    <w:rsid w:val="002A78FF"/>
    <w:rsid w:val="002A7F53"/>
    <w:rsid w:val="002B0C10"/>
    <w:rsid w:val="002B0D01"/>
    <w:rsid w:val="002B0FE8"/>
    <w:rsid w:val="002B16AE"/>
    <w:rsid w:val="002B1828"/>
    <w:rsid w:val="002B1ECF"/>
    <w:rsid w:val="002B27B9"/>
    <w:rsid w:val="002B3807"/>
    <w:rsid w:val="002B51F2"/>
    <w:rsid w:val="002B54F5"/>
    <w:rsid w:val="002B5FD3"/>
    <w:rsid w:val="002B6127"/>
    <w:rsid w:val="002B6BCC"/>
    <w:rsid w:val="002B6BD4"/>
    <w:rsid w:val="002B737F"/>
    <w:rsid w:val="002B7C53"/>
    <w:rsid w:val="002B7D32"/>
    <w:rsid w:val="002B7E8A"/>
    <w:rsid w:val="002C08F4"/>
    <w:rsid w:val="002C0994"/>
    <w:rsid w:val="002C0FAC"/>
    <w:rsid w:val="002C1234"/>
    <w:rsid w:val="002C1496"/>
    <w:rsid w:val="002C1813"/>
    <w:rsid w:val="002C1D7E"/>
    <w:rsid w:val="002C25C7"/>
    <w:rsid w:val="002C349D"/>
    <w:rsid w:val="002C4114"/>
    <w:rsid w:val="002C5685"/>
    <w:rsid w:val="002C5F51"/>
    <w:rsid w:val="002C7B74"/>
    <w:rsid w:val="002D02BF"/>
    <w:rsid w:val="002D05A7"/>
    <w:rsid w:val="002D0971"/>
    <w:rsid w:val="002D1069"/>
    <w:rsid w:val="002D3D8E"/>
    <w:rsid w:val="002D4707"/>
    <w:rsid w:val="002D52AA"/>
    <w:rsid w:val="002D578B"/>
    <w:rsid w:val="002D5931"/>
    <w:rsid w:val="002D655F"/>
    <w:rsid w:val="002D6E4D"/>
    <w:rsid w:val="002D7629"/>
    <w:rsid w:val="002E01EA"/>
    <w:rsid w:val="002E132A"/>
    <w:rsid w:val="002E1AB9"/>
    <w:rsid w:val="002E217D"/>
    <w:rsid w:val="002E27F1"/>
    <w:rsid w:val="002E2E39"/>
    <w:rsid w:val="002E42B1"/>
    <w:rsid w:val="002E6855"/>
    <w:rsid w:val="002E6926"/>
    <w:rsid w:val="002E7096"/>
    <w:rsid w:val="002E7E92"/>
    <w:rsid w:val="002F0144"/>
    <w:rsid w:val="002F1409"/>
    <w:rsid w:val="002F27D0"/>
    <w:rsid w:val="002F36A2"/>
    <w:rsid w:val="002F3E15"/>
    <w:rsid w:val="002F3EB0"/>
    <w:rsid w:val="002F49E8"/>
    <w:rsid w:val="002F5592"/>
    <w:rsid w:val="002F6D6C"/>
    <w:rsid w:val="00300B6C"/>
    <w:rsid w:val="00301BAC"/>
    <w:rsid w:val="0030238B"/>
    <w:rsid w:val="00302637"/>
    <w:rsid w:val="00303277"/>
    <w:rsid w:val="003035BA"/>
    <w:rsid w:val="003038C4"/>
    <w:rsid w:val="00303A5D"/>
    <w:rsid w:val="00303AD5"/>
    <w:rsid w:val="00303B7D"/>
    <w:rsid w:val="0030514D"/>
    <w:rsid w:val="00305DC7"/>
    <w:rsid w:val="00306F44"/>
    <w:rsid w:val="00307661"/>
    <w:rsid w:val="003077B5"/>
    <w:rsid w:val="003124C4"/>
    <w:rsid w:val="00313C78"/>
    <w:rsid w:val="00315C7C"/>
    <w:rsid w:val="00315FAB"/>
    <w:rsid w:val="003171EA"/>
    <w:rsid w:val="0031724C"/>
    <w:rsid w:val="003176AE"/>
    <w:rsid w:val="0031779F"/>
    <w:rsid w:val="00320F08"/>
    <w:rsid w:val="00321353"/>
    <w:rsid w:val="00321B9F"/>
    <w:rsid w:val="00321CE0"/>
    <w:rsid w:val="0032262E"/>
    <w:rsid w:val="00322961"/>
    <w:rsid w:val="00324B3E"/>
    <w:rsid w:val="00325DED"/>
    <w:rsid w:val="00326011"/>
    <w:rsid w:val="003266B6"/>
    <w:rsid w:val="00326918"/>
    <w:rsid w:val="00327BDF"/>
    <w:rsid w:val="0033001F"/>
    <w:rsid w:val="00330A60"/>
    <w:rsid w:val="00331A2B"/>
    <w:rsid w:val="00331A36"/>
    <w:rsid w:val="00331E3A"/>
    <w:rsid w:val="0033213B"/>
    <w:rsid w:val="0033262D"/>
    <w:rsid w:val="00333EFA"/>
    <w:rsid w:val="00334CCB"/>
    <w:rsid w:val="00335CFA"/>
    <w:rsid w:val="00336136"/>
    <w:rsid w:val="00340817"/>
    <w:rsid w:val="0034084B"/>
    <w:rsid w:val="0034108E"/>
    <w:rsid w:val="003410A3"/>
    <w:rsid w:val="0034152A"/>
    <w:rsid w:val="00341AA6"/>
    <w:rsid w:val="00342A96"/>
    <w:rsid w:val="00343B0D"/>
    <w:rsid w:val="00344082"/>
    <w:rsid w:val="00344103"/>
    <w:rsid w:val="0034426B"/>
    <w:rsid w:val="003444B0"/>
    <w:rsid w:val="003461FB"/>
    <w:rsid w:val="00346FF8"/>
    <w:rsid w:val="00347A74"/>
    <w:rsid w:val="00351092"/>
    <w:rsid w:val="0035169A"/>
    <w:rsid w:val="003526D2"/>
    <w:rsid w:val="00352E2D"/>
    <w:rsid w:val="00353A7E"/>
    <w:rsid w:val="003542EB"/>
    <w:rsid w:val="003544F7"/>
    <w:rsid w:val="00354E5D"/>
    <w:rsid w:val="00356651"/>
    <w:rsid w:val="003568C0"/>
    <w:rsid w:val="00357DB5"/>
    <w:rsid w:val="003603F8"/>
    <w:rsid w:val="0036113A"/>
    <w:rsid w:val="003619F4"/>
    <w:rsid w:val="00361D03"/>
    <w:rsid w:val="003627F8"/>
    <w:rsid w:val="00363A5F"/>
    <w:rsid w:val="003642CB"/>
    <w:rsid w:val="0036464E"/>
    <w:rsid w:val="00365975"/>
    <w:rsid w:val="00365B3C"/>
    <w:rsid w:val="00365DAE"/>
    <w:rsid w:val="003703AC"/>
    <w:rsid w:val="003703C3"/>
    <w:rsid w:val="003719DD"/>
    <w:rsid w:val="00371E8B"/>
    <w:rsid w:val="00371EA3"/>
    <w:rsid w:val="00374EFA"/>
    <w:rsid w:val="003751CC"/>
    <w:rsid w:val="00376FCC"/>
    <w:rsid w:val="0037716C"/>
    <w:rsid w:val="003772DB"/>
    <w:rsid w:val="003773CC"/>
    <w:rsid w:val="00377632"/>
    <w:rsid w:val="00377B76"/>
    <w:rsid w:val="00380147"/>
    <w:rsid w:val="00380A50"/>
    <w:rsid w:val="00380C64"/>
    <w:rsid w:val="00381547"/>
    <w:rsid w:val="0038163A"/>
    <w:rsid w:val="0038274D"/>
    <w:rsid w:val="00382CDD"/>
    <w:rsid w:val="0038349B"/>
    <w:rsid w:val="00383641"/>
    <w:rsid w:val="00383913"/>
    <w:rsid w:val="00384C45"/>
    <w:rsid w:val="003876D3"/>
    <w:rsid w:val="0039034F"/>
    <w:rsid w:val="00390B7E"/>
    <w:rsid w:val="00390C14"/>
    <w:rsid w:val="00391F31"/>
    <w:rsid w:val="00392623"/>
    <w:rsid w:val="003946F1"/>
    <w:rsid w:val="003958AA"/>
    <w:rsid w:val="00395D8A"/>
    <w:rsid w:val="00396350"/>
    <w:rsid w:val="003963AE"/>
    <w:rsid w:val="003A0FF8"/>
    <w:rsid w:val="003A146C"/>
    <w:rsid w:val="003A3CFB"/>
    <w:rsid w:val="003A47F2"/>
    <w:rsid w:val="003A580B"/>
    <w:rsid w:val="003A5A99"/>
    <w:rsid w:val="003A5B59"/>
    <w:rsid w:val="003A5F67"/>
    <w:rsid w:val="003A6E8A"/>
    <w:rsid w:val="003A7186"/>
    <w:rsid w:val="003A7ED3"/>
    <w:rsid w:val="003B0130"/>
    <w:rsid w:val="003B0318"/>
    <w:rsid w:val="003B1B45"/>
    <w:rsid w:val="003B2C6F"/>
    <w:rsid w:val="003B2F61"/>
    <w:rsid w:val="003B42D3"/>
    <w:rsid w:val="003B5614"/>
    <w:rsid w:val="003B5C40"/>
    <w:rsid w:val="003B65A5"/>
    <w:rsid w:val="003B6959"/>
    <w:rsid w:val="003B6B5D"/>
    <w:rsid w:val="003B7073"/>
    <w:rsid w:val="003B74F9"/>
    <w:rsid w:val="003C005F"/>
    <w:rsid w:val="003C10BC"/>
    <w:rsid w:val="003C1644"/>
    <w:rsid w:val="003C1754"/>
    <w:rsid w:val="003C18CE"/>
    <w:rsid w:val="003C1D89"/>
    <w:rsid w:val="003C1E64"/>
    <w:rsid w:val="003C3173"/>
    <w:rsid w:val="003C3896"/>
    <w:rsid w:val="003C3C94"/>
    <w:rsid w:val="003C40D5"/>
    <w:rsid w:val="003C42B4"/>
    <w:rsid w:val="003C42FF"/>
    <w:rsid w:val="003C4B13"/>
    <w:rsid w:val="003C4B2D"/>
    <w:rsid w:val="003C5096"/>
    <w:rsid w:val="003C5A13"/>
    <w:rsid w:val="003C6337"/>
    <w:rsid w:val="003C7458"/>
    <w:rsid w:val="003C795E"/>
    <w:rsid w:val="003D0D53"/>
    <w:rsid w:val="003D2006"/>
    <w:rsid w:val="003D2549"/>
    <w:rsid w:val="003D32F4"/>
    <w:rsid w:val="003D3879"/>
    <w:rsid w:val="003D4419"/>
    <w:rsid w:val="003D477D"/>
    <w:rsid w:val="003D4DEC"/>
    <w:rsid w:val="003D4EE7"/>
    <w:rsid w:val="003D51CD"/>
    <w:rsid w:val="003D5AAC"/>
    <w:rsid w:val="003D61B0"/>
    <w:rsid w:val="003D657C"/>
    <w:rsid w:val="003D77ED"/>
    <w:rsid w:val="003E05A0"/>
    <w:rsid w:val="003E08F7"/>
    <w:rsid w:val="003E09BE"/>
    <w:rsid w:val="003E1FD8"/>
    <w:rsid w:val="003E23B4"/>
    <w:rsid w:val="003E2A51"/>
    <w:rsid w:val="003E347E"/>
    <w:rsid w:val="003E3485"/>
    <w:rsid w:val="003E3C26"/>
    <w:rsid w:val="003E4486"/>
    <w:rsid w:val="003E474B"/>
    <w:rsid w:val="003E60A9"/>
    <w:rsid w:val="003E60E3"/>
    <w:rsid w:val="003E612D"/>
    <w:rsid w:val="003E69E7"/>
    <w:rsid w:val="003E6F6C"/>
    <w:rsid w:val="003E7897"/>
    <w:rsid w:val="003F0798"/>
    <w:rsid w:val="003F1FF4"/>
    <w:rsid w:val="003F2BCD"/>
    <w:rsid w:val="003F3E0F"/>
    <w:rsid w:val="003F44CE"/>
    <w:rsid w:val="003F459C"/>
    <w:rsid w:val="003F5C04"/>
    <w:rsid w:val="003F623F"/>
    <w:rsid w:val="003F766F"/>
    <w:rsid w:val="004002C2"/>
    <w:rsid w:val="00400B1D"/>
    <w:rsid w:val="00400EC9"/>
    <w:rsid w:val="00400F6B"/>
    <w:rsid w:val="00401168"/>
    <w:rsid w:val="00401E3F"/>
    <w:rsid w:val="004022C4"/>
    <w:rsid w:val="00402882"/>
    <w:rsid w:val="00402DF2"/>
    <w:rsid w:val="00403F64"/>
    <w:rsid w:val="004043E1"/>
    <w:rsid w:val="00404F26"/>
    <w:rsid w:val="004068AC"/>
    <w:rsid w:val="00406C07"/>
    <w:rsid w:val="004104B1"/>
    <w:rsid w:val="00410533"/>
    <w:rsid w:val="004119B2"/>
    <w:rsid w:val="00411CFE"/>
    <w:rsid w:val="00411F3C"/>
    <w:rsid w:val="004126A3"/>
    <w:rsid w:val="00412BE6"/>
    <w:rsid w:val="00414583"/>
    <w:rsid w:val="00415C12"/>
    <w:rsid w:val="004176E5"/>
    <w:rsid w:val="00420783"/>
    <w:rsid w:val="0042117A"/>
    <w:rsid w:val="00421452"/>
    <w:rsid w:val="00421909"/>
    <w:rsid w:val="00422C9C"/>
    <w:rsid w:val="00422FE5"/>
    <w:rsid w:val="00423E8E"/>
    <w:rsid w:val="00423F88"/>
    <w:rsid w:val="004242D2"/>
    <w:rsid w:val="00424BA3"/>
    <w:rsid w:val="00425026"/>
    <w:rsid w:val="004252D8"/>
    <w:rsid w:val="00425559"/>
    <w:rsid w:val="0042632D"/>
    <w:rsid w:val="00426540"/>
    <w:rsid w:val="00426D29"/>
    <w:rsid w:val="00427648"/>
    <w:rsid w:val="004302D8"/>
    <w:rsid w:val="0043062D"/>
    <w:rsid w:val="00431129"/>
    <w:rsid w:val="00431CD3"/>
    <w:rsid w:val="00431CE7"/>
    <w:rsid w:val="0043257E"/>
    <w:rsid w:val="00432AC7"/>
    <w:rsid w:val="004334DE"/>
    <w:rsid w:val="00434B80"/>
    <w:rsid w:val="004358A3"/>
    <w:rsid w:val="00436104"/>
    <w:rsid w:val="0043614E"/>
    <w:rsid w:val="00437731"/>
    <w:rsid w:val="00440101"/>
    <w:rsid w:val="00441922"/>
    <w:rsid w:val="00442B3A"/>
    <w:rsid w:val="00443878"/>
    <w:rsid w:val="004449E3"/>
    <w:rsid w:val="00444D56"/>
    <w:rsid w:val="00444DAF"/>
    <w:rsid w:val="00445134"/>
    <w:rsid w:val="00447822"/>
    <w:rsid w:val="00450366"/>
    <w:rsid w:val="00450528"/>
    <w:rsid w:val="004505C3"/>
    <w:rsid w:val="004509DD"/>
    <w:rsid w:val="004512E4"/>
    <w:rsid w:val="0045157A"/>
    <w:rsid w:val="004519B3"/>
    <w:rsid w:val="00452314"/>
    <w:rsid w:val="00453B7A"/>
    <w:rsid w:val="00453E6E"/>
    <w:rsid w:val="00454009"/>
    <w:rsid w:val="00454232"/>
    <w:rsid w:val="00454E87"/>
    <w:rsid w:val="004556CC"/>
    <w:rsid w:val="00456303"/>
    <w:rsid w:val="0045719F"/>
    <w:rsid w:val="00457B3D"/>
    <w:rsid w:val="00460278"/>
    <w:rsid w:val="004603F8"/>
    <w:rsid w:val="00461CA1"/>
    <w:rsid w:val="00461E44"/>
    <w:rsid w:val="00463440"/>
    <w:rsid w:val="0046357B"/>
    <w:rsid w:val="00463A7F"/>
    <w:rsid w:val="00464446"/>
    <w:rsid w:val="00464A28"/>
    <w:rsid w:val="00465295"/>
    <w:rsid w:val="00466587"/>
    <w:rsid w:val="00466C7D"/>
    <w:rsid w:val="00467127"/>
    <w:rsid w:val="004705E9"/>
    <w:rsid w:val="00470D15"/>
    <w:rsid w:val="00471BBB"/>
    <w:rsid w:val="004724C8"/>
    <w:rsid w:val="004728DB"/>
    <w:rsid w:val="00472B10"/>
    <w:rsid w:val="0047325A"/>
    <w:rsid w:val="00473602"/>
    <w:rsid w:val="004736BE"/>
    <w:rsid w:val="0047447F"/>
    <w:rsid w:val="00474607"/>
    <w:rsid w:val="00474D2E"/>
    <w:rsid w:val="0047517D"/>
    <w:rsid w:val="00476120"/>
    <w:rsid w:val="004776D0"/>
    <w:rsid w:val="0048484C"/>
    <w:rsid w:val="00485D45"/>
    <w:rsid w:val="00485EF3"/>
    <w:rsid w:val="00486C41"/>
    <w:rsid w:val="00490030"/>
    <w:rsid w:val="004900FD"/>
    <w:rsid w:val="00490C57"/>
    <w:rsid w:val="00491F05"/>
    <w:rsid w:val="0049230B"/>
    <w:rsid w:val="00492533"/>
    <w:rsid w:val="004929D7"/>
    <w:rsid w:val="00494170"/>
    <w:rsid w:val="00494593"/>
    <w:rsid w:val="004946B7"/>
    <w:rsid w:val="00494824"/>
    <w:rsid w:val="0049490B"/>
    <w:rsid w:val="004953C4"/>
    <w:rsid w:val="004955CC"/>
    <w:rsid w:val="00496090"/>
    <w:rsid w:val="00496903"/>
    <w:rsid w:val="00496986"/>
    <w:rsid w:val="004969F7"/>
    <w:rsid w:val="004970AE"/>
    <w:rsid w:val="00497F80"/>
    <w:rsid w:val="004A03D9"/>
    <w:rsid w:val="004A04E4"/>
    <w:rsid w:val="004A135F"/>
    <w:rsid w:val="004A1BB8"/>
    <w:rsid w:val="004A2ABE"/>
    <w:rsid w:val="004A30E7"/>
    <w:rsid w:val="004A46D1"/>
    <w:rsid w:val="004A4F52"/>
    <w:rsid w:val="004A5D77"/>
    <w:rsid w:val="004A754B"/>
    <w:rsid w:val="004A76D3"/>
    <w:rsid w:val="004B0306"/>
    <w:rsid w:val="004B20BE"/>
    <w:rsid w:val="004B23FE"/>
    <w:rsid w:val="004B2559"/>
    <w:rsid w:val="004B29E8"/>
    <w:rsid w:val="004B35CE"/>
    <w:rsid w:val="004B4D22"/>
    <w:rsid w:val="004B4D6C"/>
    <w:rsid w:val="004B50B6"/>
    <w:rsid w:val="004B5333"/>
    <w:rsid w:val="004B55CD"/>
    <w:rsid w:val="004B5698"/>
    <w:rsid w:val="004B71D9"/>
    <w:rsid w:val="004B76F6"/>
    <w:rsid w:val="004C042D"/>
    <w:rsid w:val="004C1793"/>
    <w:rsid w:val="004C1BE6"/>
    <w:rsid w:val="004C2328"/>
    <w:rsid w:val="004C2B40"/>
    <w:rsid w:val="004C2D1D"/>
    <w:rsid w:val="004C39FA"/>
    <w:rsid w:val="004C3F65"/>
    <w:rsid w:val="004C44A0"/>
    <w:rsid w:val="004C490E"/>
    <w:rsid w:val="004C6AB3"/>
    <w:rsid w:val="004C75A3"/>
    <w:rsid w:val="004C7768"/>
    <w:rsid w:val="004C7FBE"/>
    <w:rsid w:val="004D0B57"/>
    <w:rsid w:val="004D0EF2"/>
    <w:rsid w:val="004D2354"/>
    <w:rsid w:val="004D2C8D"/>
    <w:rsid w:val="004D3AA0"/>
    <w:rsid w:val="004D3AF2"/>
    <w:rsid w:val="004D44CE"/>
    <w:rsid w:val="004D5338"/>
    <w:rsid w:val="004D535D"/>
    <w:rsid w:val="004D555B"/>
    <w:rsid w:val="004D5673"/>
    <w:rsid w:val="004D5FAC"/>
    <w:rsid w:val="004D6435"/>
    <w:rsid w:val="004D7243"/>
    <w:rsid w:val="004D7E3F"/>
    <w:rsid w:val="004D7F7A"/>
    <w:rsid w:val="004E0093"/>
    <w:rsid w:val="004E0840"/>
    <w:rsid w:val="004E0D0D"/>
    <w:rsid w:val="004E0E10"/>
    <w:rsid w:val="004E14EB"/>
    <w:rsid w:val="004E1505"/>
    <w:rsid w:val="004E3184"/>
    <w:rsid w:val="004E3901"/>
    <w:rsid w:val="004E40B5"/>
    <w:rsid w:val="004E44BA"/>
    <w:rsid w:val="004E4DBA"/>
    <w:rsid w:val="004E5465"/>
    <w:rsid w:val="004E5DC1"/>
    <w:rsid w:val="004E7145"/>
    <w:rsid w:val="004E7AF6"/>
    <w:rsid w:val="004E7B3B"/>
    <w:rsid w:val="004F065F"/>
    <w:rsid w:val="004F0683"/>
    <w:rsid w:val="004F1B87"/>
    <w:rsid w:val="004F247E"/>
    <w:rsid w:val="004F2C25"/>
    <w:rsid w:val="004F3CAC"/>
    <w:rsid w:val="004F412E"/>
    <w:rsid w:val="004F5023"/>
    <w:rsid w:val="004F5BA1"/>
    <w:rsid w:val="004F7869"/>
    <w:rsid w:val="004F7994"/>
    <w:rsid w:val="004F7AB7"/>
    <w:rsid w:val="005003C2"/>
    <w:rsid w:val="00500A06"/>
    <w:rsid w:val="00501001"/>
    <w:rsid w:val="00501B59"/>
    <w:rsid w:val="00501DEB"/>
    <w:rsid w:val="00502231"/>
    <w:rsid w:val="005032BB"/>
    <w:rsid w:val="005034CE"/>
    <w:rsid w:val="005035C2"/>
    <w:rsid w:val="00503653"/>
    <w:rsid w:val="005037DD"/>
    <w:rsid w:val="00503EC1"/>
    <w:rsid w:val="00505631"/>
    <w:rsid w:val="0050595B"/>
    <w:rsid w:val="00506952"/>
    <w:rsid w:val="005069F5"/>
    <w:rsid w:val="00506C0A"/>
    <w:rsid w:val="0051095D"/>
    <w:rsid w:val="00511238"/>
    <w:rsid w:val="00511A5C"/>
    <w:rsid w:val="00511F59"/>
    <w:rsid w:val="005120C0"/>
    <w:rsid w:val="0051273B"/>
    <w:rsid w:val="00512A63"/>
    <w:rsid w:val="00512C56"/>
    <w:rsid w:val="00512CFB"/>
    <w:rsid w:val="005143A0"/>
    <w:rsid w:val="00515A05"/>
    <w:rsid w:val="00516D3E"/>
    <w:rsid w:val="0051773F"/>
    <w:rsid w:val="00517F27"/>
    <w:rsid w:val="0052131D"/>
    <w:rsid w:val="005219C3"/>
    <w:rsid w:val="00521C4F"/>
    <w:rsid w:val="00521D43"/>
    <w:rsid w:val="00521F14"/>
    <w:rsid w:val="00523311"/>
    <w:rsid w:val="005240C4"/>
    <w:rsid w:val="005250F0"/>
    <w:rsid w:val="00525290"/>
    <w:rsid w:val="0052614D"/>
    <w:rsid w:val="005263C6"/>
    <w:rsid w:val="005274D3"/>
    <w:rsid w:val="00530EA7"/>
    <w:rsid w:val="005316C9"/>
    <w:rsid w:val="005316CD"/>
    <w:rsid w:val="00532C12"/>
    <w:rsid w:val="00532DF3"/>
    <w:rsid w:val="00533212"/>
    <w:rsid w:val="00533815"/>
    <w:rsid w:val="00535A36"/>
    <w:rsid w:val="00536934"/>
    <w:rsid w:val="005379B7"/>
    <w:rsid w:val="0054157D"/>
    <w:rsid w:val="005415CC"/>
    <w:rsid w:val="0054221B"/>
    <w:rsid w:val="00542709"/>
    <w:rsid w:val="0054447C"/>
    <w:rsid w:val="0054476F"/>
    <w:rsid w:val="005451A9"/>
    <w:rsid w:val="005451B7"/>
    <w:rsid w:val="00545972"/>
    <w:rsid w:val="0054606D"/>
    <w:rsid w:val="0055019B"/>
    <w:rsid w:val="005503F4"/>
    <w:rsid w:val="00550BC3"/>
    <w:rsid w:val="00550D95"/>
    <w:rsid w:val="005537F2"/>
    <w:rsid w:val="00553884"/>
    <w:rsid w:val="005542BC"/>
    <w:rsid w:val="005545A8"/>
    <w:rsid w:val="005545F5"/>
    <w:rsid w:val="0055474D"/>
    <w:rsid w:val="005548AA"/>
    <w:rsid w:val="00554B8D"/>
    <w:rsid w:val="00555024"/>
    <w:rsid w:val="00555260"/>
    <w:rsid w:val="00555617"/>
    <w:rsid w:val="005611E7"/>
    <w:rsid w:val="00561345"/>
    <w:rsid w:val="005632D8"/>
    <w:rsid w:val="00563642"/>
    <w:rsid w:val="0056423E"/>
    <w:rsid w:val="00564D19"/>
    <w:rsid w:val="00565A88"/>
    <w:rsid w:val="005662DE"/>
    <w:rsid w:val="00570133"/>
    <w:rsid w:val="005702E6"/>
    <w:rsid w:val="00570501"/>
    <w:rsid w:val="005705A3"/>
    <w:rsid w:val="00572A6D"/>
    <w:rsid w:val="00573DB4"/>
    <w:rsid w:val="005741F3"/>
    <w:rsid w:val="005742AD"/>
    <w:rsid w:val="00574961"/>
    <w:rsid w:val="00574CF1"/>
    <w:rsid w:val="005756E2"/>
    <w:rsid w:val="00575D9D"/>
    <w:rsid w:val="0058011E"/>
    <w:rsid w:val="0058184A"/>
    <w:rsid w:val="00581E9E"/>
    <w:rsid w:val="005838E5"/>
    <w:rsid w:val="00583BEE"/>
    <w:rsid w:val="00583C16"/>
    <w:rsid w:val="00583ECD"/>
    <w:rsid w:val="00584573"/>
    <w:rsid w:val="00584FF0"/>
    <w:rsid w:val="0058575B"/>
    <w:rsid w:val="005867F6"/>
    <w:rsid w:val="005869F8"/>
    <w:rsid w:val="005878D7"/>
    <w:rsid w:val="00587ECC"/>
    <w:rsid w:val="00587FC5"/>
    <w:rsid w:val="0059166C"/>
    <w:rsid w:val="00591FCF"/>
    <w:rsid w:val="00592193"/>
    <w:rsid w:val="0059242F"/>
    <w:rsid w:val="005924C2"/>
    <w:rsid w:val="00592A55"/>
    <w:rsid w:val="0059357A"/>
    <w:rsid w:val="00593D94"/>
    <w:rsid w:val="00594570"/>
    <w:rsid w:val="00594C67"/>
    <w:rsid w:val="00595BF3"/>
    <w:rsid w:val="00596332"/>
    <w:rsid w:val="0059785B"/>
    <w:rsid w:val="00597A70"/>
    <w:rsid w:val="00597BED"/>
    <w:rsid w:val="005A009F"/>
    <w:rsid w:val="005A022E"/>
    <w:rsid w:val="005A1059"/>
    <w:rsid w:val="005A1F02"/>
    <w:rsid w:val="005A211A"/>
    <w:rsid w:val="005A2619"/>
    <w:rsid w:val="005A31B5"/>
    <w:rsid w:val="005A3EC1"/>
    <w:rsid w:val="005A3F8E"/>
    <w:rsid w:val="005A69BB"/>
    <w:rsid w:val="005A6CC6"/>
    <w:rsid w:val="005A7D47"/>
    <w:rsid w:val="005A7D7A"/>
    <w:rsid w:val="005B0B2E"/>
    <w:rsid w:val="005B1454"/>
    <w:rsid w:val="005B2684"/>
    <w:rsid w:val="005B2C9D"/>
    <w:rsid w:val="005B2D4B"/>
    <w:rsid w:val="005B32EC"/>
    <w:rsid w:val="005B3A60"/>
    <w:rsid w:val="005B3D36"/>
    <w:rsid w:val="005B3DD8"/>
    <w:rsid w:val="005B4AC3"/>
    <w:rsid w:val="005B4BD0"/>
    <w:rsid w:val="005B5189"/>
    <w:rsid w:val="005B54A2"/>
    <w:rsid w:val="005B60B5"/>
    <w:rsid w:val="005B6245"/>
    <w:rsid w:val="005B668E"/>
    <w:rsid w:val="005B66F4"/>
    <w:rsid w:val="005B683A"/>
    <w:rsid w:val="005B693E"/>
    <w:rsid w:val="005B6C73"/>
    <w:rsid w:val="005B70F1"/>
    <w:rsid w:val="005B7697"/>
    <w:rsid w:val="005B77A2"/>
    <w:rsid w:val="005C19BF"/>
    <w:rsid w:val="005C2F25"/>
    <w:rsid w:val="005C3563"/>
    <w:rsid w:val="005C36E3"/>
    <w:rsid w:val="005C3E36"/>
    <w:rsid w:val="005C3F61"/>
    <w:rsid w:val="005C4C56"/>
    <w:rsid w:val="005C5B2C"/>
    <w:rsid w:val="005C6C02"/>
    <w:rsid w:val="005C6EFA"/>
    <w:rsid w:val="005C6F45"/>
    <w:rsid w:val="005C7E32"/>
    <w:rsid w:val="005D01C9"/>
    <w:rsid w:val="005D09CA"/>
    <w:rsid w:val="005D1DF7"/>
    <w:rsid w:val="005D216D"/>
    <w:rsid w:val="005D2BF3"/>
    <w:rsid w:val="005D3A53"/>
    <w:rsid w:val="005D3E00"/>
    <w:rsid w:val="005D3EF4"/>
    <w:rsid w:val="005D5812"/>
    <w:rsid w:val="005D5CFF"/>
    <w:rsid w:val="005D6159"/>
    <w:rsid w:val="005D686B"/>
    <w:rsid w:val="005D6C88"/>
    <w:rsid w:val="005D6E6C"/>
    <w:rsid w:val="005D76C5"/>
    <w:rsid w:val="005E099D"/>
    <w:rsid w:val="005E1F49"/>
    <w:rsid w:val="005E3B9D"/>
    <w:rsid w:val="005E3BC1"/>
    <w:rsid w:val="005E4784"/>
    <w:rsid w:val="005E53FE"/>
    <w:rsid w:val="005E5648"/>
    <w:rsid w:val="005E781E"/>
    <w:rsid w:val="005E78AF"/>
    <w:rsid w:val="005F1352"/>
    <w:rsid w:val="005F2155"/>
    <w:rsid w:val="005F274E"/>
    <w:rsid w:val="005F36FF"/>
    <w:rsid w:val="005F415D"/>
    <w:rsid w:val="005F4392"/>
    <w:rsid w:val="005F47E6"/>
    <w:rsid w:val="005F4AEA"/>
    <w:rsid w:val="005F57D5"/>
    <w:rsid w:val="005F5FF8"/>
    <w:rsid w:val="005F639C"/>
    <w:rsid w:val="005F66CA"/>
    <w:rsid w:val="005F6ACF"/>
    <w:rsid w:val="005F775F"/>
    <w:rsid w:val="005F794C"/>
    <w:rsid w:val="005F7D68"/>
    <w:rsid w:val="006003CF"/>
    <w:rsid w:val="00600617"/>
    <w:rsid w:val="00600DD1"/>
    <w:rsid w:val="00600DFC"/>
    <w:rsid w:val="00601C34"/>
    <w:rsid w:val="00602906"/>
    <w:rsid w:val="00603674"/>
    <w:rsid w:val="00604CC2"/>
    <w:rsid w:val="00605CB7"/>
    <w:rsid w:val="0060625A"/>
    <w:rsid w:val="00606954"/>
    <w:rsid w:val="006108B9"/>
    <w:rsid w:val="00611A98"/>
    <w:rsid w:val="006124DE"/>
    <w:rsid w:val="00612540"/>
    <w:rsid w:val="00613600"/>
    <w:rsid w:val="00613A05"/>
    <w:rsid w:val="00613C36"/>
    <w:rsid w:val="00614E79"/>
    <w:rsid w:val="00615976"/>
    <w:rsid w:val="00616161"/>
    <w:rsid w:val="00620D5C"/>
    <w:rsid w:val="00621DDF"/>
    <w:rsid w:val="006223C7"/>
    <w:rsid w:val="00622B8F"/>
    <w:rsid w:val="00622C79"/>
    <w:rsid w:val="00624018"/>
    <w:rsid w:val="00624F6E"/>
    <w:rsid w:val="0062506F"/>
    <w:rsid w:val="006262E8"/>
    <w:rsid w:val="00627E82"/>
    <w:rsid w:val="00627EA6"/>
    <w:rsid w:val="00630245"/>
    <w:rsid w:val="00631C8E"/>
    <w:rsid w:val="00633C54"/>
    <w:rsid w:val="00633F80"/>
    <w:rsid w:val="00634539"/>
    <w:rsid w:val="00634B07"/>
    <w:rsid w:val="00637A76"/>
    <w:rsid w:val="0064049D"/>
    <w:rsid w:val="00640A96"/>
    <w:rsid w:val="00640D6C"/>
    <w:rsid w:val="006413E9"/>
    <w:rsid w:val="00641449"/>
    <w:rsid w:val="006421E7"/>
    <w:rsid w:val="00642337"/>
    <w:rsid w:val="00642FC1"/>
    <w:rsid w:val="006433AA"/>
    <w:rsid w:val="00643A1A"/>
    <w:rsid w:val="00644C7E"/>
    <w:rsid w:val="00645404"/>
    <w:rsid w:val="00645EC4"/>
    <w:rsid w:val="00646B4D"/>
    <w:rsid w:val="00647888"/>
    <w:rsid w:val="00647F6E"/>
    <w:rsid w:val="006502CF"/>
    <w:rsid w:val="00650E4E"/>
    <w:rsid w:val="0065203C"/>
    <w:rsid w:val="006523DB"/>
    <w:rsid w:val="00652605"/>
    <w:rsid w:val="006527A3"/>
    <w:rsid w:val="00652D1A"/>
    <w:rsid w:val="00652E3A"/>
    <w:rsid w:val="00654EB9"/>
    <w:rsid w:val="00655AEF"/>
    <w:rsid w:val="006578A2"/>
    <w:rsid w:val="00657A54"/>
    <w:rsid w:val="00657B3B"/>
    <w:rsid w:val="00657E0A"/>
    <w:rsid w:val="00660257"/>
    <w:rsid w:val="00661496"/>
    <w:rsid w:val="00662415"/>
    <w:rsid w:val="0066263E"/>
    <w:rsid w:val="00662C34"/>
    <w:rsid w:val="006630DA"/>
    <w:rsid w:val="006631A6"/>
    <w:rsid w:val="00663C06"/>
    <w:rsid w:val="00664310"/>
    <w:rsid w:val="00664ABD"/>
    <w:rsid w:val="00664E38"/>
    <w:rsid w:val="00665781"/>
    <w:rsid w:val="00671074"/>
    <w:rsid w:val="006714D5"/>
    <w:rsid w:val="006716AD"/>
    <w:rsid w:val="00671710"/>
    <w:rsid w:val="0067192D"/>
    <w:rsid w:val="00671BC8"/>
    <w:rsid w:val="00672729"/>
    <w:rsid w:val="00672B60"/>
    <w:rsid w:val="00672B9B"/>
    <w:rsid w:val="006739CB"/>
    <w:rsid w:val="00674489"/>
    <w:rsid w:val="00674B51"/>
    <w:rsid w:val="00674BF4"/>
    <w:rsid w:val="00675311"/>
    <w:rsid w:val="00676147"/>
    <w:rsid w:val="00676F81"/>
    <w:rsid w:val="00677463"/>
    <w:rsid w:val="00677B4F"/>
    <w:rsid w:val="00680113"/>
    <w:rsid w:val="00680538"/>
    <w:rsid w:val="00680A6C"/>
    <w:rsid w:val="00681001"/>
    <w:rsid w:val="00681186"/>
    <w:rsid w:val="00681FBA"/>
    <w:rsid w:val="006825B1"/>
    <w:rsid w:val="00682852"/>
    <w:rsid w:val="00683749"/>
    <w:rsid w:val="0068457B"/>
    <w:rsid w:val="006867EC"/>
    <w:rsid w:val="006868ED"/>
    <w:rsid w:val="00690684"/>
    <w:rsid w:val="0069075A"/>
    <w:rsid w:val="00690C79"/>
    <w:rsid w:val="00690C82"/>
    <w:rsid w:val="00691C62"/>
    <w:rsid w:val="00691D87"/>
    <w:rsid w:val="00691F9C"/>
    <w:rsid w:val="00692196"/>
    <w:rsid w:val="00692FEB"/>
    <w:rsid w:val="0069355A"/>
    <w:rsid w:val="00694058"/>
    <w:rsid w:val="00695E16"/>
    <w:rsid w:val="00695F03"/>
    <w:rsid w:val="00697DB1"/>
    <w:rsid w:val="006A0285"/>
    <w:rsid w:val="006A0E7F"/>
    <w:rsid w:val="006A1643"/>
    <w:rsid w:val="006A1B41"/>
    <w:rsid w:val="006A32CE"/>
    <w:rsid w:val="006A53D1"/>
    <w:rsid w:val="006A563F"/>
    <w:rsid w:val="006A6620"/>
    <w:rsid w:val="006A6809"/>
    <w:rsid w:val="006A7EC8"/>
    <w:rsid w:val="006B0C5B"/>
    <w:rsid w:val="006B0FC1"/>
    <w:rsid w:val="006B14B4"/>
    <w:rsid w:val="006B2B51"/>
    <w:rsid w:val="006B3CA1"/>
    <w:rsid w:val="006B431D"/>
    <w:rsid w:val="006B49FA"/>
    <w:rsid w:val="006B5874"/>
    <w:rsid w:val="006B6BC5"/>
    <w:rsid w:val="006B7164"/>
    <w:rsid w:val="006B7663"/>
    <w:rsid w:val="006B7B9F"/>
    <w:rsid w:val="006B7D46"/>
    <w:rsid w:val="006C1C2E"/>
    <w:rsid w:val="006C21E1"/>
    <w:rsid w:val="006C36B1"/>
    <w:rsid w:val="006C435B"/>
    <w:rsid w:val="006C4A0A"/>
    <w:rsid w:val="006C61EE"/>
    <w:rsid w:val="006C6C5F"/>
    <w:rsid w:val="006C7520"/>
    <w:rsid w:val="006D09F7"/>
    <w:rsid w:val="006D0C09"/>
    <w:rsid w:val="006D1BBE"/>
    <w:rsid w:val="006D40E6"/>
    <w:rsid w:val="006D41E2"/>
    <w:rsid w:val="006D464F"/>
    <w:rsid w:val="006D52E1"/>
    <w:rsid w:val="006D5C06"/>
    <w:rsid w:val="006D668A"/>
    <w:rsid w:val="006D6BB2"/>
    <w:rsid w:val="006D6C69"/>
    <w:rsid w:val="006D7FCF"/>
    <w:rsid w:val="006E119F"/>
    <w:rsid w:val="006E12CE"/>
    <w:rsid w:val="006E1DEF"/>
    <w:rsid w:val="006E1F9B"/>
    <w:rsid w:val="006E24E2"/>
    <w:rsid w:val="006E26E4"/>
    <w:rsid w:val="006E378A"/>
    <w:rsid w:val="006E3BE7"/>
    <w:rsid w:val="006E5041"/>
    <w:rsid w:val="006E668C"/>
    <w:rsid w:val="006E69E6"/>
    <w:rsid w:val="006E6C9A"/>
    <w:rsid w:val="006F0247"/>
    <w:rsid w:val="006F10C5"/>
    <w:rsid w:val="006F1752"/>
    <w:rsid w:val="006F1BC7"/>
    <w:rsid w:val="006F1ED4"/>
    <w:rsid w:val="006F3BD4"/>
    <w:rsid w:val="006F3DAA"/>
    <w:rsid w:val="006F5025"/>
    <w:rsid w:val="006F5378"/>
    <w:rsid w:val="006F5AD2"/>
    <w:rsid w:val="006F7023"/>
    <w:rsid w:val="006F7996"/>
    <w:rsid w:val="006F7DE2"/>
    <w:rsid w:val="007001CA"/>
    <w:rsid w:val="007008B7"/>
    <w:rsid w:val="00700A1E"/>
    <w:rsid w:val="007010FD"/>
    <w:rsid w:val="007011D5"/>
    <w:rsid w:val="00701861"/>
    <w:rsid w:val="007018D7"/>
    <w:rsid w:val="00701957"/>
    <w:rsid w:val="00701AF8"/>
    <w:rsid w:val="0070252C"/>
    <w:rsid w:val="007033AB"/>
    <w:rsid w:val="007033E1"/>
    <w:rsid w:val="00704B1E"/>
    <w:rsid w:val="00704D31"/>
    <w:rsid w:val="00706750"/>
    <w:rsid w:val="0070762A"/>
    <w:rsid w:val="00710D8E"/>
    <w:rsid w:val="00711D63"/>
    <w:rsid w:val="007141EB"/>
    <w:rsid w:val="00714BCE"/>
    <w:rsid w:val="00716CCC"/>
    <w:rsid w:val="00717D48"/>
    <w:rsid w:val="0072171E"/>
    <w:rsid w:val="00721D2E"/>
    <w:rsid w:val="00722994"/>
    <w:rsid w:val="00722C3D"/>
    <w:rsid w:val="00722F56"/>
    <w:rsid w:val="00722F7F"/>
    <w:rsid w:val="007231EC"/>
    <w:rsid w:val="007236D8"/>
    <w:rsid w:val="007236DF"/>
    <w:rsid w:val="00723DAB"/>
    <w:rsid w:val="00723F88"/>
    <w:rsid w:val="0072489C"/>
    <w:rsid w:val="00726193"/>
    <w:rsid w:val="00726B51"/>
    <w:rsid w:val="00726BF8"/>
    <w:rsid w:val="00726D58"/>
    <w:rsid w:val="0072752B"/>
    <w:rsid w:val="00727A26"/>
    <w:rsid w:val="00727C0D"/>
    <w:rsid w:val="0073034F"/>
    <w:rsid w:val="00730846"/>
    <w:rsid w:val="00730B9A"/>
    <w:rsid w:val="00730FBD"/>
    <w:rsid w:val="0073181F"/>
    <w:rsid w:val="007319B4"/>
    <w:rsid w:val="007326D3"/>
    <w:rsid w:val="00732C00"/>
    <w:rsid w:val="00733652"/>
    <w:rsid w:val="00735147"/>
    <w:rsid w:val="00737AEF"/>
    <w:rsid w:val="00737BA3"/>
    <w:rsid w:val="00740EC9"/>
    <w:rsid w:val="007412BC"/>
    <w:rsid w:val="00741931"/>
    <w:rsid w:val="007421B3"/>
    <w:rsid w:val="007421C0"/>
    <w:rsid w:val="0074229E"/>
    <w:rsid w:val="00742DFF"/>
    <w:rsid w:val="00743905"/>
    <w:rsid w:val="00743EFD"/>
    <w:rsid w:val="0074544A"/>
    <w:rsid w:val="00745838"/>
    <w:rsid w:val="00746531"/>
    <w:rsid w:val="00746688"/>
    <w:rsid w:val="007471B2"/>
    <w:rsid w:val="007500E5"/>
    <w:rsid w:val="00750642"/>
    <w:rsid w:val="00750A24"/>
    <w:rsid w:val="00752C81"/>
    <w:rsid w:val="0075319C"/>
    <w:rsid w:val="00754323"/>
    <w:rsid w:val="00754679"/>
    <w:rsid w:val="00754A81"/>
    <w:rsid w:val="00755FEF"/>
    <w:rsid w:val="00756F7C"/>
    <w:rsid w:val="00757861"/>
    <w:rsid w:val="00761CD9"/>
    <w:rsid w:val="00762599"/>
    <w:rsid w:val="007638EE"/>
    <w:rsid w:val="00763E59"/>
    <w:rsid w:val="00765C72"/>
    <w:rsid w:val="00766336"/>
    <w:rsid w:val="007668F7"/>
    <w:rsid w:val="00766BFC"/>
    <w:rsid w:val="0077005C"/>
    <w:rsid w:val="00770398"/>
    <w:rsid w:val="00770AC4"/>
    <w:rsid w:val="00770C2F"/>
    <w:rsid w:val="00771971"/>
    <w:rsid w:val="00771D74"/>
    <w:rsid w:val="00772138"/>
    <w:rsid w:val="00772290"/>
    <w:rsid w:val="00773622"/>
    <w:rsid w:val="00773A6A"/>
    <w:rsid w:val="00773C66"/>
    <w:rsid w:val="00773ED4"/>
    <w:rsid w:val="00774856"/>
    <w:rsid w:val="00774A42"/>
    <w:rsid w:val="00774E5F"/>
    <w:rsid w:val="00775427"/>
    <w:rsid w:val="0077576B"/>
    <w:rsid w:val="00775941"/>
    <w:rsid w:val="007776CC"/>
    <w:rsid w:val="00777A9D"/>
    <w:rsid w:val="00781ED5"/>
    <w:rsid w:val="0078210A"/>
    <w:rsid w:val="007825C7"/>
    <w:rsid w:val="00784C34"/>
    <w:rsid w:val="0078579C"/>
    <w:rsid w:val="00786629"/>
    <w:rsid w:val="00787136"/>
    <w:rsid w:val="00787649"/>
    <w:rsid w:val="00787DBF"/>
    <w:rsid w:val="007900E7"/>
    <w:rsid w:val="00791713"/>
    <w:rsid w:val="007934AE"/>
    <w:rsid w:val="00793E11"/>
    <w:rsid w:val="00796A2E"/>
    <w:rsid w:val="00797D41"/>
    <w:rsid w:val="007A2683"/>
    <w:rsid w:val="007A2BB6"/>
    <w:rsid w:val="007A2C91"/>
    <w:rsid w:val="007A2F22"/>
    <w:rsid w:val="007A37D2"/>
    <w:rsid w:val="007A3AC8"/>
    <w:rsid w:val="007A3CA1"/>
    <w:rsid w:val="007A47E8"/>
    <w:rsid w:val="007A4E99"/>
    <w:rsid w:val="007A523C"/>
    <w:rsid w:val="007A5E96"/>
    <w:rsid w:val="007B110D"/>
    <w:rsid w:val="007B17CA"/>
    <w:rsid w:val="007B247E"/>
    <w:rsid w:val="007B2FE3"/>
    <w:rsid w:val="007B3FB0"/>
    <w:rsid w:val="007B58BB"/>
    <w:rsid w:val="007B5AFC"/>
    <w:rsid w:val="007B5EE9"/>
    <w:rsid w:val="007B6782"/>
    <w:rsid w:val="007B7C21"/>
    <w:rsid w:val="007B7E66"/>
    <w:rsid w:val="007B7E6C"/>
    <w:rsid w:val="007C0574"/>
    <w:rsid w:val="007C087A"/>
    <w:rsid w:val="007C108F"/>
    <w:rsid w:val="007C1507"/>
    <w:rsid w:val="007C1A4D"/>
    <w:rsid w:val="007C1E35"/>
    <w:rsid w:val="007C2105"/>
    <w:rsid w:val="007C2171"/>
    <w:rsid w:val="007C21CF"/>
    <w:rsid w:val="007C26FD"/>
    <w:rsid w:val="007C2C7B"/>
    <w:rsid w:val="007C3008"/>
    <w:rsid w:val="007C3A71"/>
    <w:rsid w:val="007C3CDF"/>
    <w:rsid w:val="007C44E9"/>
    <w:rsid w:val="007C4F15"/>
    <w:rsid w:val="007C54F7"/>
    <w:rsid w:val="007C7417"/>
    <w:rsid w:val="007C744C"/>
    <w:rsid w:val="007C7C8C"/>
    <w:rsid w:val="007C7E15"/>
    <w:rsid w:val="007D0A1C"/>
    <w:rsid w:val="007D0DA4"/>
    <w:rsid w:val="007D2B59"/>
    <w:rsid w:val="007D2E63"/>
    <w:rsid w:val="007D3270"/>
    <w:rsid w:val="007D47BD"/>
    <w:rsid w:val="007D4834"/>
    <w:rsid w:val="007D51DF"/>
    <w:rsid w:val="007D5A87"/>
    <w:rsid w:val="007D5B75"/>
    <w:rsid w:val="007D5C12"/>
    <w:rsid w:val="007D6103"/>
    <w:rsid w:val="007D7F6D"/>
    <w:rsid w:val="007E00B3"/>
    <w:rsid w:val="007E0855"/>
    <w:rsid w:val="007E0CDA"/>
    <w:rsid w:val="007E1C0D"/>
    <w:rsid w:val="007E3FAD"/>
    <w:rsid w:val="007E6A5A"/>
    <w:rsid w:val="007F03FB"/>
    <w:rsid w:val="007F0550"/>
    <w:rsid w:val="007F24AC"/>
    <w:rsid w:val="007F46DB"/>
    <w:rsid w:val="007F4935"/>
    <w:rsid w:val="007F550A"/>
    <w:rsid w:val="007F6518"/>
    <w:rsid w:val="007F6700"/>
    <w:rsid w:val="007F68C0"/>
    <w:rsid w:val="007F6B60"/>
    <w:rsid w:val="008007A9"/>
    <w:rsid w:val="00800B59"/>
    <w:rsid w:val="00801DCB"/>
    <w:rsid w:val="00802BBF"/>
    <w:rsid w:val="0080301C"/>
    <w:rsid w:val="00803115"/>
    <w:rsid w:val="0080395F"/>
    <w:rsid w:val="00804A42"/>
    <w:rsid w:val="00804D3A"/>
    <w:rsid w:val="00805090"/>
    <w:rsid w:val="008050C6"/>
    <w:rsid w:val="0080592B"/>
    <w:rsid w:val="008060A4"/>
    <w:rsid w:val="00806655"/>
    <w:rsid w:val="008078FA"/>
    <w:rsid w:val="0081054E"/>
    <w:rsid w:val="0081069E"/>
    <w:rsid w:val="00810A5F"/>
    <w:rsid w:val="00810D18"/>
    <w:rsid w:val="00810EE8"/>
    <w:rsid w:val="008110C2"/>
    <w:rsid w:val="0081463B"/>
    <w:rsid w:val="0081636D"/>
    <w:rsid w:val="00817934"/>
    <w:rsid w:val="008203C9"/>
    <w:rsid w:val="008205D4"/>
    <w:rsid w:val="00821C8A"/>
    <w:rsid w:val="008222C4"/>
    <w:rsid w:val="00822FE4"/>
    <w:rsid w:val="00823B7F"/>
    <w:rsid w:val="008246BF"/>
    <w:rsid w:val="00825D10"/>
    <w:rsid w:val="00827663"/>
    <w:rsid w:val="008276F3"/>
    <w:rsid w:val="008312F4"/>
    <w:rsid w:val="0083242E"/>
    <w:rsid w:val="0083271B"/>
    <w:rsid w:val="00835580"/>
    <w:rsid w:val="00837999"/>
    <w:rsid w:val="00840997"/>
    <w:rsid w:val="00841041"/>
    <w:rsid w:val="00842786"/>
    <w:rsid w:val="0084308B"/>
    <w:rsid w:val="00843CF1"/>
    <w:rsid w:val="00844AC7"/>
    <w:rsid w:val="00846284"/>
    <w:rsid w:val="008470E8"/>
    <w:rsid w:val="00847307"/>
    <w:rsid w:val="00847E6D"/>
    <w:rsid w:val="008511FA"/>
    <w:rsid w:val="00851BD7"/>
    <w:rsid w:val="00851D83"/>
    <w:rsid w:val="008524A3"/>
    <w:rsid w:val="00852A72"/>
    <w:rsid w:val="008531F3"/>
    <w:rsid w:val="00853B47"/>
    <w:rsid w:val="00854047"/>
    <w:rsid w:val="008570F9"/>
    <w:rsid w:val="008576A9"/>
    <w:rsid w:val="00857812"/>
    <w:rsid w:val="0086029A"/>
    <w:rsid w:val="00860628"/>
    <w:rsid w:val="00861662"/>
    <w:rsid w:val="00861DDC"/>
    <w:rsid w:val="0086222F"/>
    <w:rsid w:val="0086417C"/>
    <w:rsid w:val="00865652"/>
    <w:rsid w:val="00865EF4"/>
    <w:rsid w:val="008668DD"/>
    <w:rsid w:val="00866B50"/>
    <w:rsid w:val="00866C93"/>
    <w:rsid w:val="0086724F"/>
    <w:rsid w:val="008705D4"/>
    <w:rsid w:val="00870658"/>
    <w:rsid w:val="008709FC"/>
    <w:rsid w:val="00870A4E"/>
    <w:rsid w:val="00870FAD"/>
    <w:rsid w:val="00871588"/>
    <w:rsid w:val="008736EE"/>
    <w:rsid w:val="00873C98"/>
    <w:rsid w:val="0087433F"/>
    <w:rsid w:val="00874567"/>
    <w:rsid w:val="00875A29"/>
    <w:rsid w:val="00875DE0"/>
    <w:rsid w:val="008764E4"/>
    <w:rsid w:val="00876756"/>
    <w:rsid w:val="008769FD"/>
    <w:rsid w:val="008808A5"/>
    <w:rsid w:val="00880A08"/>
    <w:rsid w:val="00880AF9"/>
    <w:rsid w:val="00880B62"/>
    <w:rsid w:val="0088221B"/>
    <w:rsid w:val="0088231A"/>
    <w:rsid w:val="00882381"/>
    <w:rsid w:val="00882B80"/>
    <w:rsid w:val="008840B7"/>
    <w:rsid w:val="00885A3C"/>
    <w:rsid w:val="00885E13"/>
    <w:rsid w:val="00887C57"/>
    <w:rsid w:val="00890468"/>
    <w:rsid w:val="00890FCE"/>
    <w:rsid w:val="00892515"/>
    <w:rsid w:val="00893ADB"/>
    <w:rsid w:val="008951EF"/>
    <w:rsid w:val="00895DED"/>
    <w:rsid w:val="00896D41"/>
    <w:rsid w:val="00897083"/>
    <w:rsid w:val="008A036C"/>
    <w:rsid w:val="008A05F2"/>
    <w:rsid w:val="008A1C47"/>
    <w:rsid w:val="008A1E40"/>
    <w:rsid w:val="008A1E86"/>
    <w:rsid w:val="008A34AE"/>
    <w:rsid w:val="008A446C"/>
    <w:rsid w:val="008A44B4"/>
    <w:rsid w:val="008A4978"/>
    <w:rsid w:val="008A50B4"/>
    <w:rsid w:val="008A5A58"/>
    <w:rsid w:val="008A68CC"/>
    <w:rsid w:val="008B0665"/>
    <w:rsid w:val="008B17D9"/>
    <w:rsid w:val="008B4E72"/>
    <w:rsid w:val="008B4ED5"/>
    <w:rsid w:val="008B5990"/>
    <w:rsid w:val="008B5BD8"/>
    <w:rsid w:val="008C009B"/>
    <w:rsid w:val="008C16C9"/>
    <w:rsid w:val="008C2625"/>
    <w:rsid w:val="008C3D65"/>
    <w:rsid w:val="008C4C4C"/>
    <w:rsid w:val="008C4DFE"/>
    <w:rsid w:val="008C5C5E"/>
    <w:rsid w:val="008C62A5"/>
    <w:rsid w:val="008C717B"/>
    <w:rsid w:val="008C7867"/>
    <w:rsid w:val="008D0D8D"/>
    <w:rsid w:val="008D1656"/>
    <w:rsid w:val="008D181F"/>
    <w:rsid w:val="008D2683"/>
    <w:rsid w:val="008D3C05"/>
    <w:rsid w:val="008D3D95"/>
    <w:rsid w:val="008D4C67"/>
    <w:rsid w:val="008D5E32"/>
    <w:rsid w:val="008D61A1"/>
    <w:rsid w:val="008D6564"/>
    <w:rsid w:val="008D77AA"/>
    <w:rsid w:val="008E00CE"/>
    <w:rsid w:val="008E0B8B"/>
    <w:rsid w:val="008E0E07"/>
    <w:rsid w:val="008E24CF"/>
    <w:rsid w:val="008E2A17"/>
    <w:rsid w:val="008E36DE"/>
    <w:rsid w:val="008E3FB3"/>
    <w:rsid w:val="008E40FD"/>
    <w:rsid w:val="008E4255"/>
    <w:rsid w:val="008E5598"/>
    <w:rsid w:val="008E5658"/>
    <w:rsid w:val="008E69A5"/>
    <w:rsid w:val="008E740B"/>
    <w:rsid w:val="008E7B77"/>
    <w:rsid w:val="008E7FE9"/>
    <w:rsid w:val="008F0F07"/>
    <w:rsid w:val="008F146C"/>
    <w:rsid w:val="008F1B85"/>
    <w:rsid w:val="008F1D29"/>
    <w:rsid w:val="008F2829"/>
    <w:rsid w:val="008F39F6"/>
    <w:rsid w:val="008F413B"/>
    <w:rsid w:val="008F77E4"/>
    <w:rsid w:val="008F7C0E"/>
    <w:rsid w:val="008F7FB8"/>
    <w:rsid w:val="00900814"/>
    <w:rsid w:val="00901837"/>
    <w:rsid w:val="00902601"/>
    <w:rsid w:val="009032CC"/>
    <w:rsid w:val="00904499"/>
    <w:rsid w:val="009045B5"/>
    <w:rsid w:val="00904CBE"/>
    <w:rsid w:val="00905E92"/>
    <w:rsid w:val="0090677C"/>
    <w:rsid w:val="00906FBF"/>
    <w:rsid w:val="00907CD0"/>
    <w:rsid w:val="009102FC"/>
    <w:rsid w:val="0091103A"/>
    <w:rsid w:val="00911124"/>
    <w:rsid w:val="00913F65"/>
    <w:rsid w:val="009143D9"/>
    <w:rsid w:val="009150DC"/>
    <w:rsid w:val="00916837"/>
    <w:rsid w:val="00917A59"/>
    <w:rsid w:val="00920969"/>
    <w:rsid w:val="009211C0"/>
    <w:rsid w:val="00921399"/>
    <w:rsid w:val="00921BA2"/>
    <w:rsid w:val="00921F13"/>
    <w:rsid w:val="00921F57"/>
    <w:rsid w:val="009228A9"/>
    <w:rsid w:val="00923EED"/>
    <w:rsid w:val="00925FAE"/>
    <w:rsid w:val="0093012B"/>
    <w:rsid w:val="009304D1"/>
    <w:rsid w:val="00933291"/>
    <w:rsid w:val="009343F1"/>
    <w:rsid w:val="00934A6A"/>
    <w:rsid w:val="00935197"/>
    <w:rsid w:val="009365EE"/>
    <w:rsid w:val="00937D14"/>
    <w:rsid w:val="00937EA8"/>
    <w:rsid w:val="00940DD4"/>
    <w:rsid w:val="00941A18"/>
    <w:rsid w:val="00941FB8"/>
    <w:rsid w:val="00941FFE"/>
    <w:rsid w:val="00942CC9"/>
    <w:rsid w:val="00943D11"/>
    <w:rsid w:val="009440C4"/>
    <w:rsid w:val="0094499F"/>
    <w:rsid w:val="00944B46"/>
    <w:rsid w:val="00945A8C"/>
    <w:rsid w:val="00945C39"/>
    <w:rsid w:val="00946168"/>
    <w:rsid w:val="00946C0C"/>
    <w:rsid w:val="00950577"/>
    <w:rsid w:val="00952D56"/>
    <w:rsid w:val="00952E28"/>
    <w:rsid w:val="0095389B"/>
    <w:rsid w:val="00954ED9"/>
    <w:rsid w:val="0095574F"/>
    <w:rsid w:val="009559B2"/>
    <w:rsid w:val="00956E6A"/>
    <w:rsid w:val="0095708C"/>
    <w:rsid w:val="00961465"/>
    <w:rsid w:val="00962B18"/>
    <w:rsid w:val="00962DC0"/>
    <w:rsid w:val="0096642D"/>
    <w:rsid w:val="00967A08"/>
    <w:rsid w:val="00967B8C"/>
    <w:rsid w:val="009701DE"/>
    <w:rsid w:val="009713D3"/>
    <w:rsid w:val="00971E21"/>
    <w:rsid w:val="009730C6"/>
    <w:rsid w:val="009731F5"/>
    <w:rsid w:val="00974C8C"/>
    <w:rsid w:val="00975A4D"/>
    <w:rsid w:val="00975B9A"/>
    <w:rsid w:val="00976E45"/>
    <w:rsid w:val="00981E6C"/>
    <w:rsid w:val="00981FD0"/>
    <w:rsid w:val="00982624"/>
    <w:rsid w:val="0098264D"/>
    <w:rsid w:val="00982EEC"/>
    <w:rsid w:val="009830D8"/>
    <w:rsid w:val="009832C7"/>
    <w:rsid w:val="00983DC5"/>
    <w:rsid w:val="009850CF"/>
    <w:rsid w:val="009850E7"/>
    <w:rsid w:val="00985A89"/>
    <w:rsid w:val="00985E2E"/>
    <w:rsid w:val="00985EE9"/>
    <w:rsid w:val="009862D9"/>
    <w:rsid w:val="00986586"/>
    <w:rsid w:val="00986BDE"/>
    <w:rsid w:val="00990A0D"/>
    <w:rsid w:val="00991164"/>
    <w:rsid w:val="009920F8"/>
    <w:rsid w:val="009927A2"/>
    <w:rsid w:val="00993140"/>
    <w:rsid w:val="0099387B"/>
    <w:rsid w:val="00993CDB"/>
    <w:rsid w:val="00995F16"/>
    <w:rsid w:val="009969B3"/>
    <w:rsid w:val="00996EED"/>
    <w:rsid w:val="00997938"/>
    <w:rsid w:val="009A016F"/>
    <w:rsid w:val="009A07D8"/>
    <w:rsid w:val="009A1866"/>
    <w:rsid w:val="009A1A94"/>
    <w:rsid w:val="009A1CB5"/>
    <w:rsid w:val="009A21D2"/>
    <w:rsid w:val="009A2554"/>
    <w:rsid w:val="009A25FE"/>
    <w:rsid w:val="009A2C51"/>
    <w:rsid w:val="009A2DA9"/>
    <w:rsid w:val="009A31F8"/>
    <w:rsid w:val="009A3D19"/>
    <w:rsid w:val="009A42BD"/>
    <w:rsid w:val="009A43D2"/>
    <w:rsid w:val="009A4CEE"/>
    <w:rsid w:val="009A6250"/>
    <w:rsid w:val="009A6686"/>
    <w:rsid w:val="009A692F"/>
    <w:rsid w:val="009A6E8A"/>
    <w:rsid w:val="009A6F93"/>
    <w:rsid w:val="009A78F1"/>
    <w:rsid w:val="009A7C09"/>
    <w:rsid w:val="009B1596"/>
    <w:rsid w:val="009B3938"/>
    <w:rsid w:val="009B43A7"/>
    <w:rsid w:val="009B4E25"/>
    <w:rsid w:val="009B5322"/>
    <w:rsid w:val="009B5DF7"/>
    <w:rsid w:val="009B69E2"/>
    <w:rsid w:val="009B6FC6"/>
    <w:rsid w:val="009B6FF4"/>
    <w:rsid w:val="009B72E3"/>
    <w:rsid w:val="009C0444"/>
    <w:rsid w:val="009C1F47"/>
    <w:rsid w:val="009C2FAA"/>
    <w:rsid w:val="009C3092"/>
    <w:rsid w:val="009C3ABC"/>
    <w:rsid w:val="009C460C"/>
    <w:rsid w:val="009C4FD2"/>
    <w:rsid w:val="009C514E"/>
    <w:rsid w:val="009C6609"/>
    <w:rsid w:val="009C6FC8"/>
    <w:rsid w:val="009D005B"/>
    <w:rsid w:val="009D0BD4"/>
    <w:rsid w:val="009D1EFF"/>
    <w:rsid w:val="009D3080"/>
    <w:rsid w:val="009D31DA"/>
    <w:rsid w:val="009D3756"/>
    <w:rsid w:val="009D40E1"/>
    <w:rsid w:val="009D4918"/>
    <w:rsid w:val="009D55B4"/>
    <w:rsid w:val="009D6295"/>
    <w:rsid w:val="009D64B5"/>
    <w:rsid w:val="009D7538"/>
    <w:rsid w:val="009D774A"/>
    <w:rsid w:val="009D7938"/>
    <w:rsid w:val="009E4BF9"/>
    <w:rsid w:val="009E5F5C"/>
    <w:rsid w:val="009E68BB"/>
    <w:rsid w:val="009E7CB2"/>
    <w:rsid w:val="009E7E8A"/>
    <w:rsid w:val="009F000B"/>
    <w:rsid w:val="009F08E3"/>
    <w:rsid w:val="009F0CA8"/>
    <w:rsid w:val="009F1360"/>
    <w:rsid w:val="009F1763"/>
    <w:rsid w:val="009F27BF"/>
    <w:rsid w:val="009F28BE"/>
    <w:rsid w:val="009F2BFB"/>
    <w:rsid w:val="009F43C8"/>
    <w:rsid w:val="009F44AE"/>
    <w:rsid w:val="009F4EBD"/>
    <w:rsid w:val="009F5735"/>
    <w:rsid w:val="009F6044"/>
    <w:rsid w:val="009F66E3"/>
    <w:rsid w:val="009F6B29"/>
    <w:rsid w:val="009F7DA2"/>
    <w:rsid w:val="00A00032"/>
    <w:rsid w:val="00A0037F"/>
    <w:rsid w:val="00A01B24"/>
    <w:rsid w:val="00A04895"/>
    <w:rsid w:val="00A05AB9"/>
    <w:rsid w:val="00A05F52"/>
    <w:rsid w:val="00A067D9"/>
    <w:rsid w:val="00A10296"/>
    <w:rsid w:val="00A11347"/>
    <w:rsid w:val="00A1288E"/>
    <w:rsid w:val="00A129EB"/>
    <w:rsid w:val="00A13319"/>
    <w:rsid w:val="00A14631"/>
    <w:rsid w:val="00A1473E"/>
    <w:rsid w:val="00A152F8"/>
    <w:rsid w:val="00A154F2"/>
    <w:rsid w:val="00A168CD"/>
    <w:rsid w:val="00A16F46"/>
    <w:rsid w:val="00A205AC"/>
    <w:rsid w:val="00A20802"/>
    <w:rsid w:val="00A2095B"/>
    <w:rsid w:val="00A2157C"/>
    <w:rsid w:val="00A24ABD"/>
    <w:rsid w:val="00A25286"/>
    <w:rsid w:val="00A2569E"/>
    <w:rsid w:val="00A26B67"/>
    <w:rsid w:val="00A26BD4"/>
    <w:rsid w:val="00A26D17"/>
    <w:rsid w:val="00A26DEF"/>
    <w:rsid w:val="00A30C37"/>
    <w:rsid w:val="00A30C38"/>
    <w:rsid w:val="00A31108"/>
    <w:rsid w:val="00A3161A"/>
    <w:rsid w:val="00A325CA"/>
    <w:rsid w:val="00A32A91"/>
    <w:rsid w:val="00A330EE"/>
    <w:rsid w:val="00A35F75"/>
    <w:rsid w:val="00A364FC"/>
    <w:rsid w:val="00A36A0F"/>
    <w:rsid w:val="00A37A51"/>
    <w:rsid w:val="00A37EB4"/>
    <w:rsid w:val="00A40F49"/>
    <w:rsid w:val="00A423AB"/>
    <w:rsid w:val="00A42768"/>
    <w:rsid w:val="00A428D8"/>
    <w:rsid w:val="00A430A5"/>
    <w:rsid w:val="00A4318E"/>
    <w:rsid w:val="00A43325"/>
    <w:rsid w:val="00A45EB3"/>
    <w:rsid w:val="00A460CC"/>
    <w:rsid w:val="00A4636A"/>
    <w:rsid w:val="00A46DE0"/>
    <w:rsid w:val="00A50576"/>
    <w:rsid w:val="00A51457"/>
    <w:rsid w:val="00A542F2"/>
    <w:rsid w:val="00A5473B"/>
    <w:rsid w:val="00A54FA7"/>
    <w:rsid w:val="00A552CE"/>
    <w:rsid w:val="00A5587D"/>
    <w:rsid w:val="00A55981"/>
    <w:rsid w:val="00A55E20"/>
    <w:rsid w:val="00A569DC"/>
    <w:rsid w:val="00A56A6B"/>
    <w:rsid w:val="00A56ED1"/>
    <w:rsid w:val="00A611C1"/>
    <w:rsid w:val="00A620FD"/>
    <w:rsid w:val="00A6309B"/>
    <w:rsid w:val="00A6548F"/>
    <w:rsid w:val="00A6709D"/>
    <w:rsid w:val="00A67361"/>
    <w:rsid w:val="00A6769C"/>
    <w:rsid w:val="00A67BF7"/>
    <w:rsid w:val="00A70206"/>
    <w:rsid w:val="00A706AA"/>
    <w:rsid w:val="00A709CA"/>
    <w:rsid w:val="00A7248C"/>
    <w:rsid w:val="00A72DAD"/>
    <w:rsid w:val="00A73183"/>
    <w:rsid w:val="00A73D14"/>
    <w:rsid w:val="00A74024"/>
    <w:rsid w:val="00A74196"/>
    <w:rsid w:val="00A74547"/>
    <w:rsid w:val="00A756EB"/>
    <w:rsid w:val="00A75833"/>
    <w:rsid w:val="00A75A10"/>
    <w:rsid w:val="00A75AE3"/>
    <w:rsid w:val="00A75F1E"/>
    <w:rsid w:val="00A7749D"/>
    <w:rsid w:val="00A77CB3"/>
    <w:rsid w:val="00A77F19"/>
    <w:rsid w:val="00A810C1"/>
    <w:rsid w:val="00A81AC0"/>
    <w:rsid w:val="00A81F4E"/>
    <w:rsid w:val="00A82CAE"/>
    <w:rsid w:val="00A830FF"/>
    <w:rsid w:val="00A833B5"/>
    <w:rsid w:val="00A8359B"/>
    <w:rsid w:val="00A85639"/>
    <w:rsid w:val="00A85ABC"/>
    <w:rsid w:val="00A865C9"/>
    <w:rsid w:val="00A86CB8"/>
    <w:rsid w:val="00A905B4"/>
    <w:rsid w:val="00A90C29"/>
    <w:rsid w:val="00A91123"/>
    <w:rsid w:val="00A92313"/>
    <w:rsid w:val="00A92A61"/>
    <w:rsid w:val="00A92D70"/>
    <w:rsid w:val="00A9331C"/>
    <w:rsid w:val="00A936F8"/>
    <w:rsid w:val="00A93CE3"/>
    <w:rsid w:val="00A94BC0"/>
    <w:rsid w:val="00A94EFC"/>
    <w:rsid w:val="00A95133"/>
    <w:rsid w:val="00A956F5"/>
    <w:rsid w:val="00A958D0"/>
    <w:rsid w:val="00A96B94"/>
    <w:rsid w:val="00A96F26"/>
    <w:rsid w:val="00AA0116"/>
    <w:rsid w:val="00AA01A8"/>
    <w:rsid w:val="00AA17A4"/>
    <w:rsid w:val="00AA323A"/>
    <w:rsid w:val="00AA3384"/>
    <w:rsid w:val="00AA41C4"/>
    <w:rsid w:val="00AA5194"/>
    <w:rsid w:val="00AA6296"/>
    <w:rsid w:val="00AA68A5"/>
    <w:rsid w:val="00AA6BF9"/>
    <w:rsid w:val="00AB1EA3"/>
    <w:rsid w:val="00AB2F3A"/>
    <w:rsid w:val="00AB3189"/>
    <w:rsid w:val="00AB38A6"/>
    <w:rsid w:val="00AB3C31"/>
    <w:rsid w:val="00AB3CFB"/>
    <w:rsid w:val="00AB42E4"/>
    <w:rsid w:val="00AB4CF6"/>
    <w:rsid w:val="00AB5D28"/>
    <w:rsid w:val="00AB6B48"/>
    <w:rsid w:val="00AB7553"/>
    <w:rsid w:val="00AB7B54"/>
    <w:rsid w:val="00AB7FAF"/>
    <w:rsid w:val="00AC017F"/>
    <w:rsid w:val="00AC100D"/>
    <w:rsid w:val="00AC389A"/>
    <w:rsid w:val="00AC3D31"/>
    <w:rsid w:val="00AC3E8A"/>
    <w:rsid w:val="00AC4B87"/>
    <w:rsid w:val="00AC5403"/>
    <w:rsid w:val="00AC57D4"/>
    <w:rsid w:val="00AC77D0"/>
    <w:rsid w:val="00AD00D9"/>
    <w:rsid w:val="00AD2117"/>
    <w:rsid w:val="00AD2200"/>
    <w:rsid w:val="00AD234F"/>
    <w:rsid w:val="00AD2C1A"/>
    <w:rsid w:val="00AD3203"/>
    <w:rsid w:val="00AD479B"/>
    <w:rsid w:val="00AD4B14"/>
    <w:rsid w:val="00AD5198"/>
    <w:rsid w:val="00AD56BC"/>
    <w:rsid w:val="00AD57C4"/>
    <w:rsid w:val="00AD5B33"/>
    <w:rsid w:val="00AD5DE7"/>
    <w:rsid w:val="00AD6899"/>
    <w:rsid w:val="00AD6B5C"/>
    <w:rsid w:val="00AD75B7"/>
    <w:rsid w:val="00AE0596"/>
    <w:rsid w:val="00AE0DE4"/>
    <w:rsid w:val="00AE1BE3"/>
    <w:rsid w:val="00AE1FAB"/>
    <w:rsid w:val="00AE2275"/>
    <w:rsid w:val="00AE303C"/>
    <w:rsid w:val="00AE30DD"/>
    <w:rsid w:val="00AE410E"/>
    <w:rsid w:val="00AE496F"/>
    <w:rsid w:val="00AE4A02"/>
    <w:rsid w:val="00AE5BC2"/>
    <w:rsid w:val="00AE5FDC"/>
    <w:rsid w:val="00AE7D89"/>
    <w:rsid w:val="00AF04BC"/>
    <w:rsid w:val="00AF059A"/>
    <w:rsid w:val="00AF14D3"/>
    <w:rsid w:val="00AF17DE"/>
    <w:rsid w:val="00AF1FAC"/>
    <w:rsid w:val="00AF4397"/>
    <w:rsid w:val="00AF53E2"/>
    <w:rsid w:val="00AF61F4"/>
    <w:rsid w:val="00AF620E"/>
    <w:rsid w:val="00AF6B33"/>
    <w:rsid w:val="00AF6CC5"/>
    <w:rsid w:val="00AF6FFC"/>
    <w:rsid w:val="00B00049"/>
    <w:rsid w:val="00B00B47"/>
    <w:rsid w:val="00B018BE"/>
    <w:rsid w:val="00B01EF5"/>
    <w:rsid w:val="00B027D9"/>
    <w:rsid w:val="00B035BE"/>
    <w:rsid w:val="00B04D54"/>
    <w:rsid w:val="00B05553"/>
    <w:rsid w:val="00B0577A"/>
    <w:rsid w:val="00B05BBF"/>
    <w:rsid w:val="00B05DE5"/>
    <w:rsid w:val="00B06187"/>
    <w:rsid w:val="00B066D4"/>
    <w:rsid w:val="00B07338"/>
    <w:rsid w:val="00B100BC"/>
    <w:rsid w:val="00B11570"/>
    <w:rsid w:val="00B11885"/>
    <w:rsid w:val="00B126CF"/>
    <w:rsid w:val="00B13114"/>
    <w:rsid w:val="00B14256"/>
    <w:rsid w:val="00B157C6"/>
    <w:rsid w:val="00B16356"/>
    <w:rsid w:val="00B20058"/>
    <w:rsid w:val="00B20E99"/>
    <w:rsid w:val="00B2279D"/>
    <w:rsid w:val="00B22D68"/>
    <w:rsid w:val="00B24C7F"/>
    <w:rsid w:val="00B25116"/>
    <w:rsid w:val="00B259A9"/>
    <w:rsid w:val="00B25D46"/>
    <w:rsid w:val="00B26441"/>
    <w:rsid w:val="00B2719B"/>
    <w:rsid w:val="00B27BBC"/>
    <w:rsid w:val="00B30961"/>
    <w:rsid w:val="00B30ADB"/>
    <w:rsid w:val="00B30E8E"/>
    <w:rsid w:val="00B310B6"/>
    <w:rsid w:val="00B318AA"/>
    <w:rsid w:val="00B33C33"/>
    <w:rsid w:val="00B34555"/>
    <w:rsid w:val="00B34B18"/>
    <w:rsid w:val="00B366DB"/>
    <w:rsid w:val="00B36941"/>
    <w:rsid w:val="00B369D0"/>
    <w:rsid w:val="00B373DF"/>
    <w:rsid w:val="00B37FC4"/>
    <w:rsid w:val="00B405B5"/>
    <w:rsid w:val="00B417C7"/>
    <w:rsid w:val="00B4209E"/>
    <w:rsid w:val="00B431D3"/>
    <w:rsid w:val="00B43ACA"/>
    <w:rsid w:val="00B4401A"/>
    <w:rsid w:val="00B4489B"/>
    <w:rsid w:val="00B44A0B"/>
    <w:rsid w:val="00B45045"/>
    <w:rsid w:val="00B46AFB"/>
    <w:rsid w:val="00B470DC"/>
    <w:rsid w:val="00B4749C"/>
    <w:rsid w:val="00B47CCE"/>
    <w:rsid w:val="00B504CD"/>
    <w:rsid w:val="00B52771"/>
    <w:rsid w:val="00B52BD5"/>
    <w:rsid w:val="00B52C1D"/>
    <w:rsid w:val="00B53C78"/>
    <w:rsid w:val="00B557C0"/>
    <w:rsid w:val="00B56AF8"/>
    <w:rsid w:val="00B57158"/>
    <w:rsid w:val="00B579D9"/>
    <w:rsid w:val="00B57AC5"/>
    <w:rsid w:val="00B603D1"/>
    <w:rsid w:val="00B604FF"/>
    <w:rsid w:val="00B60569"/>
    <w:rsid w:val="00B608AD"/>
    <w:rsid w:val="00B61C7B"/>
    <w:rsid w:val="00B643FB"/>
    <w:rsid w:val="00B64AF3"/>
    <w:rsid w:val="00B64EFD"/>
    <w:rsid w:val="00B656D0"/>
    <w:rsid w:val="00B65761"/>
    <w:rsid w:val="00B67ECF"/>
    <w:rsid w:val="00B706E1"/>
    <w:rsid w:val="00B70A93"/>
    <w:rsid w:val="00B710A8"/>
    <w:rsid w:val="00B7202E"/>
    <w:rsid w:val="00B72855"/>
    <w:rsid w:val="00B73F95"/>
    <w:rsid w:val="00B740C0"/>
    <w:rsid w:val="00B748D2"/>
    <w:rsid w:val="00B7628A"/>
    <w:rsid w:val="00B7645F"/>
    <w:rsid w:val="00B76916"/>
    <w:rsid w:val="00B8229B"/>
    <w:rsid w:val="00B82C0C"/>
    <w:rsid w:val="00B832F0"/>
    <w:rsid w:val="00B834B1"/>
    <w:rsid w:val="00B83E01"/>
    <w:rsid w:val="00B8423E"/>
    <w:rsid w:val="00B850AD"/>
    <w:rsid w:val="00B86FC6"/>
    <w:rsid w:val="00B874A1"/>
    <w:rsid w:val="00B8762F"/>
    <w:rsid w:val="00B90012"/>
    <w:rsid w:val="00B9033D"/>
    <w:rsid w:val="00B91329"/>
    <w:rsid w:val="00B917C5"/>
    <w:rsid w:val="00B925B0"/>
    <w:rsid w:val="00B92ABF"/>
    <w:rsid w:val="00B92ADF"/>
    <w:rsid w:val="00B92EB0"/>
    <w:rsid w:val="00B949B0"/>
    <w:rsid w:val="00B94E25"/>
    <w:rsid w:val="00B95AED"/>
    <w:rsid w:val="00B95CD4"/>
    <w:rsid w:val="00B9682E"/>
    <w:rsid w:val="00B975AF"/>
    <w:rsid w:val="00B9778E"/>
    <w:rsid w:val="00BA03CC"/>
    <w:rsid w:val="00BA412B"/>
    <w:rsid w:val="00BA531C"/>
    <w:rsid w:val="00BA5433"/>
    <w:rsid w:val="00BA5ED2"/>
    <w:rsid w:val="00BA6305"/>
    <w:rsid w:val="00BA66BF"/>
    <w:rsid w:val="00BA6AB6"/>
    <w:rsid w:val="00BA6B5F"/>
    <w:rsid w:val="00BA6E44"/>
    <w:rsid w:val="00BA77A4"/>
    <w:rsid w:val="00BA78A6"/>
    <w:rsid w:val="00BA797A"/>
    <w:rsid w:val="00BB007A"/>
    <w:rsid w:val="00BB0360"/>
    <w:rsid w:val="00BB0D0C"/>
    <w:rsid w:val="00BB12CF"/>
    <w:rsid w:val="00BB1772"/>
    <w:rsid w:val="00BB23B1"/>
    <w:rsid w:val="00BB248F"/>
    <w:rsid w:val="00BB27E2"/>
    <w:rsid w:val="00BB3BF0"/>
    <w:rsid w:val="00BB5F4E"/>
    <w:rsid w:val="00BC1315"/>
    <w:rsid w:val="00BC140D"/>
    <w:rsid w:val="00BC1546"/>
    <w:rsid w:val="00BC177D"/>
    <w:rsid w:val="00BC1780"/>
    <w:rsid w:val="00BC17EA"/>
    <w:rsid w:val="00BC18D3"/>
    <w:rsid w:val="00BC1DD7"/>
    <w:rsid w:val="00BC3550"/>
    <w:rsid w:val="00BC4666"/>
    <w:rsid w:val="00BC5C5B"/>
    <w:rsid w:val="00BC5EE4"/>
    <w:rsid w:val="00BC6976"/>
    <w:rsid w:val="00BC6FA8"/>
    <w:rsid w:val="00BD04BF"/>
    <w:rsid w:val="00BD06C5"/>
    <w:rsid w:val="00BD210D"/>
    <w:rsid w:val="00BD2B44"/>
    <w:rsid w:val="00BD57CC"/>
    <w:rsid w:val="00BD62CC"/>
    <w:rsid w:val="00BD6F5B"/>
    <w:rsid w:val="00BD7240"/>
    <w:rsid w:val="00BD76D9"/>
    <w:rsid w:val="00BD79CE"/>
    <w:rsid w:val="00BE05B3"/>
    <w:rsid w:val="00BE0B36"/>
    <w:rsid w:val="00BE195C"/>
    <w:rsid w:val="00BE1C31"/>
    <w:rsid w:val="00BE2C32"/>
    <w:rsid w:val="00BE3BBB"/>
    <w:rsid w:val="00BE6109"/>
    <w:rsid w:val="00BE751E"/>
    <w:rsid w:val="00BE78D7"/>
    <w:rsid w:val="00BE7D0F"/>
    <w:rsid w:val="00BF0346"/>
    <w:rsid w:val="00BF06C0"/>
    <w:rsid w:val="00BF088C"/>
    <w:rsid w:val="00BF0993"/>
    <w:rsid w:val="00BF0ABA"/>
    <w:rsid w:val="00BF14F7"/>
    <w:rsid w:val="00BF28F9"/>
    <w:rsid w:val="00BF30B9"/>
    <w:rsid w:val="00BF3C3F"/>
    <w:rsid w:val="00BF53CC"/>
    <w:rsid w:val="00BF5B30"/>
    <w:rsid w:val="00BF5BBC"/>
    <w:rsid w:val="00BF676C"/>
    <w:rsid w:val="00BF6BD4"/>
    <w:rsid w:val="00C0005C"/>
    <w:rsid w:val="00C003C4"/>
    <w:rsid w:val="00C00C19"/>
    <w:rsid w:val="00C03826"/>
    <w:rsid w:val="00C03D69"/>
    <w:rsid w:val="00C0586D"/>
    <w:rsid w:val="00C07676"/>
    <w:rsid w:val="00C079B1"/>
    <w:rsid w:val="00C10406"/>
    <w:rsid w:val="00C119D4"/>
    <w:rsid w:val="00C14733"/>
    <w:rsid w:val="00C15D02"/>
    <w:rsid w:val="00C163C0"/>
    <w:rsid w:val="00C1664D"/>
    <w:rsid w:val="00C16B01"/>
    <w:rsid w:val="00C17396"/>
    <w:rsid w:val="00C175C7"/>
    <w:rsid w:val="00C202A9"/>
    <w:rsid w:val="00C20651"/>
    <w:rsid w:val="00C20ABA"/>
    <w:rsid w:val="00C21957"/>
    <w:rsid w:val="00C227F4"/>
    <w:rsid w:val="00C22B4C"/>
    <w:rsid w:val="00C22D3E"/>
    <w:rsid w:val="00C233AA"/>
    <w:rsid w:val="00C23F2B"/>
    <w:rsid w:val="00C25A7F"/>
    <w:rsid w:val="00C25B7B"/>
    <w:rsid w:val="00C25F98"/>
    <w:rsid w:val="00C2787D"/>
    <w:rsid w:val="00C27A71"/>
    <w:rsid w:val="00C30215"/>
    <w:rsid w:val="00C30FE6"/>
    <w:rsid w:val="00C32840"/>
    <w:rsid w:val="00C330C5"/>
    <w:rsid w:val="00C339FD"/>
    <w:rsid w:val="00C343FF"/>
    <w:rsid w:val="00C351B5"/>
    <w:rsid w:val="00C36C3F"/>
    <w:rsid w:val="00C376E1"/>
    <w:rsid w:val="00C406A3"/>
    <w:rsid w:val="00C412CE"/>
    <w:rsid w:val="00C42260"/>
    <w:rsid w:val="00C43152"/>
    <w:rsid w:val="00C445E5"/>
    <w:rsid w:val="00C45353"/>
    <w:rsid w:val="00C46076"/>
    <w:rsid w:val="00C47879"/>
    <w:rsid w:val="00C507EE"/>
    <w:rsid w:val="00C50FA4"/>
    <w:rsid w:val="00C51091"/>
    <w:rsid w:val="00C527FD"/>
    <w:rsid w:val="00C54682"/>
    <w:rsid w:val="00C55CF4"/>
    <w:rsid w:val="00C55F8E"/>
    <w:rsid w:val="00C56D89"/>
    <w:rsid w:val="00C574F9"/>
    <w:rsid w:val="00C57984"/>
    <w:rsid w:val="00C57DAB"/>
    <w:rsid w:val="00C57DBF"/>
    <w:rsid w:val="00C61F50"/>
    <w:rsid w:val="00C62C6D"/>
    <w:rsid w:val="00C64DCA"/>
    <w:rsid w:val="00C65A94"/>
    <w:rsid w:val="00C65B0E"/>
    <w:rsid w:val="00C65EBD"/>
    <w:rsid w:val="00C66A22"/>
    <w:rsid w:val="00C70088"/>
    <w:rsid w:val="00C71F3B"/>
    <w:rsid w:val="00C722ED"/>
    <w:rsid w:val="00C72BD5"/>
    <w:rsid w:val="00C7352F"/>
    <w:rsid w:val="00C746A7"/>
    <w:rsid w:val="00C75734"/>
    <w:rsid w:val="00C75888"/>
    <w:rsid w:val="00C75FA5"/>
    <w:rsid w:val="00C76CD3"/>
    <w:rsid w:val="00C770B7"/>
    <w:rsid w:val="00C7721B"/>
    <w:rsid w:val="00C773B5"/>
    <w:rsid w:val="00C812FC"/>
    <w:rsid w:val="00C81760"/>
    <w:rsid w:val="00C826C2"/>
    <w:rsid w:val="00C82B1D"/>
    <w:rsid w:val="00C82B5C"/>
    <w:rsid w:val="00C82E15"/>
    <w:rsid w:val="00C830C5"/>
    <w:rsid w:val="00C839CB"/>
    <w:rsid w:val="00C83CE4"/>
    <w:rsid w:val="00C85371"/>
    <w:rsid w:val="00C853B4"/>
    <w:rsid w:val="00C858A5"/>
    <w:rsid w:val="00C86103"/>
    <w:rsid w:val="00C87CB2"/>
    <w:rsid w:val="00C90E1C"/>
    <w:rsid w:val="00C90E25"/>
    <w:rsid w:val="00C915E7"/>
    <w:rsid w:val="00C91FFC"/>
    <w:rsid w:val="00C931DB"/>
    <w:rsid w:val="00C933B7"/>
    <w:rsid w:val="00C937D8"/>
    <w:rsid w:val="00C93849"/>
    <w:rsid w:val="00C9527C"/>
    <w:rsid w:val="00C95FFD"/>
    <w:rsid w:val="00C96210"/>
    <w:rsid w:val="00C97941"/>
    <w:rsid w:val="00CA097D"/>
    <w:rsid w:val="00CA19C1"/>
    <w:rsid w:val="00CA2EB1"/>
    <w:rsid w:val="00CA2FD2"/>
    <w:rsid w:val="00CA41E9"/>
    <w:rsid w:val="00CA4E16"/>
    <w:rsid w:val="00CA5ACE"/>
    <w:rsid w:val="00CA63A9"/>
    <w:rsid w:val="00CA653D"/>
    <w:rsid w:val="00CA65AA"/>
    <w:rsid w:val="00CA73FB"/>
    <w:rsid w:val="00CA75D4"/>
    <w:rsid w:val="00CB0356"/>
    <w:rsid w:val="00CB03A2"/>
    <w:rsid w:val="00CB137F"/>
    <w:rsid w:val="00CB1857"/>
    <w:rsid w:val="00CB1D83"/>
    <w:rsid w:val="00CB2171"/>
    <w:rsid w:val="00CB25F3"/>
    <w:rsid w:val="00CB287D"/>
    <w:rsid w:val="00CB2ACC"/>
    <w:rsid w:val="00CB376C"/>
    <w:rsid w:val="00CB4614"/>
    <w:rsid w:val="00CB4B94"/>
    <w:rsid w:val="00CB4FA7"/>
    <w:rsid w:val="00CB537B"/>
    <w:rsid w:val="00CB56CD"/>
    <w:rsid w:val="00CB6B02"/>
    <w:rsid w:val="00CB6FAB"/>
    <w:rsid w:val="00CC03E2"/>
    <w:rsid w:val="00CC1944"/>
    <w:rsid w:val="00CC291C"/>
    <w:rsid w:val="00CC3B3A"/>
    <w:rsid w:val="00CC4602"/>
    <w:rsid w:val="00CC4A54"/>
    <w:rsid w:val="00CC4D6B"/>
    <w:rsid w:val="00CC4ED9"/>
    <w:rsid w:val="00CC50DB"/>
    <w:rsid w:val="00CC6CD6"/>
    <w:rsid w:val="00CC6E9D"/>
    <w:rsid w:val="00CC6F54"/>
    <w:rsid w:val="00CC732E"/>
    <w:rsid w:val="00CC7914"/>
    <w:rsid w:val="00CD0A43"/>
    <w:rsid w:val="00CD1D0F"/>
    <w:rsid w:val="00CD1FAB"/>
    <w:rsid w:val="00CD211A"/>
    <w:rsid w:val="00CD318F"/>
    <w:rsid w:val="00CD36E9"/>
    <w:rsid w:val="00CD3CCF"/>
    <w:rsid w:val="00CD3D3C"/>
    <w:rsid w:val="00CD4344"/>
    <w:rsid w:val="00CD54B0"/>
    <w:rsid w:val="00CD56B6"/>
    <w:rsid w:val="00CD58A8"/>
    <w:rsid w:val="00CD60CB"/>
    <w:rsid w:val="00CD664C"/>
    <w:rsid w:val="00CD71AD"/>
    <w:rsid w:val="00CD745D"/>
    <w:rsid w:val="00CD76CD"/>
    <w:rsid w:val="00CE024A"/>
    <w:rsid w:val="00CE02A9"/>
    <w:rsid w:val="00CE0683"/>
    <w:rsid w:val="00CE0E76"/>
    <w:rsid w:val="00CE0EAD"/>
    <w:rsid w:val="00CE1318"/>
    <w:rsid w:val="00CE2752"/>
    <w:rsid w:val="00CE2AEC"/>
    <w:rsid w:val="00CE33B9"/>
    <w:rsid w:val="00CE346F"/>
    <w:rsid w:val="00CE3910"/>
    <w:rsid w:val="00CE3936"/>
    <w:rsid w:val="00CE399C"/>
    <w:rsid w:val="00CE3ADD"/>
    <w:rsid w:val="00CE50BD"/>
    <w:rsid w:val="00CE6D26"/>
    <w:rsid w:val="00CE7248"/>
    <w:rsid w:val="00CE731A"/>
    <w:rsid w:val="00CE75F3"/>
    <w:rsid w:val="00CF034F"/>
    <w:rsid w:val="00CF0E45"/>
    <w:rsid w:val="00CF0E6D"/>
    <w:rsid w:val="00CF30F1"/>
    <w:rsid w:val="00CF5964"/>
    <w:rsid w:val="00CF5BB9"/>
    <w:rsid w:val="00CF5EEC"/>
    <w:rsid w:val="00CF669F"/>
    <w:rsid w:val="00CF6CD0"/>
    <w:rsid w:val="00CF6E85"/>
    <w:rsid w:val="00CF7970"/>
    <w:rsid w:val="00D0171C"/>
    <w:rsid w:val="00D0193B"/>
    <w:rsid w:val="00D01E57"/>
    <w:rsid w:val="00D02605"/>
    <w:rsid w:val="00D026C0"/>
    <w:rsid w:val="00D03266"/>
    <w:rsid w:val="00D03471"/>
    <w:rsid w:val="00D03622"/>
    <w:rsid w:val="00D03BD1"/>
    <w:rsid w:val="00D05318"/>
    <w:rsid w:val="00D05670"/>
    <w:rsid w:val="00D06132"/>
    <w:rsid w:val="00D061F5"/>
    <w:rsid w:val="00D0643A"/>
    <w:rsid w:val="00D070EC"/>
    <w:rsid w:val="00D07705"/>
    <w:rsid w:val="00D0791F"/>
    <w:rsid w:val="00D10482"/>
    <w:rsid w:val="00D107D8"/>
    <w:rsid w:val="00D10A70"/>
    <w:rsid w:val="00D10E72"/>
    <w:rsid w:val="00D10FE0"/>
    <w:rsid w:val="00D11921"/>
    <w:rsid w:val="00D13F2C"/>
    <w:rsid w:val="00D14AF7"/>
    <w:rsid w:val="00D17DED"/>
    <w:rsid w:val="00D2106D"/>
    <w:rsid w:val="00D2142D"/>
    <w:rsid w:val="00D24204"/>
    <w:rsid w:val="00D2492C"/>
    <w:rsid w:val="00D258C8"/>
    <w:rsid w:val="00D31153"/>
    <w:rsid w:val="00D318BE"/>
    <w:rsid w:val="00D3257F"/>
    <w:rsid w:val="00D32796"/>
    <w:rsid w:val="00D328A4"/>
    <w:rsid w:val="00D329FE"/>
    <w:rsid w:val="00D33D4A"/>
    <w:rsid w:val="00D35447"/>
    <w:rsid w:val="00D357DB"/>
    <w:rsid w:val="00D3661F"/>
    <w:rsid w:val="00D36688"/>
    <w:rsid w:val="00D37B01"/>
    <w:rsid w:val="00D37CD3"/>
    <w:rsid w:val="00D404C5"/>
    <w:rsid w:val="00D42BCB"/>
    <w:rsid w:val="00D438B2"/>
    <w:rsid w:val="00D43C8E"/>
    <w:rsid w:val="00D445BF"/>
    <w:rsid w:val="00D47902"/>
    <w:rsid w:val="00D51733"/>
    <w:rsid w:val="00D5241C"/>
    <w:rsid w:val="00D52822"/>
    <w:rsid w:val="00D528EF"/>
    <w:rsid w:val="00D52C87"/>
    <w:rsid w:val="00D530F2"/>
    <w:rsid w:val="00D53184"/>
    <w:rsid w:val="00D54322"/>
    <w:rsid w:val="00D5437C"/>
    <w:rsid w:val="00D55104"/>
    <w:rsid w:val="00D55939"/>
    <w:rsid w:val="00D572A2"/>
    <w:rsid w:val="00D60801"/>
    <w:rsid w:val="00D60BBC"/>
    <w:rsid w:val="00D6268A"/>
    <w:rsid w:val="00D626E1"/>
    <w:rsid w:val="00D62A4E"/>
    <w:rsid w:val="00D6311D"/>
    <w:rsid w:val="00D651A6"/>
    <w:rsid w:val="00D65581"/>
    <w:rsid w:val="00D65A1B"/>
    <w:rsid w:val="00D66822"/>
    <w:rsid w:val="00D67550"/>
    <w:rsid w:val="00D705AD"/>
    <w:rsid w:val="00D70C7F"/>
    <w:rsid w:val="00D717E8"/>
    <w:rsid w:val="00D71F1F"/>
    <w:rsid w:val="00D729F4"/>
    <w:rsid w:val="00D73747"/>
    <w:rsid w:val="00D7681E"/>
    <w:rsid w:val="00D76F18"/>
    <w:rsid w:val="00D7712D"/>
    <w:rsid w:val="00D775B6"/>
    <w:rsid w:val="00D800B7"/>
    <w:rsid w:val="00D811CF"/>
    <w:rsid w:val="00D81742"/>
    <w:rsid w:val="00D8199A"/>
    <w:rsid w:val="00D81DA1"/>
    <w:rsid w:val="00D81E84"/>
    <w:rsid w:val="00D81FFF"/>
    <w:rsid w:val="00D82498"/>
    <w:rsid w:val="00D831B2"/>
    <w:rsid w:val="00D83B4B"/>
    <w:rsid w:val="00D83BC7"/>
    <w:rsid w:val="00D84342"/>
    <w:rsid w:val="00D847D1"/>
    <w:rsid w:val="00D85D0E"/>
    <w:rsid w:val="00D8642D"/>
    <w:rsid w:val="00D86D5E"/>
    <w:rsid w:val="00D87224"/>
    <w:rsid w:val="00D87818"/>
    <w:rsid w:val="00D91504"/>
    <w:rsid w:val="00D918F9"/>
    <w:rsid w:val="00D9342F"/>
    <w:rsid w:val="00D937FA"/>
    <w:rsid w:val="00D9384C"/>
    <w:rsid w:val="00D93DC1"/>
    <w:rsid w:val="00D94132"/>
    <w:rsid w:val="00D962EB"/>
    <w:rsid w:val="00D970BB"/>
    <w:rsid w:val="00DA0271"/>
    <w:rsid w:val="00DA03FC"/>
    <w:rsid w:val="00DA0668"/>
    <w:rsid w:val="00DA0857"/>
    <w:rsid w:val="00DA0B9B"/>
    <w:rsid w:val="00DA0F26"/>
    <w:rsid w:val="00DA14BB"/>
    <w:rsid w:val="00DA1800"/>
    <w:rsid w:val="00DA1DFB"/>
    <w:rsid w:val="00DA2480"/>
    <w:rsid w:val="00DA254C"/>
    <w:rsid w:val="00DA2FF9"/>
    <w:rsid w:val="00DA303A"/>
    <w:rsid w:val="00DA3DF4"/>
    <w:rsid w:val="00DA43BC"/>
    <w:rsid w:val="00DA76DB"/>
    <w:rsid w:val="00DA7878"/>
    <w:rsid w:val="00DB00F7"/>
    <w:rsid w:val="00DB079A"/>
    <w:rsid w:val="00DB0951"/>
    <w:rsid w:val="00DB2373"/>
    <w:rsid w:val="00DB2B9D"/>
    <w:rsid w:val="00DB2C8E"/>
    <w:rsid w:val="00DB2F34"/>
    <w:rsid w:val="00DB3CDA"/>
    <w:rsid w:val="00DB3F46"/>
    <w:rsid w:val="00DB4306"/>
    <w:rsid w:val="00DB461E"/>
    <w:rsid w:val="00DB4770"/>
    <w:rsid w:val="00DB4984"/>
    <w:rsid w:val="00DB498D"/>
    <w:rsid w:val="00DB5C35"/>
    <w:rsid w:val="00DB7487"/>
    <w:rsid w:val="00DB7A5F"/>
    <w:rsid w:val="00DC0F58"/>
    <w:rsid w:val="00DC1961"/>
    <w:rsid w:val="00DC2316"/>
    <w:rsid w:val="00DC2EA2"/>
    <w:rsid w:val="00DC3A53"/>
    <w:rsid w:val="00DC3EE8"/>
    <w:rsid w:val="00DC4482"/>
    <w:rsid w:val="00DC4581"/>
    <w:rsid w:val="00DC4945"/>
    <w:rsid w:val="00DC676B"/>
    <w:rsid w:val="00DC67F9"/>
    <w:rsid w:val="00DC723F"/>
    <w:rsid w:val="00DC76BD"/>
    <w:rsid w:val="00DD01D2"/>
    <w:rsid w:val="00DD11B2"/>
    <w:rsid w:val="00DD1829"/>
    <w:rsid w:val="00DD198E"/>
    <w:rsid w:val="00DD222D"/>
    <w:rsid w:val="00DD2852"/>
    <w:rsid w:val="00DD33C7"/>
    <w:rsid w:val="00DD4E1D"/>
    <w:rsid w:val="00DD4E9F"/>
    <w:rsid w:val="00DD5550"/>
    <w:rsid w:val="00DD63C9"/>
    <w:rsid w:val="00DE03D5"/>
    <w:rsid w:val="00DE2263"/>
    <w:rsid w:val="00DE331D"/>
    <w:rsid w:val="00DE352D"/>
    <w:rsid w:val="00DE3765"/>
    <w:rsid w:val="00DE3F1C"/>
    <w:rsid w:val="00DE47D8"/>
    <w:rsid w:val="00DE4868"/>
    <w:rsid w:val="00DE4F58"/>
    <w:rsid w:val="00DE5642"/>
    <w:rsid w:val="00DF0437"/>
    <w:rsid w:val="00DF072E"/>
    <w:rsid w:val="00DF0DD4"/>
    <w:rsid w:val="00DF1F03"/>
    <w:rsid w:val="00DF21DD"/>
    <w:rsid w:val="00DF276E"/>
    <w:rsid w:val="00DF27A3"/>
    <w:rsid w:val="00DF31CE"/>
    <w:rsid w:val="00DF347A"/>
    <w:rsid w:val="00DF38C8"/>
    <w:rsid w:val="00DF460D"/>
    <w:rsid w:val="00DF5310"/>
    <w:rsid w:val="00DF7884"/>
    <w:rsid w:val="00E00071"/>
    <w:rsid w:val="00E00F91"/>
    <w:rsid w:val="00E02183"/>
    <w:rsid w:val="00E03E20"/>
    <w:rsid w:val="00E04656"/>
    <w:rsid w:val="00E057D9"/>
    <w:rsid w:val="00E061B4"/>
    <w:rsid w:val="00E06262"/>
    <w:rsid w:val="00E0650A"/>
    <w:rsid w:val="00E06F6E"/>
    <w:rsid w:val="00E07D22"/>
    <w:rsid w:val="00E10788"/>
    <w:rsid w:val="00E12328"/>
    <w:rsid w:val="00E14083"/>
    <w:rsid w:val="00E14593"/>
    <w:rsid w:val="00E148B8"/>
    <w:rsid w:val="00E15876"/>
    <w:rsid w:val="00E16A30"/>
    <w:rsid w:val="00E16B5D"/>
    <w:rsid w:val="00E17482"/>
    <w:rsid w:val="00E20149"/>
    <w:rsid w:val="00E20729"/>
    <w:rsid w:val="00E21FC5"/>
    <w:rsid w:val="00E22A46"/>
    <w:rsid w:val="00E22DFC"/>
    <w:rsid w:val="00E234DC"/>
    <w:rsid w:val="00E23673"/>
    <w:rsid w:val="00E24713"/>
    <w:rsid w:val="00E24C50"/>
    <w:rsid w:val="00E253F2"/>
    <w:rsid w:val="00E25D4D"/>
    <w:rsid w:val="00E25DE6"/>
    <w:rsid w:val="00E26129"/>
    <w:rsid w:val="00E26224"/>
    <w:rsid w:val="00E26B46"/>
    <w:rsid w:val="00E26D5E"/>
    <w:rsid w:val="00E27299"/>
    <w:rsid w:val="00E2791A"/>
    <w:rsid w:val="00E27A4D"/>
    <w:rsid w:val="00E30327"/>
    <w:rsid w:val="00E31618"/>
    <w:rsid w:val="00E33D29"/>
    <w:rsid w:val="00E34CE5"/>
    <w:rsid w:val="00E34F6D"/>
    <w:rsid w:val="00E37FC9"/>
    <w:rsid w:val="00E40C15"/>
    <w:rsid w:val="00E41121"/>
    <w:rsid w:val="00E41EAC"/>
    <w:rsid w:val="00E43248"/>
    <w:rsid w:val="00E43956"/>
    <w:rsid w:val="00E43BCF"/>
    <w:rsid w:val="00E44827"/>
    <w:rsid w:val="00E44E4C"/>
    <w:rsid w:val="00E44FFE"/>
    <w:rsid w:val="00E4673A"/>
    <w:rsid w:val="00E47170"/>
    <w:rsid w:val="00E53F65"/>
    <w:rsid w:val="00E54F4F"/>
    <w:rsid w:val="00E56593"/>
    <w:rsid w:val="00E57701"/>
    <w:rsid w:val="00E614DD"/>
    <w:rsid w:val="00E6178B"/>
    <w:rsid w:val="00E6203A"/>
    <w:rsid w:val="00E63081"/>
    <w:rsid w:val="00E64128"/>
    <w:rsid w:val="00E65582"/>
    <w:rsid w:val="00E66253"/>
    <w:rsid w:val="00E6757D"/>
    <w:rsid w:val="00E67827"/>
    <w:rsid w:val="00E67DEF"/>
    <w:rsid w:val="00E67F92"/>
    <w:rsid w:val="00E70B54"/>
    <w:rsid w:val="00E710DB"/>
    <w:rsid w:val="00E71BCC"/>
    <w:rsid w:val="00E7216C"/>
    <w:rsid w:val="00E72C44"/>
    <w:rsid w:val="00E737BE"/>
    <w:rsid w:val="00E744F4"/>
    <w:rsid w:val="00E748FE"/>
    <w:rsid w:val="00E76D1D"/>
    <w:rsid w:val="00E76E54"/>
    <w:rsid w:val="00E77386"/>
    <w:rsid w:val="00E77577"/>
    <w:rsid w:val="00E815D6"/>
    <w:rsid w:val="00E82CE7"/>
    <w:rsid w:val="00E83CFA"/>
    <w:rsid w:val="00E83EA8"/>
    <w:rsid w:val="00E852BB"/>
    <w:rsid w:val="00E85D77"/>
    <w:rsid w:val="00E8655C"/>
    <w:rsid w:val="00E90AE0"/>
    <w:rsid w:val="00E91D1C"/>
    <w:rsid w:val="00E92297"/>
    <w:rsid w:val="00E9369A"/>
    <w:rsid w:val="00E951F1"/>
    <w:rsid w:val="00E953D3"/>
    <w:rsid w:val="00E95E1F"/>
    <w:rsid w:val="00E96587"/>
    <w:rsid w:val="00EA0902"/>
    <w:rsid w:val="00EA1A23"/>
    <w:rsid w:val="00EA1F0C"/>
    <w:rsid w:val="00EA26A6"/>
    <w:rsid w:val="00EA392E"/>
    <w:rsid w:val="00EA3A5D"/>
    <w:rsid w:val="00EA414D"/>
    <w:rsid w:val="00EA4FFE"/>
    <w:rsid w:val="00EA50B2"/>
    <w:rsid w:val="00EA664F"/>
    <w:rsid w:val="00EA6C9E"/>
    <w:rsid w:val="00EB09DC"/>
    <w:rsid w:val="00EB0D10"/>
    <w:rsid w:val="00EB1497"/>
    <w:rsid w:val="00EB248E"/>
    <w:rsid w:val="00EB2893"/>
    <w:rsid w:val="00EB2D3A"/>
    <w:rsid w:val="00EB3AEB"/>
    <w:rsid w:val="00EB42F5"/>
    <w:rsid w:val="00EB43DD"/>
    <w:rsid w:val="00EB613D"/>
    <w:rsid w:val="00EB6B00"/>
    <w:rsid w:val="00EC0741"/>
    <w:rsid w:val="00EC0A0A"/>
    <w:rsid w:val="00EC0BC2"/>
    <w:rsid w:val="00EC0C90"/>
    <w:rsid w:val="00EC192A"/>
    <w:rsid w:val="00EC2B6B"/>
    <w:rsid w:val="00EC2BDF"/>
    <w:rsid w:val="00EC36F3"/>
    <w:rsid w:val="00EC56A3"/>
    <w:rsid w:val="00EC6470"/>
    <w:rsid w:val="00EC675F"/>
    <w:rsid w:val="00EC7AD4"/>
    <w:rsid w:val="00ED0ED6"/>
    <w:rsid w:val="00ED244C"/>
    <w:rsid w:val="00ED462F"/>
    <w:rsid w:val="00ED570D"/>
    <w:rsid w:val="00ED5E5F"/>
    <w:rsid w:val="00ED6186"/>
    <w:rsid w:val="00ED6B53"/>
    <w:rsid w:val="00EE115B"/>
    <w:rsid w:val="00EE1BE7"/>
    <w:rsid w:val="00EE3035"/>
    <w:rsid w:val="00EE332A"/>
    <w:rsid w:val="00EE3386"/>
    <w:rsid w:val="00EE3BCD"/>
    <w:rsid w:val="00EE3C30"/>
    <w:rsid w:val="00EE412F"/>
    <w:rsid w:val="00EE4B47"/>
    <w:rsid w:val="00EE6D1C"/>
    <w:rsid w:val="00EE7E07"/>
    <w:rsid w:val="00EF04CF"/>
    <w:rsid w:val="00EF0D6A"/>
    <w:rsid w:val="00EF19DB"/>
    <w:rsid w:val="00EF19E6"/>
    <w:rsid w:val="00EF2A06"/>
    <w:rsid w:val="00EF4A18"/>
    <w:rsid w:val="00EF5D17"/>
    <w:rsid w:val="00EF5FE6"/>
    <w:rsid w:val="00EF615A"/>
    <w:rsid w:val="00EF6414"/>
    <w:rsid w:val="00EF6B12"/>
    <w:rsid w:val="00EF6FBC"/>
    <w:rsid w:val="00F00151"/>
    <w:rsid w:val="00F00A2D"/>
    <w:rsid w:val="00F00DF2"/>
    <w:rsid w:val="00F01517"/>
    <w:rsid w:val="00F0537D"/>
    <w:rsid w:val="00F054A9"/>
    <w:rsid w:val="00F054B3"/>
    <w:rsid w:val="00F05D88"/>
    <w:rsid w:val="00F06E2C"/>
    <w:rsid w:val="00F07218"/>
    <w:rsid w:val="00F10A10"/>
    <w:rsid w:val="00F11508"/>
    <w:rsid w:val="00F117A1"/>
    <w:rsid w:val="00F11B8A"/>
    <w:rsid w:val="00F139A8"/>
    <w:rsid w:val="00F13A6D"/>
    <w:rsid w:val="00F13AF5"/>
    <w:rsid w:val="00F13CE4"/>
    <w:rsid w:val="00F13FB1"/>
    <w:rsid w:val="00F144C4"/>
    <w:rsid w:val="00F14C18"/>
    <w:rsid w:val="00F15025"/>
    <w:rsid w:val="00F15EC6"/>
    <w:rsid w:val="00F164E3"/>
    <w:rsid w:val="00F164E9"/>
    <w:rsid w:val="00F1695D"/>
    <w:rsid w:val="00F1716F"/>
    <w:rsid w:val="00F20431"/>
    <w:rsid w:val="00F20543"/>
    <w:rsid w:val="00F2140E"/>
    <w:rsid w:val="00F22778"/>
    <w:rsid w:val="00F22ECD"/>
    <w:rsid w:val="00F234B1"/>
    <w:rsid w:val="00F2362C"/>
    <w:rsid w:val="00F24345"/>
    <w:rsid w:val="00F243E8"/>
    <w:rsid w:val="00F247F5"/>
    <w:rsid w:val="00F2482E"/>
    <w:rsid w:val="00F249C7"/>
    <w:rsid w:val="00F24DFD"/>
    <w:rsid w:val="00F26153"/>
    <w:rsid w:val="00F265E5"/>
    <w:rsid w:val="00F26879"/>
    <w:rsid w:val="00F272CB"/>
    <w:rsid w:val="00F30072"/>
    <w:rsid w:val="00F304C3"/>
    <w:rsid w:val="00F31A5C"/>
    <w:rsid w:val="00F33B51"/>
    <w:rsid w:val="00F33B75"/>
    <w:rsid w:val="00F33D6C"/>
    <w:rsid w:val="00F34E58"/>
    <w:rsid w:val="00F350FD"/>
    <w:rsid w:val="00F363B4"/>
    <w:rsid w:val="00F37C29"/>
    <w:rsid w:val="00F37E9F"/>
    <w:rsid w:val="00F41030"/>
    <w:rsid w:val="00F413A8"/>
    <w:rsid w:val="00F428CC"/>
    <w:rsid w:val="00F43813"/>
    <w:rsid w:val="00F43C1A"/>
    <w:rsid w:val="00F44723"/>
    <w:rsid w:val="00F45FF1"/>
    <w:rsid w:val="00F466B1"/>
    <w:rsid w:val="00F469BA"/>
    <w:rsid w:val="00F46EE0"/>
    <w:rsid w:val="00F47AA9"/>
    <w:rsid w:val="00F501A9"/>
    <w:rsid w:val="00F50CAD"/>
    <w:rsid w:val="00F51099"/>
    <w:rsid w:val="00F52022"/>
    <w:rsid w:val="00F521CC"/>
    <w:rsid w:val="00F5240C"/>
    <w:rsid w:val="00F54A06"/>
    <w:rsid w:val="00F553C6"/>
    <w:rsid w:val="00F560EA"/>
    <w:rsid w:val="00F56586"/>
    <w:rsid w:val="00F56C7D"/>
    <w:rsid w:val="00F56E04"/>
    <w:rsid w:val="00F56FF3"/>
    <w:rsid w:val="00F57DB4"/>
    <w:rsid w:val="00F60809"/>
    <w:rsid w:val="00F60868"/>
    <w:rsid w:val="00F6087E"/>
    <w:rsid w:val="00F614C7"/>
    <w:rsid w:val="00F61DD7"/>
    <w:rsid w:val="00F63656"/>
    <w:rsid w:val="00F64234"/>
    <w:rsid w:val="00F643A5"/>
    <w:rsid w:val="00F674DA"/>
    <w:rsid w:val="00F7229E"/>
    <w:rsid w:val="00F72B11"/>
    <w:rsid w:val="00F73B5A"/>
    <w:rsid w:val="00F74230"/>
    <w:rsid w:val="00F753C2"/>
    <w:rsid w:val="00F76AAF"/>
    <w:rsid w:val="00F776E0"/>
    <w:rsid w:val="00F779C9"/>
    <w:rsid w:val="00F77E74"/>
    <w:rsid w:val="00F801A4"/>
    <w:rsid w:val="00F80DA2"/>
    <w:rsid w:val="00F80E7A"/>
    <w:rsid w:val="00F81577"/>
    <w:rsid w:val="00F81779"/>
    <w:rsid w:val="00F83A73"/>
    <w:rsid w:val="00F840AA"/>
    <w:rsid w:val="00F86F0A"/>
    <w:rsid w:val="00F86F22"/>
    <w:rsid w:val="00F90583"/>
    <w:rsid w:val="00F92475"/>
    <w:rsid w:val="00F92E0F"/>
    <w:rsid w:val="00F93979"/>
    <w:rsid w:val="00F94A09"/>
    <w:rsid w:val="00F94C8E"/>
    <w:rsid w:val="00F95760"/>
    <w:rsid w:val="00F96175"/>
    <w:rsid w:val="00F97D49"/>
    <w:rsid w:val="00FA0BBE"/>
    <w:rsid w:val="00FA0C75"/>
    <w:rsid w:val="00FA1188"/>
    <w:rsid w:val="00FA201D"/>
    <w:rsid w:val="00FA2941"/>
    <w:rsid w:val="00FA2ADE"/>
    <w:rsid w:val="00FA2DD4"/>
    <w:rsid w:val="00FA3C66"/>
    <w:rsid w:val="00FA3E53"/>
    <w:rsid w:val="00FA3F30"/>
    <w:rsid w:val="00FA570B"/>
    <w:rsid w:val="00FA5D34"/>
    <w:rsid w:val="00FA641B"/>
    <w:rsid w:val="00FA64C3"/>
    <w:rsid w:val="00FA6531"/>
    <w:rsid w:val="00FA7413"/>
    <w:rsid w:val="00FA774D"/>
    <w:rsid w:val="00FB0011"/>
    <w:rsid w:val="00FB0F74"/>
    <w:rsid w:val="00FB104E"/>
    <w:rsid w:val="00FB1C13"/>
    <w:rsid w:val="00FB24E2"/>
    <w:rsid w:val="00FB3264"/>
    <w:rsid w:val="00FB3CF6"/>
    <w:rsid w:val="00FB3E5C"/>
    <w:rsid w:val="00FB409E"/>
    <w:rsid w:val="00FB474E"/>
    <w:rsid w:val="00FB4E00"/>
    <w:rsid w:val="00FB541D"/>
    <w:rsid w:val="00FB5CFD"/>
    <w:rsid w:val="00FB6407"/>
    <w:rsid w:val="00FB65B8"/>
    <w:rsid w:val="00FB66B0"/>
    <w:rsid w:val="00FB6BE3"/>
    <w:rsid w:val="00FB6D12"/>
    <w:rsid w:val="00FB7288"/>
    <w:rsid w:val="00FB7A5D"/>
    <w:rsid w:val="00FC0220"/>
    <w:rsid w:val="00FC10F7"/>
    <w:rsid w:val="00FC2126"/>
    <w:rsid w:val="00FC312F"/>
    <w:rsid w:val="00FC3866"/>
    <w:rsid w:val="00FC398F"/>
    <w:rsid w:val="00FC4248"/>
    <w:rsid w:val="00FC4283"/>
    <w:rsid w:val="00FC616B"/>
    <w:rsid w:val="00FC745F"/>
    <w:rsid w:val="00FC77A6"/>
    <w:rsid w:val="00FC7DB3"/>
    <w:rsid w:val="00FD003D"/>
    <w:rsid w:val="00FD38FB"/>
    <w:rsid w:val="00FD3AC9"/>
    <w:rsid w:val="00FD3AF0"/>
    <w:rsid w:val="00FD3EA7"/>
    <w:rsid w:val="00FD402A"/>
    <w:rsid w:val="00FD483F"/>
    <w:rsid w:val="00FD4A16"/>
    <w:rsid w:val="00FD4B80"/>
    <w:rsid w:val="00FD4C20"/>
    <w:rsid w:val="00FD4CF6"/>
    <w:rsid w:val="00FD580B"/>
    <w:rsid w:val="00FD72F4"/>
    <w:rsid w:val="00FD79C8"/>
    <w:rsid w:val="00FD7E28"/>
    <w:rsid w:val="00FD7FF7"/>
    <w:rsid w:val="00FE0A86"/>
    <w:rsid w:val="00FE0D73"/>
    <w:rsid w:val="00FE1241"/>
    <w:rsid w:val="00FE1282"/>
    <w:rsid w:val="00FE3B54"/>
    <w:rsid w:val="00FE4435"/>
    <w:rsid w:val="00FE4A4D"/>
    <w:rsid w:val="00FE4BF9"/>
    <w:rsid w:val="00FE5940"/>
    <w:rsid w:val="00FE6B66"/>
    <w:rsid w:val="00FF14BA"/>
    <w:rsid w:val="00FF1F57"/>
    <w:rsid w:val="00FF2398"/>
    <w:rsid w:val="00FF3953"/>
    <w:rsid w:val="00FF3C8B"/>
    <w:rsid w:val="00FF3E89"/>
    <w:rsid w:val="00FF5FCB"/>
    <w:rsid w:val="00FF679C"/>
    <w:rsid w:val="00FF6E4D"/>
    <w:rsid w:val="00FF6FB0"/>
    <w:rsid w:val="00FF7E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45B16755"/>
  <w15:docId w15:val="{AFAA16C8-AEEA-4A9B-B844-A25325FC0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740C0"/>
    <w:pPr>
      <w:spacing w:after="200" w:line="276" w:lineRule="auto"/>
      <w:jc w:val="both"/>
    </w:pPr>
    <w:rPr>
      <w:rFonts w:ascii="Arial" w:eastAsia="Calibri" w:hAnsi="Arial"/>
      <w:szCs w:val="22"/>
      <w:lang w:eastAsia="en-US"/>
    </w:rPr>
  </w:style>
  <w:style w:type="paragraph" w:styleId="Nadpis1">
    <w:name w:val="heading 1"/>
    <w:aliases w:val="1 Nadpis 1"/>
    <w:basedOn w:val="Normln"/>
    <w:next w:val="2TEXT"/>
    <w:link w:val="Nadpis1Char"/>
    <w:qFormat/>
    <w:rsid w:val="00FE4A4D"/>
    <w:pPr>
      <w:keepNext/>
      <w:numPr>
        <w:numId w:val="7"/>
      </w:numPr>
      <w:pBdr>
        <w:bottom w:val="single" w:sz="4" w:space="1" w:color="auto"/>
      </w:pBdr>
      <w:spacing w:before="600" w:after="480" w:line="288" w:lineRule="auto"/>
      <w:outlineLvl w:val="0"/>
    </w:pPr>
    <w:rPr>
      <w:rFonts w:ascii="Arial Narrow" w:hAnsi="Arial Narrow"/>
      <w:b/>
      <w:bCs/>
      <w:kern w:val="32"/>
      <w:sz w:val="40"/>
      <w:szCs w:val="32"/>
      <w:lang w:val="x-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710A8"/>
    <w:pPr>
      <w:keepNext/>
      <w:keepLines/>
      <w:numPr>
        <w:ilvl w:val="1"/>
        <w:numId w:val="7"/>
      </w:numPr>
      <w:spacing w:before="200" w:after="0"/>
      <w:outlineLvl w:val="1"/>
    </w:pPr>
    <w:rPr>
      <w:rFonts w:ascii="Cambria" w:eastAsia="Times New Roman" w:hAnsi="Cambria"/>
      <w:b/>
      <w:bCs/>
      <w:color w:val="00ADDC"/>
      <w:sz w:val="26"/>
      <w:szCs w:val="26"/>
      <w:lang w:val="x-non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C67F9"/>
    <w:pPr>
      <w:keepNext/>
      <w:keepLines/>
      <w:numPr>
        <w:ilvl w:val="2"/>
        <w:numId w:val="7"/>
      </w:numPr>
      <w:spacing w:before="200" w:after="0"/>
      <w:outlineLvl w:val="2"/>
    </w:pPr>
    <w:rPr>
      <w:rFonts w:ascii="Cambria" w:eastAsia="Times New Roman" w:hAnsi="Cambria"/>
      <w:b/>
      <w:bCs/>
      <w:color w:val="00ADDC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B710A8"/>
    <w:rPr>
      <w:rFonts w:ascii="Cambria" w:eastAsia="Times New Roman" w:hAnsi="Cambria" w:cs="Times New Roman"/>
      <w:b/>
      <w:bCs/>
      <w:color w:val="00ADDC"/>
      <w:sz w:val="26"/>
      <w:szCs w:val="26"/>
      <w:lang w:eastAsia="en-US"/>
    </w:rPr>
  </w:style>
  <w:style w:type="character" w:customStyle="1" w:styleId="Nadpis3Char">
    <w:name w:val="Nadpis 3 Char"/>
    <w:link w:val="Nadpis3"/>
    <w:uiPriority w:val="9"/>
    <w:rsid w:val="00DC67F9"/>
    <w:rPr>
      <w:rFonts w:ascii="Cambria" w:eastAsia="Times New Roman" w:hAnsi="Cambria" w:cs="Times New Roman"/>
      <w:b/>
      <w:bCs/>
      <w:color w:val="00ADDC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rsid w:val="009C460C"/>
    <w:pPr>
      <w:tabs>
        <w:tab w:val="center" w:pos="4536"/>
        <w:tab w:val="right" w:pos="9072"/>
      </w:tabs>
    </w:pPr>
    <w:rPr>
      <w:lang w:val="x-none"/>
    </w:rPr>
  </w:style>
  <w:style w:type="paragraph" w:styleId="Zpat">
    <w:name w:val="footer"/>
    <w:basedOn w:val="Normln"/>
    <w:link w:val="ZpatChar"/>
    <w:semiHidden/>
    <w:rsid w:val="009C460C"/>
    <w:pPr>
      <w:tabs>
        <w:tab w:val="center" w:pos="4536"/>
        <w:tab w:val="right" w:pos="9072"/>
      </w:tabs>
    </w:pPr>
    <w:rPr>
      <w:lang w:val="x-none"/>
    </w:rPr>
  </w:style>
  <w:style w:type="character" w:styleId="slostrnky">
    <w:name w:val="page number"/>
    <w:semiHidden/>
    <w:rsid w:val="009C460C"/>
    <w:rPr>
      <w:rFonts w:ascii="Arial Narrow" w:hAnsi="Arial Narrow"/>
      <w:sz w:val="18"/>
    </w:rPr>
  </w:style>
  <w:style w:type="paragraph" w:customStyle="1" w:styleId="ipntext">
    <w:name w:val="ipn text"/>
    <w:basedOn w:val="Normln"/>
    <w:rsid w:val="009C460C"/>
    <w:rPr>
      <w:rFonts w:ascii="Arial Narrow" w:hAnsi="Arial Narrow"/>
      <w:position w:val="1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2637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302637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DC67F9"/>
    <w:rPr>
      <w:color w:val="EB8803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rsid w:val="00004A55"/>
    <w:pPr>
      <w:suppressAutoHyphens/>
      <w:spacing w:after="0" w:line="240" w:lineRule="auto"/>
    </w:pPr>
    <w:rPr>
      <w:rFonts w:eastAsia="Times New Roman"/>
      <w:szCs w:val="20"/>
      <w:lang w:val="x-none" w:eastAsia="ar-SA"/>
    </w:rPr>
  </w:style>
  <w:style w:type="character" w:customStyle="1" w:styleId="TextpoznpodarouChar">
    <w:name w:val="Text pozn. pod čarou Char"/>
    <w:link w:val="Textpoznpodarou"/>
    <w:uiPriority w:val="99"/>
    <w:rsid w:val="00004A55"/>
    <w:rPr>
      <w:rFonts w:ascii="Arial" w:hAnsi="Arial"/>
      <w:lang w:val="x-none" w:eastAsia="ar-SA"/>
    </w:rPr>
  </w:style>
  <w:style w:type="paragraph" w:styleId="Odstavecseseznamem">
    <w:name w:val="List Paragraph"/>
    <w:basedOn w:val="Normln"/>
    <w:link w:val="OdstavecseseznamemChar"/>
    <w:uiPriority w:val="34"/>
    <w:qFormat/>
    <w:rsid w:val="00DC67F9"/>
    <w:pPr>
      <w:suppressAutoHyphens/>
      <w:spacing w:after="0" w:line="240" w:lineRule="auto"/>
      <w:ind w:left="720"/>
    </w:pPr>
    <w:rPr>
      <w:rFonts w:eastAsia="Times New Roman"/>
      <w:lang w:val="x-none" w:eastAsia="ar-SA"/>
    </w:rPr>
  </w:style>
  <w:style w:type="character" w:customStyle="1" w:styleId="OdstavecseseznamemChar">
    <w:name w:val="Odstavec se seznamem Char"/>
    <w:link w:val="Odstavecseseznamem"/>
    <w:uiPriority w:val="34"/>
    <w:rsid w:val="00007075"/>
    <w:rPr>
      <w:rFonts w:ascii="Calibri" w:hAnsi="Calibri"/>
      <w:sz w:val="22"/>
      <w:szCs w:val="22"/>
      <w:lang w:eastAsia="ar-SA"/>
    </w:rPr>
  </w:style>
  <w:style w:type="character" w:styleId="Znakapoznpodarou">
    <w:name w:val="footnote reference"/>
    <w:uiPriority w:val="99"/>
    <w:semiHidden/>
    <w:unhideWhenUsed/>
    <w:rsid w:val="00DC67F9"/>
    <w:rPr>
      <w:vertAlign w:val="superscript"/>
    </w:rPr>
  </w:style>
  <w:style w:type="table" w:customStyle="1" w:styleId="Stednstnovn1zvraznn51">
    <w:name w:val="Střední stínování 1 – zvýraznění 51"/>
    <w:basedOn w:val="Normlntabulka"/>
    <w:uiPriority w:val="63"/>
    <w:rsid w:val="00DC67F9"/>
    <w:tblPr>
      <w:tblStyleRowBandSize w:val="1"/>
      <w:tblStyleColBandSize w:val="1"/>
      <w:tblBorders>
        <w:top w:val="single" w:sz="8" w:space="0" w:color="4ACF2B"/>
        <w:left w:val="single" w:sz="8" w:space="0" w:color="4ACF2B"/>
        <w:bottom w:val="single" w:sz="8" w:space="0" w:color="4ACF2B"/>
        <w:right w:val="single" w:sz="8" w:space="0" w:color="4ACF2B"/>
        <w:insideH w:val="single" w:sz="8" w:space="0" w:color="4ACF2B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4ACF2B"/>
          <w:left w:val="single" w:sz="8" w:space="0" w:color="4ACF2B"/>
          <w:bottom w:val="single" w:sz="8" w:space="0" w:color="4ACF2B"/>
          <w:right w:val="single" w:sz="8" w:space="0" w:color="4ACF2B"/>
          <w:insideH w:val="nil"/>
          <w:insideV w:val="nil"/>
        </w:tcBorders>
        <w:shd w:val="clear" w:color="auto" w:fill="31881C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4ACF2B"/>
          <w:left w:val="single" w:sz="8" w:space="0" w:color="4ACF2B"/>
          <w:bottom w:val="single" w:sz="8" w:space="0" w:color="4ACF2B"/>
          <w:right w:val="single" w:sz="8" w:space="0" w:color="4ACF2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0B7"/>
      </w:tcPr>
    </w:tblStylePr>
    <w:tblStylePr w:type="band1Horz">
      <w:tblPr/>
      <w:tcPr>
        <w:tcBorders>
          <w:insideH w:val="nil"/>
          <w:insideV w:val="nil"/>
        </w:tcBorders>
        <w:shd w:val="clear" w:color="auto" w:fill="C2F0B7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35"/>
    <w:unhideWhenUsed/>
    <w:qFormat/>
    <w:rsid w:val="00004A55"/>
    <w:pPr>
      <w:suppressAutoHyphens/>
      <w:spacing w:line="240" w:lineRule="auto"/>
      <w:jc w:val="left"/>
    </w:pPr>
    <w:rPr>
      <w:rFonts w:eastAsia="Times New Roman"/>
      <w:b/>
      <w:bCs/>
      <w:szCs w:val="18"/>
      <w:lang w:val="x-none" w:eastAsia="ar-SA"/>
    </w:rPr>
  </w:style>
  <w:style w:type="character" w:customStyle="1" w:styleId="TitulekChar">
    <w:name w:val="Titulek Char"/>
    <w:link w:val="Titulek"/>
    <w:uiPriority w:val="35"/>
    <w:rsid w:val="00004A55"/>
    <w:rPr>
      <w:rFonts w:ascii="Arial" w:hAnsi="Arial"/>
      <w:b/>
      <w:bCs/>
      <w:szCs w:val="18"/>
      <w:lang w:val="x-none" w:eastAsia="ar-SA"/>
    </w:rPr>
  </w:style>
  <w:style w:type="table" w:customStyle="1" w:styleId="Tabulkasmkou4zvraznn51">
    <w:name w:val="Tabulka s mřížkou 4 – zvýraznění 51"/>
    <w:basedOn w:val="Normlntabulka"/>
    <w:uiPriority w:val="49"/>
    <w:rsid w:val="0070252C"/>
    <w:tblPr>
      <w:tblStyleRowBandSize w:val="1"/>
      <w:tblStyleColBandSize w:val="1"/>
      <w:tblBorders>
        <w:top w:val="single" w:sz="4" w:space="0" w:color="6CDB52"/>
        <w:left w:val="single" w:sz="4" w:space="0" w:color="6CDB52"/>
        <w:bottom w:val="single" w:sz="4" w:space="0" w:color="6CDB52"/>
        <w:right w:val="single" w:sz="4" w:space="0" w:color="6CDB52"/>
        <w:insideH w:val="single" w:sz="4" w:space="0" w:color="6CDB52"/>
        <w:insideV w:val="single" w:sz="4" w:space="0" w:color="6CDB5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1881C"/>
          <w:left w:val="single" w:sz="4" w:space="0" w:color="31881C"/>
          <w:bottom w:val="single" w:sz="4" w:space="0" w:color="31881C"/>
          <w:right w:val="single" w:sz="4" w:space="0" w:color="31881C"/>
          <w:insideH w:val="nil"/>
          <w:insideV w:val="nil"/>
        </w:tcBorders>
        <w:shd w:val="clear" w:color="auto" w:fill="31881C"/>
      </w:tcPr>
    </w:tblStylePr>
    <w:tblStylePr w:type="lastRow">
      <w:rPr>
        <w:b/>
        <w:bCs/>
      </w:rPr>
      <w:tblPr/>
      <w:tcPr>
        <w:tcBorders>
          <w:top w:val="double" w:sz="4" w:space="0" w:color="31881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3C5"/>
      </w:tcPr>
    </w:tblStylePr>
    <w:tblStylePr w:type="band1Horz">
      <w:tblPr/>
      <w:tcPr>
        <w:shd w:val="clear" w:color="auto" w:fill="CEF3C5"/>
      </w:tcPr>
    </w:tblStylePr>
  </w:style>
  <w:style w:type="table" w:styleId="Stednstnovn1zvraznn5">
    <w:name w:val="Medium Shading 1 Accent 5"/>
    <w:basedOn w:val="Normlntabulka"/>
    <w:uiPriority w:val="63"/>
    <w:rsid w:val="0070252C"/>
    <w:tblPr>
      <w:tblStyleRowBandSize w:val="1"/>
      <w:tblStyleColBandSize w:val="1"/>
      <w:tblBorders>
        <w:top w:val="single" w:sz="8" w:space="0" w:color="4ACF2B"/>
        <w:left w:val="single" w:sz="8" w:space="0" w:color="4ACF2B"/>
        <w:bottom w:val="single" w:sz="8" w:space="0" w:color="4ACF2B"/>
        <w:right w:val="single" w:sz="8" w:space="0" w:color="4ACF2B"/>
        <w:insideH w:val="single" w:sz="8" w:space="0" w:color="4ACF2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ACF2B"/>
          <w:left w:val="single" w:sz="8" w:space="0" w:color="4ACF2B"/>
          <w:bottom w:val="single" w:sz="8" w:space="0" w:color="4ACF2B"/>
          <w:right w:val="single" w:sz="8" w:space="0" w:color="4ACF2B"/>
          <w:insideH w:val="nil"/>
          <w:insideV w:val="nil"/>
        </w:tcBorders>
        <w:shd w:val="clear" w:color="auto" w:fill="31881C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ACF2B"/>
          <w:left w:val="single" w:sz="8" w:space="0" w:color="4ACF2B"/>
          <w:bottom w:val="single" w:sz="8" w:space="0" w:color="4ACF2B"/>
          <w:right w:val="single" w:sz="8" w:space="0" w:color="4ACF2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0B7"/>
      </w:tcPr>
    </w:tblStylePr>
    <w:tblStylePr w:type="band1Horz">
      <w:tblPr/>
      <w:tcPr>
        <w:tcBorders>
          <w:insideH w:val="nil"/>
          <w:insideV w:val="nil"/>
        </w:tcBorders>
        <w:shd w:val="clear" w:color="auto" w:fill="C2F0B7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extkomente">
    <w:name w:val="annotation text"/>
    <w:basedOn w:val="Normln"/>
    <w:link w:val="TextkomenteChar"/>
    <w:uiPriority w:val="99"/>
    <w:unhideWhenUsed/>
    <w:rsid w:val="004043E1"/>
    <w:pPr>
      <w:spacing w:line="240" w:lineRule="auto"/>
    </w:pPr>
    <w:rPr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4043E1"/>
    <w:rPr>
      <w:rFonts w:ascii="Calibri" w:eastAsia="Calibri" w:hAnsi="Calibri"/>
    </w:rPr>
  </w:style>
  <w:style w:type="character" w:customStyle="1" w:styleId="apple-converted-space">
    <w:name w:val="apple-converted-space"/>
    <w:basedOn w:val="Standardnpsmoodstavce"/>
    <w:rsid w:val="001726F3"/>
  </w:style>
  <w:style w:type="character" w:styleId="Zdraznn">
    <w:name w:val="Emphasis"/>
    <w:uiPriority w:val="20"/>
    <w:qFormat/>
    <w:rsid w:val="001726F3"/>
    <w:rPr>
      <w:i/>
      <w:iCs/>
    </w:rPr>
  </w:style>
  <w:style w:type="paragraph" w:customStyle="1" w:styleId="1Nadpis">
    <w:name w:val="1 Nadpis"/>
    <w:basedOn w:val="Odstavecseseznamem"/>
    <w:link w:val="1NadpisChar"/>
    <w:qFormat/>
    <w:rsid w:val="00007075"/>
    <w:pPr>
      <w:pBdr>
        <w:bottom w:val="single" w:sz="4" w:space="1" w:color="auto"/>
      </w:pBdr>
      <w:spacing w:before="720" w:after="480"/>
      <w:ind w:left="0"/>
    </w:pPr>
    <w:rPr>
      <w:rFonts w:ascii="Arial Narrow" w:hAnsi="Arial Narrow"/>
      <w:b/>
      <w:bCs/>
      <w:sz w:val="40"/>
    </w:rPr>
  </w:style>
  <w:style w:type="character" w:customStyle="1" w:styleId="1NadpisChar">
    <w:name w:val="1 Nadpis Char"/>
    <w:link w:val="1Nadpis"/>
    <w:rsid w:val="00007075"/>
    <w:rPr>
      <w:rFonts w:ascii="Arial Narrow" w:hAnsi="Arial Narrow"/>
      <w:b/>
      <w:bCs/>
      <w:sz w:val="40"/>
      <w:szCs w:val="22"/>
      <w:lang w:eastAsia="ar-SA"/>
    </w:rPr>
  </w:style>
  <w:style w:type="paragraph" w:customStyle="1" w:styleId="11PODNADPIS">
    <w:name w:val="1.1 PODNADPIS"/>
    <w:basedOn w:val="1Nadpis"/>
    <w:next w:val="2TEXT"/>
    <w:link w:val="11PODNADPISChar"/>
    <w:qFormat/>
    <w:rsid w:val="00FD4A16"/>
    <w:pPr>
      <w:pBdr>
        <w:bottom w:val="none" w:sz="0" w:space="0" w:color="auto"/>
      </w:pBdr>
      <w:spacing w:before="360" w:after="360"/>
    </w:pPr>
    <w:rPr>
      <w:b w:val="0"/>
      <w:bCs w:val="0"/>
      <w:sz w:val="36"/>
      <w:szCs w:val="36"/>
    </w:rPr>
  </w:style>
  <w:style w:type="character" w:customStyle="1" w:styleId="11PODNADPISChar">
    <w:name w:val="1.1 PODNADPIS Char"/>
    <w:link w:val="11PODNADPIS"/>
    <w:rsid w:val="00FD4A16"/>
    <w:rPr>
      <w:rFonts w:ascii="Arial Narrow" w:hAnsi="Arial Narrow"/>
      <w:b w:val="0"/>
      <w:bCs w:val="0"/>
      <w:sz w:val="36"/>
      <w:szCs w:val="36"/>
      <w:lang w:eastAsia="ar-SA"/>
    </w:rPr>
  </w:style>
  <w:style w:type="paragraph" w:customStyle="1" w:styleId="111PODPODNADPIS">
    <w:name w:val="1.1.1 PODPODNADPIS"/>
    <w:basedOn w:val="11PODNADPIS"/>
    <w:next w:val="2TEXT"/>
    <w:link w:val="111PODPODNADPISChar"/>
    <w:qFormat/>
    <w:rsid w:val="00FD4A16"/>
    <w:pPr>
      <w:spacing w:before="240" w:after="240"/>
    </w:pPr>
    <w:rPr>
      <w:b/>
      <w:bCs/>
      <w:sz w:val="28"/>
    </w:rPr>
  </w:style>
  <w:style w:type="character" w:customStyle="1" w:styleId="111PODPODNADPISChar">
    <w:name w:val="1.1.1 PODPODNADPIS Char"/>
    <w:link w:val="111PODPODNADPIS"/>
    <w:rsid w:val="00FD4A16"/>
    <w:rPr>
      <w:rFonts w:ascii="Arial Narrow" w:hAnsi="Arial Narrow"/>
      <w:b/>
      <w:bCs/>
      <w:sz w:val="28"/>
      <w:szCs w:val="36"/>
      <w:lang w:eastAsia="ar-SA"/>
    </w:rPr>
  </w:style>
  <w:style w:type="paragraph" w:customStyle="1" w:styleId="2TEXT">
    <w:name w:val="2 TEXT"/>
    <w:basedOn w:val="Normln"/>
    <w:link w:val="2TEXTChar"/>
    <w:uiPriority w:val="99"/>
    <w:qFormat/>
    <w:rsid w:val="00AD5B33"/>
    <w:pPr>
      <w:spacing w:before="120" w:after="120" w:line="288" w:lineRule="auto"/>
    </w:pPr>
    <w:rPr>
      <w:rFonts w:ascii="Arial Narrow" w:hAnsi="Arial Narrow"/>
      <w:sz w:val="24"/>
      <w:szCs w:val="32"/>
      <w:lang w:val="x-none"/>
    </w:rPr>
  </w:style>
  <w:style w:type="character" w:customStyle="1" w:styleId="2TEXTChar">
    <w:name w:val="2 TEXT Char"/>
    <w:link w:val="2TEXT"/>
    <w:uiPriority w:val="99"/>
    <w:rsid w:val="00AD5B33"/>
    <w:rPr>
      <w:rFonts w:ascii="Arial Narrow" w:eastAsia="Calibri" w:hAnsi="Arial Narrow"/>
      <w:sz w:val="24"/>
      <w:szCs w:val="32"/>
      <w:lang w:eastAsia="en-US"/>
    </w:rPr>
  </w:style>
  <w:style w:type="paragraph" w:customStyle="1" w:styleId="3GRAF">
    <w:name w:val="3 GRAF"/>
    <w:basedOn w:val="Titulek"/>
    <w:link w:val="3GRAFChar"/>
    <w:qFormat/>
    <w:rsid w:val="00243C7A"/>
    <w:pPr>
      <w:keepNext/>
      <w:spacing w:before="120" w:after="60"/>
      <w:jc w:val="center"/>
    </w:pPr>
    <w:rPr>
      <w:bCs w:val="0"/>
      <w:szCs w:val="22"/>
    </w:rPr>
  </w:style>
  <w:style w:type="character" w:customStyle="1" w:styleId="3GRAFChar">
    <w:name w:val="3 GRAF Char"/>
    <w:link w:val="3GRAF"/>
    <w:rsid w:val="00243C7A"/>
    <w:rPr>
      <w:rFonts w:ascii="Arial Narrow" w:hAnsi="Arial Narrow"/>
      <w:b/>
      <w:sz w:val="22"/>
      <w:szCs w:val="22"/>
      <w:lang w:val="x-none" w:eastAsia="ar-SA"/>
    </w:rPr>
  </w:style>
  <w:style w:type="paragraph" w:customStyle="1" w:styleId="5selnodrky">
    <w:name w:val="5 číselné odrážky"/>
    <w:basedOn w:val="2TEXT"/>
    <w:link w:val="5selnodrkyChar"/>
    <w:qFormat/>
    <w:rsid w:val="00403F64"/>
    <w:pPr>
      <w:numPr>
        <w:numId w:val="2"/>
      </w:numPr>
      <w:spacing w:before="60" w:after="60"/>
      <w:ind w:left="714" w:hanging="357"/>
    </w:pPr>
  </w:style>
  <w:style w:type="character" w:customStyle="1" w:styleId="5selnodrkyChar">
    <w:name w:val="5 číselné odrážky Char"/>
    <w:link w:val="5selnodrky"/>
    <w:rsid w:val="00403F64"/>
    <w:rPr>
      <w:rFonts w:ascii="Arial Narrow" w:eastAsia="Calibri" w:hAnsi="Arial Narrow"/>
      <w:sz w:val="24"/>
      <w:szCs w:val="32"/>
      <w:lang w:eastAsia="en-US"/>
    </w:rPr>
  </w:style>
  <w:style w:type="paragraph" w:customStyle="1" w:styleId="6odrky">
    <w:name w:val="6 odrážky"/>
    <w:basedOn w:val="2TEXT"/>
    <w:link w:val="6odrkyChar"/>
    <w:qFormat/>
    <w:rsid w:val="00403F64"/>
    <w:pPr>
      <w:numPr>
        <w:numId w:val="3"/>
      </w:numPr>
      <w:spacing w:before="60" w:after="60"/>
      <w:ind w:left="714" w:hanging="357"/>
    </w:pPr>
    <w:rPr>
      <w:szCs w:val="24"/>
    </w:rPr>
  </w:style>
  <w:style w:type="character" w:customStyle="1" w:styleId="6odrkyChar">
    <w:name w:val="6 odrážky Char"/>
    <w:link w:val="6odrky"/>
    <w:rsid w:val="00403F64"/>
    <w:rPr>
      <w:rFonts w:ascii="Arial Narrow" w:eastAsia="Calibri" w:hAnsi="Arial Narrow"/>
      <w:sz w:val="24"/>
      <w:szCs w:val="24"/>
      <w:lang w:eastAsia="en-US"/>
    </w:rPr>
  </w:style>
  <w:style w:type="paragraph" w:customStyle="1" w:styleId="4TABULKA">
    <w:name w:val="4 TABULKA"/>
    <w:basedOn w:val="3GRAF"/>
    <w:link w:val="4TABULKAChar"/>
    <w:qFormat/>
    <w:rsid w:val="00BC5EE4"/>
    <w:rPr>
      <w:b w:val="0"/>
      <w:bCs/>
    </w:rPr>
  </w:style>
  <w:style w:type="character" w:customStyle="1" w:styleId="4TABULKAChar">
    <w:name w:val="4 TABULKA Char"/>
    <w:link w:val="4TABULKA"/>
    <w:rsid w:val="00BC5EE4"/>
    <w:rPr>
      <w:rFonts w:ascii="Arial Narrow" w:hAnsi="Arial Narrow"/>
      <w:b/>
      <w:bCs/>
      <w:color w:val="00ADDC"/>
      <w:sz w:val="22"/>
      <w:szCs w:val="22"/>
      <w:lang w:eastAsia="ar-SA"/>
    </w:rPr>
  </w:style>
  <w:style w:type="paragraph" w:styleId="Obsah1">
    <w:name w:val="toc 1"/>
    <w:basedOn w:val="Normln"/>
    <w:next w:val="Normln"/>
    <w:autoRedefine/>
    <w:uiPriority w:val="39"/>
    <w:unhideWhenUsed/>
    <w:rsid w:val="00BA412B"/>
    <w:pPr>
      <w:tabs>
        <w:tab w:val="left" w:pos="340"/>
        <w:tab w:val="left" w:pos="567"/>
        <w:tab w:val="right" w:leader="dot" w:pos="9062"/>
      </w:tabs>
      <w:spacing w:after="100"/>
    </w:pPr>
    <w:rPr>
      <w:rFonts w:ascii="Arial Narrow" w:hAnsi="Arial Narrow"/>
    </w:rPr>
  </w:style>
  <w:style w:type="paragraph" w:styleId="Obsah2">
    <w:name w:val="toc 2"/>
    <w:basedOn w:val="Normln"/>
    <w:next w:val="Normln"/>
    <w:autoRedefine/>
    <w:uiPriority w:val="39"/>
    <w:unhideWhenUsed/>
    <w:rsid w:val="00BA412B"/>
    <w:pPr>
      <w:tabs>
        <w:tab w:val="left" w:pos="567"/>
        <w:tab w:val="left" w:pos="851"/>
        <w:tab w:val="right" w:leader="dot" w:pos="9062"/>
      </w:tabs>
      <w:spacing w:after="100"/>
      <w:ind w:left="1219" w:hanging="879"/>
    </w:pPr>
    <w:rPr>
      <w:rFonts w:ascii="Arial Narrow" w:hAnsi="Arial Narrow"/>
    </w:rPr>
  </w:style>
  <w:style w:type="paragraph" w:styleId="Obsah3">
    <w:name w:val="toc 3"/>
    <w:basedOn w:val="Normln"/>
    <w:next w:val="Normln"/>
    <w:autoRedefine/>
    <w:uiPriority w:val="39"/>
    <w:unhideWhenUsed/>
    <w:rsid w:val="00BA412B"/>
    <w:pPr>
      <w:tabs>
        <w:tab w:val="left" w:pos="1588"/>
      </w:tabs>
      <w:spacing w:after="100"/>
      <w:ind w:left="851"/>
    </w:pPr>
    <w:rPr>
      <w:rFonts w:ascii="Arial Narrow" w:hAnsi="Arial Narrow"/>
    </w:rPr>
  </w:style>
  <w:style w:type="paragraph" w:customStyle="1" w:styleId="7Obsahvod">
    <w:name w:val="7 Obsah+úvod"/>
    <w:basedOn w:val="1Nadpis"/>
    <w:link w:val="7ObsahvodChar"/>
    <w:qFormat/>
    <w:rsid w:val="00B710A8"/>
    <w:pPr>
      <w:ind w:left="432" w:hanging="432"/>
    </w:pPr>
    <w:rPr>
      <w:b w:val="0"/>
      <w:bCs w:val="0"/>
    </w:rPr>
  </w:style>
  <w:style w:type="character" w:customStyle="1" w:styleId="7ObsahvodChar">
    <w:name w:val="7 Obsah+úvod Char"/>
    <w:link w:val="7Obsahvod"/>
    <w:rsid w:val="00B710A8"/>
    <w:rPr>
      <w:rFonts w:ascii="Arial Narrow" w:hAnsi="Arial Narrow"/>
      <w:b w:val="0"/>
      <w:bCs w:val="0"/>
      <w:sz w:val="40"/>
      <w:szCs w:val="22"/>
      <w:lang w:eastAsia="ar-SA"/>
    </w:rPr>
  </w:style>
  <w:style w:type="paragraph" w:customStyle="1" w:styleId="8aodrky">
    <w:name w:val="8 a) odrážky"/>
    <w:basedOn w:val="Odstavecseseznamem"/>
    <w:link w:val="8aodrkyChar"/>
    <w:qFormat/>
    <w:rsid w:val="00321B9F"/>
    <w:pPr>
      <w:numPr>
        <w:numId w:val="1"/>
      </w:numPr>
      <w:spacing w:after="120" w:line="288" w:lineRule="auto"/>
      <w:ind w:left="567" w:hanging="357"/>
    </w:pPr>
    <w:rPr>
      <w:rFonts w:ascii="Arial Narrow" w:hAnsi="Arial Narrow"/>
      <w:b/>
      <w:sz w:val="24"/>
      <w:szCs w:val="24"/>
    </w:rPr>
  </w:style>
  <w:style w:type="character" w:customStyle="1" w:styleId="8aodrkyChar">
    <w:name w:val="8 a) odrážky Char"/>
    <w:link w:val="8aodrky"/>
    <w:rsid w:val="00321B9F"/>
    <w:rPr>
      <w:rFonts w:ascii="Arial Narrow" w:hAnsi="Arial Narrow"/>
      <w:b/>
      <w:sz w:val="24"/>
      <w:szCs w:val="24"/>
      <w:lang w:eastAsia="ar-SA"/>
    </w:rPr>
  </w:style>
  <w:style w:type="table" w:customStyle="1" w:styleId="Stednstnovn1zvraznn11">
    <w:name w:val="Střední stínování 1 – zvýraznění 11"/>
    <w:basedOn w:val="Normlntabulka"/>
    <w:uiPriority w:val="63"/>
    <w:rsid w:val="009B1596"/>
    <w:tblPr>
      <w:tblStyleRowBandSize w:val="1"/>
      <w:tblStyleColBandSize w:val="1"/>
      <w:tblBorders>
        <w:top w:val="single" w:sz="8" w:space="0" w:color="25D0FF"/>
        <w:left w:val="single" w:sz="8" w:space="0" w:color="25D0FF"/>
        <w:bottom w:val="single" w:sz="8" w:space="0" w:color="25D0FF"/>
        <w:right w:val="single" w:sz="8" w:space="0" w:color="25D0FF"/>
        <w:insideH w:val="single" w:sz="8" w:space="0" w:color="25D0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25D0FF"/>
          <w:left w:val="single" w:sz="8" w:space="0" w:color="25D0FF"/>
          <w:bottom w:val="single" w:sz="8" w:space="0" w:color="25D0FF"/>
          <w:right w:val="single" w:sz="8" w:space="0" w:color="25D0FF"/>
          <w:insideH w:val="nil"/>
          <w:insideV w:val="nil"/>
        </w:tcBorders>
        <w:shd w:val="clear" w:color="auto" w:fill="00ADDC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D0FF"/>
          <w:left w:val="single" w:sz="8" w:space="0" w:color="25D0FF"/>
          <w:bottom w:val="single" w:sz="8" w:space="0" w:color="25D0FF"/>
          <w:right w:val="single" w:sz="8" w:space="0" w:color="25D0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6108B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BD74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BD74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BD74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mka3zvraznn2">
    <w:name w:val="Medium Grid 3 Accent 2"/>
    <w:basedOn w:val="Normlntabulka"/>
    <w:uiPriority w:val="69"/>
    <w:rsid w:val="006108B9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2F5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BD74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BD74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BD74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BD74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5EB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5EBA2"/>
      </w:tcPr>
    </w:tblStylePr>
  </w:style>
  <w:style w:type="table" w:styleId="Tmavseznamzvraznn2">
    <w:name w:val="Dark List Accent 2"/>
    <w:basedOn w:val="Normlntabulka"/>
    <w:uiPriority w:val="70"/>
    <w:rsid w:val="006108B9"/>
    <w:rPr>
      <w:color w:val="FFFFFF"/>
    </w:rPr>
    <w:tblPr>
      <w:tblStyleRowBandSize w:val="1"/>
      <w:tblStyleColBandSize w:val="1"/>
    </w:tblPr>
    <w:tcPr>
      <w:shd w:val="clear" w:color="auto" w:fill="8BD74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47419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67AE2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67AE2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AE2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AE25"/>
      </w:tcPr>
    </w:tblStylePr>
  </w:style>
  <w:style w:type="table" w:styleId="Stednstnovn1zvraznn2">
    <w:name w:val="Medium Shading 1 Accent 2"/>
    <w:basedOn w:val="Normlntabulka"/>
    <w:uiPriority w:val="63"/>
    <w:rsid w:val="006108B9"/>
    <w:tblPr>
      <w:tblStyleRowBandSize w:val="1"/>
      <w:tblStyleColBandSize w:val="1"/>
      <w:tblBorders>
        <w:top w:val="single" w:sz="8" w:space="0" w:color="A7E173"/>
        <w:left w:val="single" w:sz="8" w:space="0" w:color="A7E173"/>
        <w:bottom w:val="single" w:sz="8" w:space="0" w:color="A7E173"/>
        <w:right w:val="single" w:sz="8" w:space="0" w:color="A7E173"/>
        <w:insideH w:val="single" w:sz="8" w:space="0" w:color="A7E17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A7E173"/>
          <w:left w:val="single" w:sz="8" w:space="0" w:color="A7E173"/>
          <w:bottom w:val="single" w:sz="8" w:space="0" w:color="A7E173"/>
          <w:right w:val="single" w:sz="8" w:space="0" w:color="A7E173"/>
          <w:insideH w:val="nil"/>
          <w:insideV w:val="nil"/>
        </w:tcBorders>
        <w:shd w:val="clear" w:color="auto" w:fill="8BD74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E173"/>
          <w:left w:val="single" w:sz="8" w:space="0" w:color="A7E173"/>
          <w:bottom w:val="single" w:sz="8" w:space="0" w:color="A7E173"/>
          <w:right w:val="single" w:sz="8" w:space="0" w:color="A7E17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5D0"/>
      </w:tcPr>
    </w:tblStylePr>
    <w:tblStylePr w:type="band1Horz">
      <w:tblPr/>
      <w:tcPr>
        <w:tcBorders>
          <w:insideH w:val="nil"/>
          <w:insideV w:val="nil"/>
        </w:tcBorders>
        <w:shd w:val="clear" w:color="auto" w:fill="E2F5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1">
    <w:name w:val="Medium Grid 3 Accent 1"/>
    <w:basedOn w:val="Normlntabulka"/>
    <w:uiPriority w:val="69"/>
    <w:rsid w:val="006108B9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B7EFF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ADDC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ADDC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ADDC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ADDC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6EDFF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6EDFFF"/>
      </w:tcPr>
    </w:tblStylePr>
  </w:style>
  <w:style w:type="table" w:customStyle="1" w:styleId="Stednstnovn2zvraznn11">
    <w:name w:val="Střední stínování 2 – zvýraznění 11"/>
    <w:basedOn w:val="Normlntabulka"/>
    <w:uiPriority w:val="64"/>
    <w:rsid w:val="006108B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DC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DC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DD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2Text0">
    <w:name w:val="2 Text"/>
    <w:basedOn w:val="Normln"/>
    <w:link w:val="2TextChar0"/>
    <w:qFormat/>
    <w:rsid w:val="00532DF3"/>
    <w:pPr>
      <w:spacing w:before="120" w:after="120" w:line="288" w:lineRule="auto"/>
    </w:pPr>
    <w:rPr>
      <w:rFonts w:ascii="Arial Narrow" w:hAnsi="Arial Narrow"/>
      <w:sz w:val="24"/>
      <w:szCs w:val="32"/>
      <w:lang w:val="x-none"/>
    </w:rPr>
  </w:style>
  <w:style w:type="character" w:customStyle="1" w:styleId="2TextChar0">
    <w:name w:val="2 Text Char"/>
    <w:link w:val="2Text0"/>
    <w:locked/>
    <w:rsid w:val="00532DF3"/>
    <w:rPr>
      <w:rFonts w:ascii="Arial Narrow" w:eastAsia="Calibri" w:hAnsi="Arial Narrow"/>
      <w:sz w:val="24"/>
      <w:szCs w:val="32"/>
      <w:lang w:eastAsia="en-US"/>
    </w:rPr>
  </w:style>
  <w:style w:type="character" w:styleId="Odkaznakoment">
    <w:name w:val="annotation reference"/>
    <w:uiPriority w:val="99"/>
    <w:semiHidden/>
    <w:unhideWhenUsed/>
    <w:rsid w:val="00532DF3"/>
    <w:rPr>
      <w:sz w:val="16"/>
      <w:szCs w:val="16"/>
    </w:rPr>
  </w:style>
  <w:style w:type="character" w:customStyle="1" w:styleId="Nadpis1Char">
    <w:name w:val="Nadpis 1 Char"/>
    <w:aliases w:val="1 Nadpis 1 Char1"/>
    <w:link w:val="Nadpis1"/>
    <w:rsid w:val="00FE4A4D"/>
    <w:rPr>
      <w:rFonts w:ascii="Arial Narrow" w:eastAsia="Calibri" w:hAnsi="Arial Narrow" w:cs="Arial"/>
      <w:b/>
      <w:bCs/>
      <w:kern w:val="32"/>
      <w:sz w:val="40"/>
      <w:szCs w:val="32"/>
      <w:lang w:eastAsia="en-US"/>
    </w:rPr>
  </w:style>
  <w:style w:type="character" w:styleId="Sledovanodkaz">
    <w:name w:val="FollowedHyperlink"/>
    <w:uiPriority w:val="99"/>
    <w:semiHidden/>
    <w:unhideWhenUsed/>
    <w:rsid w:val="00532DF3"/>
    <w:rPr>
      <w:color w:val="5F7791"/>
      <w:u w:val="single"/>
    </w:rPr>
  </w:style>
  <w:style w:type="character" w:customStyle="1" w:styleId="Nadpis1Char1">
    <w:name w:val="Nadpis 1 Char1"/>
    <w:aliases w:val="1 Nadpis 1 Char"/>
    <w:rsid w:val="00532DF3"/>
    <w:rPr>
      <w:rFonts w:ascii="Cambria" w:eastAsia="Times New Roman" w:hAnsi="Cambria" w:cs="Times New Roman"/>
      <w:b/>
      <w:bCs/>
      <w:color w:val="0081A4"/>
      <w:sz w:val="28"/>
      <w:szCs w:val="28"/>
      <w:lang w:eastAsia="en-US"/>
    </w:rPr>
  </w:style>
  <w:style w:type="character" w:customStyle="1" w:styleId="ZhlavChar">
    <w:name w:val="Záhlaví Char"/>
    <w:link w:val="Zhlav"/>
    <w:uiPriority w:val="99"/>
    <w:rsid w:val="00532DF3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ZpatChar">
    <w:name w:val="Zápatí Char"/>
    <w:link w:val="Zpat"/>
    <w:semiHidden/>
    <w:rsid w:val="00532DF3"/>
    <w:rPr>
      <w:rFonts w:ascii="Calibri" w:eastAsia="Calibri" w:hAnsi="Calibri" w:cs="Times New Roman"/>
      <w:sz w:val="22"/>
      <w:szCs w:val="22"/>
      <w:lang w:eastAsia="en-US"/>
    </w:rPr>
  </w:style>
  <w:style w:type="paragraph" w:styleId="Seznamobrzk">
    <w:name w:val="table of figures"/>
    <w:basedOn w:val="Normln"/>
    <w:next w:val="Normln"/>
    <w:uiPriority w:val="99"/>
    <w:unhideWhenUsed/>
    <w:rsid w:val="00532DF3"/>
    <w:pPr>
      <w:spacing w:after="0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32DF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32DF3"/>
    <w:rPr>
      <w:rFonts w:ascii="Calibri" w:eastAsia="Calibri" w:hAnsi="Calibri" w:cs="Times New Roman"/>
      <w:b/>
      <w:bCs/>
      <w:lang w:eastAsia="en-US"/>
    </w:rPr>
  </w:style>
  <w:style w:type="paragraph" w:styleId="Revize">
    <w:name w:val="Revision"/>
    <w:uiPriority w:val="99"/>
    <w:semiHidden/>
    <w:rsid w:val="00532DF3"/>
    <w:rPr>
      <w:rFonts w:ascii="Calibri" w:eastAsia="Calibri" w:hAnsi="Calibri"/>
      <w:sz w:val="22"/>
      <w:szCs w:val="22"/>
      <w:lang w:eastAsia="en-US"/>
    </w:rPr>
  </w:style>
  <w:style w:type="table" w:customStyle="1" w:styleId="Tmavtabulkasmkou5zvraznn11">
    <w:name w:val="Tmavá tabulka s mřížkou 5 – zvýraznění 11"/>
    <w:basedOn w:val="Normlntabulka"/>
    <w:uiPriority w:val="50"/>
    <w:rsid w:val="00532DF3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5F2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ADDC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ADDC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ADDC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ADDC"/>
      </w:tcPr>
    </w:tblStylePr>
    <w:tblStylePr w:type="band1Vert">
      <w:tblPr/>
      <w:tcPr>
        <w:shd w:val="clear" w:color="auto" w:fill="8BE5FF"/>
      </w:tcPr>
    </w:tblStylePr>
    <w:tblStylePr w:type="band1Horz">
      <w:tblPr/>
      <w:tcPr>
        <w:shd w:val="clear" w:color="auto" w:fill="8BE5FF"/>
      </w:tcPr>
    </w:tblStylePr>
  </w:style>
  <w:style w:type="table" w:customStyle="1" w:styleId="Tabulkasmkou4zvraznn11">
    <w:name w:val="Tabulka s mřížkou 4 – zvýraznění 11"/>
    <w:basedOn w:val="Normlntabulka"/>
    <w:uiPriority w:val="49"/>
    <w:rsid w:val="00532DF3"/>
    <w:tblPr>
      <w:tblStyleRowBandSize w:val="1"/>
      <w:tblStyleColBandSize w:val="1"/>
      <w:tblBorders>
        <w:top w:val="single" w:sz="4" w:space="0" w:color="51D9FF"/>
        <w:left w:val="single" w:sz="4" w:space="0" w:color="51D9FF"/>
        <w:bottom w:val="single" w:sz="4" w:space="0" w:color="51D9FF"/>
        <w:right w:val="single" w:sz="4" w:space="0" w:color="51D9FF"/>
        <w:insideH w:val="single" w:sz="4" w:space="0" w:color="51D9FF"/>
        <w:insideV w:val="single" w:sz="4" w:space="0" w:color="51D9F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ADDC"/>
          <w:left w:val="single" w:sz="4" w:space="0" w:color="00ADDC"/>
          <w:bottom w:val="single" w:sz="4" w:space="0" w:color="00ADDC"/>
          <w:right w:val="single" w:sz="4" w:space="0" w:color="00ADDC"/>
          <w:insideH w:val="nil"/>
          <w:insideV w:val="nil"/>
        </w:tcBorders>
        <w:shd w:val="clear" w:color="auto" w:fill="00ADDC"/>
      </w:tcPr>
    </w:tblStylePr>
    <w:tblStylePr w:type="lastRow">
      <w:rPr>
        <w:b/>
        <w:bCs/>
      </w:rPr>
      <w:tblPr/>
      <w:tcPr>
        <w:tcBorders>
          <w:top w:val="double" w:sz="4" w:space="0" w:color="00A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FF"/>
      </w:tcPr>
    </w:tblStylePr>
    <w:tblStylePr w:type="band1Horz">
      <w:tblPr/>
      <w:tcPr>
        <w:shd w:val="clear" w:color="auto" w:fill="C5F2FF"/>
      </w:tcPr>
    </w:tblStylePr>
  </w:style>
  <w:style w:type="paragraph" w:customStyle="1" w:styleId="1Podnadpis11">
    <w:name w:val="1 Podnadpis 1.1"/>
    <w:basedOn w:val="Nadpis2"/>
    <w:link w:val="1Podnadpis11Char"/>
    <w:qFormat/>
    <w:rsid w:val="000252FF"/>
    <w:pPr>
      <w:spacing w:before="360" w:after="360" w:line="240" w:lineRule="auto"/>
    </w:pPr>
    <w:rPr>
      <w:rFonts w:ascii="Arial Narrow" w:hAnsi="Arial Narrow"/>
      <w:b w:val="0"/>
      <w:bCs w:val="0"/>
      <w:sz w:val="36"/>
    </w:rPr>
  </w:style>
  <w:style w:type="paragraph" w:customStyle="1" w:styleId="1Podpodnadpis111">
    <w:name w:val="1 Podpodnadpis 1.1.1"/>
    <w:basedOn w:val="Nadpis3"/>
    <w:link w:val="1Podpodnadpis111Char"/>
    <w:qFormat/>
    <w:rsid w:val="000252FF"/>
    <w:pPr>
      <w:spacing w:before="240" w:after="240" w:line="240" w:lineRule="auto"/>
    </w:pPr>
    <w:rPr>
      <w:rFonts w:ascii="Arial Narrow" w:hAnsi="Arial Narrow"/>
      <w:b w:val="0"/>
      <w:bCs w:val="0"/>
      <w:sz w:val="28"/>
    </w:rPr>
  </w:style>
  <w:style w:type="character" w:customStyle="1" w:styleId="1Podnadpis11Char">
    <w:name w:val="1 Podnadpis 1.1 Char"/>
    <w:link w:val="1Podnadpis11"/>
    <w:rsid w:val="000252FF"/>
    <w:rPr>
      <w:rFonts w:ascii="Arial Narrow" w:eastAsia="Times New Roman" w:hAnsi="Arial Narrow" w:cs="Times New Roman"/>
      <w:b w:val="0"/>
      <w:bCs w:val="0"/>
      <w:color w:val="00ADDC"/>
      <w:sz w:val="36"/>
      <w:szCs w:val="26"/>
      <w:lang w:eastAsia="en-US"/>
    </w:rPr>
  </w:style>
  <w:style w:type="character" w:customStyle="1" w:styleId="1Podpodnadpis111Char">
    <w:name w:val="1 Podpodnadpis 1.1.1 Char"/>
    <w:link w:val="1Podpodnadpis111"/>
    <w:rsid w:val="000252FF"/>
    <w:rPr>
      <w:rFonts w:ascii="Arial Narrow" w:eastAsia="Times New Roman" w:hAnsi="Arial Narrow" w:cs="Times New Roman"/>
      <w:b w:val="0"/>
      <w:bCs w:val="0"/>
      <w:color w:val="00ADDC"/>
      <w:sz w:val="28"/>
      <w:szCs w:val="22"/>
      <w:lang w:eastAsia="en-US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C2316"/>
    <w:rPr>
      <w:rFonts w:ascii="Cambria" w:eastAsia="Times New Roman" w:hAnsi="Cambria"/>
      <w:i/>
      <w:iCs/>
      <w:color w:val="00ADDC"/>
      <w:spacing w:val="15"/>
      <w:sz w:val="24"/>
      <w:szCs w:val="24"/>
      <w:lang w:val="x-none"/>
    </w:rPr>
  </w:style>
  <w:style w:type="character" w:customStyle="1" w:styleId="PodnadpisChar">
    <w:name w:val="Podnadpis Char"/>
    <w:link w:val="Podnadpis"/>
    <w:uiPriority w:val="11"/>
    <w:rsid w:val="00DC2316"/>
    <w:rPr>
      <w:rFonts w:ascii="Cambria" w:eastAsia="Times New Roman" w:hAnsi="Cambria" w:cs="Times New Roman"/>
      <w:i/>
      <w:iCs/>
      <w:color w:val="00ADDC"/>
      <w:spacing w:val="15"/>
      <w:sz w:val="24"/>
      <w:szCs w:val="24"/>
      <w:lang w:eastAsia="en-US"/>
    </w:rPr>
  </w:style>
  <w:style w:type="paragraph" w:customStyle="1" w:styleId="11Podnadpis0">
    <w:name w:val="1.1 Podnadpis"/>
    <w:basedOn w:val="1Nadpis"/>
    <w:qFormat/>
    <w:rsid w:val="009E7CB2"/>
    <w:pPr>
      <w:pBdr>
        <w:bottom w:val="none" w:sz="0" w:space="0" w:color="auto"/>
      </w:pBdr>
      <w:spacing w:before="360" w:after="360"/>
      <w:ind w:left="576" w:hanging="576"/>
    </w:pPr>
    <w:rPr>
      <w:sz w:val="36"/>
      <w:szCs w:val="36"/>
    </w:rPr>
  </w:style>
  <w:style w:type="paragraph" w:customStyle="1" w:styleId="111Podpodnadpis0">
    <w:name w:val="1.1.1 Podpodnadpis"/>
    <w:basedOn w:val="11Podnadpis0"/>
    <w:link w:val="111PodpodnadpisChar0"/>
    <w:qFormat/>
    <w:rsid w:val="009E7CB2"/>
    <w:pPr>
      <w:spacing w:before="240" w:after="240"/>
      <w:ind w:left="720" w:hanging="720"/>
    </w:pPr>
    <w:rPr>
      <w:sz w:val="28"/>
    </w:rPr>
  </w:style>
  <w:style w:type="character" w:customStyle="1" w:styleId="111PodpodnadpisChar0">
    <w:name w:val="1.1.1 Podpodnadpis Char"/>
    <w:link w:val="111Podpodnadpis0"/>
    <w:rsid w:val="009E7CB2"/>
    <w:rPr>
      <w:rFonts w:ascii="Arial Narrow" w:hAnsi="Arial Narrow"/>
      <w:b/>
      <w:bCs/>
      <w:sz w:val="28"/>
      <w:szCs w:val="36"/>
      <w:lang w:eastAsia="ar-SA"/>
    </w:rPr>
  </w:style>
  <w:style w:type="table" w:customStyle="1" w:styleId="Tabulkasmkou4zvraznn21">
    <w:name w:val="Tabulka s mřížkou 4 – zvýraznění 21"/>
    <w:basedOn w:val="Normlntabulka"/>
    <w:uiPriority w:val="49"/>
    <w:rsid w:val="00D0791F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9E78F"/>
        <w:left w:val="single" w:sz="4" w:space="0" w:color="B9E78F"/>
        <w:bottom w:val="single" w:sz="4" w:space="0" w:color="B9E78F"/>
        <w:right w:val="single" w:sz="4" w:space="0" w:color="B9E78F"/>
        <w:insideH w:val="single" w:sz="4" w:space="0" w:color="B9E78F"/>
        <w:insideV w:val="single" w:sz="4" w:space="0" w:color="B9E7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8BD745"/>
          <w:left w:val="single" w:sz="4" w:space="0" w:color="8BD745"/>
          <w:bottom w:val="single" w:sz="4" w:space="0" w:color="8BD745"/>
          <w:right w:val="single" w:sz="4" w:space="0" w:color="8BD745"/>
          <w:insideH w:val="nil"/>
          <w:insideV w:val="nil"/>
        </w:tcBorders>
        <w:shd w:val="clear" w:color="auto" w:fill="8BD745"/>
      </w:tcPr>
    </w:tblStylePr>
    <w:tblStylePr w:type="lastRow">
      <w:rPr>
        <w:b/>
        <w:bCs/>
      </w:rPr>
      <w:tblPr/>
      <w:tcPr>
        <w:tcBorders>
          <w:top w:val="double" w:sz="4" w:space="0" w:color="8BD74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7D9"/>
      </w:tcPr>
    </w:tblStylePr>
    <w:tblStylePr w:type="band1Horz">
      <w:tblPr/>
      <w:tcPr>
        <w:shd w:val="clear" w:color="auto" w:fill="E7F7D9"/>
      </w:tcPr>
    </w:tblStylePr>
  </w:style>
  <w:style w:type="table" w:styleId="Mkatabulky">
    <w:name w:val="Table Grid"/>
    <w:basedOn w:val="Normlntabulka"/>
    <w:uiPriority w:val="59"/>
    <w:rsid w:val="00D079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2D52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itgraf">
    <w:name w:val="Tit. graf"/>
    <w:qFormat/>
    <w:rsid w:val="00CF6CD0"/>
    <w:pPr>
      <w:spacing w:after="40" w:line="276" w:lineRule="auto"/>
    </w:pPr>
    <w:rPr>
      <w:rFonts w:ascii="Arial" w:hAnsi="Arial"/>
      <w:b/>
    </w:rPr>
  </w:style>
  <w:style w:type="table" w:customStyle="1" w:styleId="Kalend2">
    <w:name w:val="Kalendář 2"/>
    <w:basedOn w:val="Normlntabulka"/>
    <w:uiPriority w:val="99"/>
    <w:qFormat/>
    <w:rsid w:val="007B7E66"/>
    <w:pPr>
      <w:jc w:val="center"/>
    </w:pPr>
    <w:rPr>
      <w:rFonts w:asciiTheme="minorHAnsi" w:eastAsiaTheme="minorEastAsia" w:hAnsiTheme="minorHAnsi" w:cstheme="minorBidi"/>
      <w:sz w:val="28"/>
      <w:szCs w:val="28"/>
    </w:rPr>
    <w:tblPr>
      <w:tblBorders>
        <w:insideV w:val="single" w:sz="4" w:space="0" w:color="9CC2E5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5B9BD5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ulkasmkou2zvraznn11">
    <w:name w:val="Tabulka s mřížkou 2 – zvýraznění 11"/>
    <w:basedOn w:val="Normlntabulka"/>
    <w:uiPriority w:val="47"/>
    <w:rsid w:val="00FB0011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Default">
    <w:name w:val="Default"/>
    <w:rsid w:val="002138E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255FE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255FEA"/>
    <w:rPr>
      <w:sz w:val="24"/>
      <w:szCs w:val="24"/>
    </w:rPr>
  </w:style>
  <w:style w:type="table" w:styleId="Tabulkasmkou2zvraznn1">
    <w:name w:val="Grid Table 2 Accent 1"/>
    <w:basedOn w:val="Normlntabulka"/>
    <w:uiPriority w:val="47"/>
    <w:rsid w:val="00A85ABC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Barevntabulkasmkou6zvraznn1">
    <w:name w:val="Grid Table 6 Colorful Accent 1"/>
    <w:basedOn w:val="Normlntabulka"/>
    <w:uiPriority w:val="51"/>
    <w:rsid w:val="00A85ABC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normaltextrun">
    <w:name w:val="normaltextrun"/>
    <w:basedOn w:val="Standardnpsmoodstavce"/>
    <w:rsid w:val="00E31618"/>
  </w:style>
  <w:style w:type="character" w:styleId="Nevyeenzmnka">
    <w:name w:val="Unresolved Mention"/>
    <w:basedOn w:val="Standardnpsmoodstavce"/>
    <w:uiPriority w:val="99"/>
    <w:semiHidden/>
    <w:unhideWhenUsed/>
    <w:rsid w:val="00B369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8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34888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262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31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0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78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53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4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86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1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2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71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33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00280">
          <w:marLeft w:val="15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3414">
          <w:marLeft w:val="15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8050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438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0989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0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059">
          <w:marLeft w:val="15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2639">
          <w:marLeft w:val="15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658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57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1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13213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7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172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34748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6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89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308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58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567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41517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53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40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70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6771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7153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63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06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51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chart" Target="charts/chart9.xml"/><Relationship Id="rId21" Type="http://schemas.openxmlformats.org/officeDocument/2006/relationships/image" Target="media/image11.png"/><Relationship Id="rId34" Type="http://schemas.openxmlformats.org/officeDocument/2006/relationships/chart" Target="charts/chart4.xml"/><Relationship Id="rId42" Type="http://schemas.openxmlformats.org/officeDocument/2006/relationships/image" Target="media/image18.png"/><Relationship Id="rId47" Type="http://schemas.openxmlformats.org/officeDocument/2006/relationships/header" Target="header1.xml"/><Relationship Id="rId50" Type="http://schemas.openxmlformats.org/officeDocument/2006/relationships/header" Target="header2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hyperlink" Target="https://ec.europa.eu/eurostat/databrowser/view/tespm010/default/map?lang=en" TargetMode="External"/><Relationship Id="rId11" Type="http://schemas.openxmlformats.org/officeDocument/2006/relationships/image" Target="media/image1.wmf"/><Relationship Id="rId24" Type="http://schemas.openxmlformats.org/officeDocument/2006/relationships/image" Target="media/image14.png"/><Relationship Id="rId32" Type="http://schemas.openxmlformats.org/officeDocument/2006/relationships/chart" Target="charts/chart2.xml"/><Relationship Id="rId37" Type="http://schemas.openxmlformats.org/officeDocument/2006/relationships/chart" Target="charts/chart7.xml"/><Relationship Id="rId40" Type="http://schemas.openxmlformats.org/officeDocument/2006/relationships/chart" Target="charts/chart10.xml"/><Relationship Id="rId45" Type="http://schemas.openxmlformats.org/officeDocument/2006/relationships/hyperlink" Target="mailto:tana.dvornakova@csu.gov.cz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hyperlink" Target="https://ec.europa.eu/eurostat/databrowser/view/tespm010/default/map?lang=en" TargetMode="External"/><Relationship Id="rId36" Type="http://schemas.openxmlformats.org/officeDocument/2006/relationships/chart" Target="charts/chart6.xml"/><Relationship Id="rId49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chart" Target="charts/chart1.xml"/><Relationship Id="rId44" Type="http://schemas.openxmlformats.org/officeDocument/2006/relationships/hyperlink" Target="https://csu.gov.cz/produkty/prijmy-a-zivotni-podminky-domacnosti-2025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hyperlink" Target="https://ec.europa.eu/eurostat/databrowser/view/tespm010/default/map?lang=en" TargetMode="External"/><Relationship Id="rId30" Type="http://schemas.openxmlformats.org/officeDocument/2006/relationships/image" Target="media/image17.png"/><Relationship Id="rId35" Type="http://schemas.openxmlformats.org/officeDocument/2006/relationships/chart" Target="charts/chart5.xml"/><Relationship Id="rId43" Type="http://schemas.openxmlformats.org/officeDocument/2006/relationships/image" Target="media/image19.jpeg"/><Relationship Id="rId48" Type="http://schemas.openxmlformats.org/officeDocument/2006/relationships/footer" Target="footer1.xml"/><Relationship Id="rId8" Type="http://schemas.openxmlformats.org/officeDocument/2006/relationships/webSettings" Target="web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chart" Target="charts/chart3.xml"/><Relationship Id="rId38" Type="http://schemas.openxmlformats.org/officeDocument/2006/relationships/chart" Target="charts/chart8.xml"/><Relationship Id="rId46" Type="http://schemas.openxmlformats.org/officeDocument/2006/relationships/hyperlink" Target="mailto:simona.merinska@csu.gov.cz" TargetMode="External"/><Relationship Id="rId20" Type="http://schemas.openxmlformats.org/officeDocument/2006/relationships/image" Target="media/image10.png"/><Relationship Id="rId41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C:\Users\merinska2555\&#353;et&#345;en&#237;%20SILC\SILC%202026\Tiskovka%2026\Znovu%20cel&#233;%20spo&#269;&#237;t&#225;no\SILC_podklady_graficce_leden2026.xlsx" TargetMode="External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7.xml"/><Relationship Id="rId2" Type="http://schemas.openxmlformats.org/officeDocument/2006/relationships/oleObject" Target="file:///C:\Users\merinska2555\&#353;et&#345;en&#237;%20SILC\SILC%202026\Tiskovka%2026\Znovu%20cel&#233;%20spo&#269;&#237;t&#225;no\SILC_podklady_graficce_leden2026.xlsx" TargetMode="External"/><Relationship Id="rId1" Type="http://schemas.openxmlformats.org/officeDocument/2006/relationships/themeOverride" Target="../theme/themeOverride9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8.xml"/><Relationship Id="rId2" Type="http://schemas.openxmlformats.org/officeDocument/2006/relationships/oleObject" Target="file:///C:\Users\merinska2555\&#353;et&#345;en&#237;%20SILC\SILC%202026\Tiskovka%2026\Znovu%20cel&#233;%20spo&#269;&#237;t&#225;no\SILC_podklady_graficce_leden2026.xlsx" TargetMode="External"/><Relationship Id="rId1" Type="http://schemas.openxmlformats.org/officeDocument/2006/relationships/themeOverride" Target="../theme/themeOverride10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file:///C:\Users\merinska2555\&#353;et&#345;en&#237;%20SILC\SILC%202026\Tiskovka%2026\Znovu%20cel&#233;%20spo&#269;&#237;t&#225;no\SILC_podklady_graficce_leden2026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oleObject" Target="file:///C:\Users\merinska2555\&#353;et&#345;en&#237;%20SILC\SILC%202026\Tiskovka%2026\Znovu%20cel&#233;%20spo&#269;&#237;t&#225;no\SILC_podklady_graficce_leden2026.xlsx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erinska2555\&#353;et&#345;en&#237;%20SILC\SILC%202026\Tiskovka%2026\Znovu%20cel&#233;%20spo&#269;&#237;t&#225;no\SILC_podklady_graficce_leden2026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oleObject" Target="file:///C:\Users\merinska2555\&#353;et&#345;en&#237;%20SILC\SILC%202026\Tiskovka%2026\Znovu%20cel&#233;%20spo&#269;&#237;t&#225;no\SILC_podklady_graficce_leden2026.xlsx" TargetMode="External"/><Relationship Id="rId1" Type="http://schemas.openxmlformats.org/officeDocument/2006/relationships/themeOverride" Target="../theme/themeOverride4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5.xml"/><Relationship Id="rId2" Type="http://schemas.openxmlformats.org/officeDocument/2006/relationships/oleObject" Target="file:///C:\Users\merinska2555\&#353;et&#345;en&#237;%20SILC\SILC%202026\Tiskovka%2026\KOUR_ALKO25.xlsx" TargetMode="External"/><Relationship Id="rId1" Type="http://schemas.openxmlformats.org/officeDocument/2006/relationships/themeOverride" Target="../theme/themeOverride5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6.xml"/><Relationship Id="rId2" Type="http://schemas.openxmlformats.org/officeDocument/2006/relationships/oleObject" Target="file:///C:\Users\merinska2555\&#353;et&#345;en&#237;%20SILC\SILC%202026\Tiskovka%2026\Presskit\SILC_podklady_graficce_leden2026_NEW_ANETA.xlsx" TargetMode="External"/><Relationship Id="rId1" Type="http://schemas.openxmlformats.org/officeDocument/2006/relationships/themeOverride" Target="../theme/themeOverride6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merinska2555\&#353;et&#345;en&#237;%20SILC\SILC%202026\Tiskovka%2026\Znovu%20cel&#233;%20spo&#269;&#237;t&#225;no\SILC_podklady_graficce_leden2026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merinska2555\&#353;et&#345;en&#237;%20SILC\SILC%202026\Tiskovka%2026\Znovu%20cel&#233;%20spo&#269;&#237;t&#225;no\SILC_podklady_graficce_leden2026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9465146611274813E-2"/>
          <c:y val="5.0925925925925923E-2"/>
          <c:w val="0.56646403555383806"/>
          <c:h val="0.87359384836339138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'BMI podle pohlaví'!$B$1</c:f>
              <c:strCache>
                <c:ptCount val="1"/>
                <c:pt idx="0">
                  <c:v>podváha (BMI &lt; 18,5)</c:v>
                </c:pt>
              </c:strCache>
            </c:strRef>
          </c:tx>
          <c:spPr>
            <a:solidFill>
              <a:srgbClr val="174F70"/>
            </a:solidFill>
          </c:spPr>
          <c:invertIfNegative val="0"/>
          <c:dLbls>
            <c:dLbl>
              <c:idx val="0"/>
              <c:layout>
                <c:manualLayout>
                  <c:x val="0"/>
                  <c:y val="-2.897940399563745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3AA-4093-B00B-F318FD3A833B}"/>
                </c:ext>
              </c:extLst>
            </c:dLbl>
            <c:dLbl>
              <c:idx val="1"/>
              <c:layout>
                <c:manualLayout>
                  <c:x val="0"/>
                  <c:y val="-2.761011959173638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3AA-4093-B00B-F318FD3A833B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>
                    <a:solidFill>
                      <a:schemeClr val="bg1"/>
                    </a:solidFill>
                  </a:defRPr>
                </a:pPr>
                <a:endParaRPr lang="cs-CZ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'BMI podle pohlaví'!$A$2:$A$3</c:f>
              <c:strCache>
                <c:ptCount val="2"/>
                <c:pt idx="0">
                  <c:v>muži</c:v>
                </c:pt>
                <c:pt idx="1">
                  <c:v>ženy</c:v>
                </c:pt>
              </c:strCache>
            </c:strRef>
          </c:cat>
          <c:val>
            <c:numRef>
              <c:f>'BMI podle pohlaví'!$B$2:$B$3</c:f>
              <c:numCache>
                <c:formatCode>General</c:formatCode>
                <c:ptCount val="2"/>
                <c:pt idx="0">
                  <c:v>1.19</c:v>
                </c:pt>
                <c:pt idx="1">
                  <c:v>2.42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317-496D-B634-AE425C0CDAEB}"/>
            </c:ext>
          </c:extLst>
        </c:ser>
        <c:ser>
          <c:idx val="1"/>
          <c:order val="1"/>
          <c:tx>
            <c:strRef>
              <c:f>'BMI podle pohlaví'!$C$1</c:f>
              <c:strCache>
                <c:ptCount val="1"/>
                <c:pt idx="0">
                  <c:v>normální váha 
(BMI 18,5 - 25)</c:v>
                </c:pt>
              </c:strCache>
            </c:strRef>
          </c:tx>
          <c:spPr>
            <a:solidFill>
              <a:srgbClr val="0071BC"/>
            </a:solidFill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>
                    <a:solidFill>
                      <a:schemeClr val="bg1"/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'BMI podle pohlaví'!$A$2:$A$3</c:f>
              <c:strCache>
                <c:ptCount val="2"/>
                <c:pt idx="0">
                  <c:v>muži</c:v>
                </c:pt>
                <c:pt idx="1">
                  <c:v>ženy</c:v>
                </c:pt>
              </c:strCache>
            </c:strRef>
          </c:cat>
          <c:val>
            <c:numRef>
              <c:f>'BMI podle pohlaví'!$C$2:$C$3</c:f>
              <c:numCache>
                <c:formatCode>General</c:formatCode>
                <c:ptCount val="2"/>
                <c:pt idx="0">
                  <c:v>32.18</c:v>
                </c:pt>
                <c:pt idx="1">
                  <c:v>47.12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317-496D-B634-AE425C0CDAEB}"/>
            </c:ext>
          </c:extLst>
        </c:ser>
        <c:ser>
          <c:idx val="2"/>
          <c:order val="2"/>
          <c:tx>
            <c:strRef>
              <c:f>'BMI podle pohlaví'!$D$1</c:f>
              <c:strCache>
                <c:ptCount val="1"/>
                <c:pt idx="0">
                  <c:v>mírná nadváha
(BMI 25 - 30)</c:v>
                </c:pt>
              </c:strCache>
            </c:strRef>
          </c:tx>
          <c:spPr>
            <a:solidFill>
              <a:srgbClr val="DC8468"/>
            </a:solidFill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44,8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1317-496D-B634-AE425C0CDAEB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>
                    <a:solidFill>
                      <a:schemeClr val="bg1"/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'BMI podle pohlaví'!$A$2:$A$3</c:f>
              <c:strCache>
                <c:ptCount val="2"/>
                <c:pt idx="0">
                  <c:v>muži</c:v>
                </c:pt>
                <c:pt idx="1">
                  <c:v>ženy</c:v>
                </c:pt>
              </c:strCache>
            </c:strRef>
          </c:cat>
          <c:val>
            <c:numRef>
              <c:f>'BMI podle pohlaví'!$D$2:$D$3</c:f>
              <c:numCache>
                <c:formatCode>General</c:formatCode>
                <c:ptCount val="2"/>
                <c:pt idx="0">
                  <c:v>44.86</c:v>
                </c:pt>
                <c:pt idx="1">
                  <c:v>31.61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317-496D-B634-AE425C0CDAEB}"/>
            </c:ext>
          </c:extLst>
        </c:ser>
        <c:ser>
          <c:idx val="3"/>
          <c:order val="3"/>
          <c:tx>
            <c:strRef>
              <c:f>'BMI podle pohlaví'!$E$1</c:f>
              <c:strCache>
                <c:ptCount val="1"/>
                <c:pt idx="0">
                  <c:v>obezita (BMI ≥ 30)</c:v>
                </c:pt>
              </c:strCache>
            </c:strRef>
          </c:tx>
          <c:spPr>
            <a:solidFill>
              <a:srgbClr val="BC091B"/>
            </a:solidFill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>
                    <a:solidFill>
                      <a:schemeClr val="bg1"/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'BMI podle pohlaví'!$A$2:$A$3</c:f>
              <c:strCache>
                <c:ptCount val="2"/>
                <c:pt idx="0">
                  <c:v>muži</c:v>
                </c:pt>
                <c:pt idx="1">
                  <c:v>ženy</c:v>
                </c:pt>
              </c:strCache>
            </c:strRef>
          </c:cat>
          <c:val>
            <c:numRef>
              <c:f>'BMI podle pohlaví'!$E$2:$E$3</c:f>
              <c:numCache>
                <c:formatCode>General</c:formatCode>
                <c:ptCount val="2"/>
                <c:pt idx="0">
                  <c:v>21.77</c:v>
                </c:pt>
                <c:pt idx="1">
                  <c:v>18.850000000000001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317-496D-B634-AE425C0CDA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overlap val="100"/>
        <c:axId val="97604736"/>
        <c:axId val="97606272"/>
      </c:barChart>
      <c:catAx>
        <c:axId val="97604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9525">
            <a:solidFill>
              <a:srgbClr val="000000"/>
            </a:solidFill>
          </a:ln>
        </c:spPr>
        <c:txPr>
          <a:bodyPr/>
          <a:lstStyle/>
          <a:p>
            <a:pPr>
              <a:defRPr sz="1100" b="0"/>
            </a:pPr>
            <a:endParaRPr lang="cs-CZ"/>
          </a:p>
        </c:txPr>
        <c:crossAx val="97606272"/>
        <c:crosses val="autoZero"/>
        <c:auto val="1"/>
        <c:lblAlgn val="ctr"/>
        <c:lblOffset val="100"/>
        <c:noMultiLvlLbl val="0"/>
      </c:catAx>
      <c:valAx>
        <c:axId val="97606272"/>
        <c:scaling>
          <c:orientation val="minMax"/>
          <c:max val="100"/>
        </c:scaling>
        <c:delete val="0"/>
        <c:axPos val="l"/>
        <c:numFmt formatCode="#,##0_ ;\-#,##0\ " sourceLinked="0"/>
        <c:majorTickMark val="out"/>
        <c:minorTickMark val="none"/>
        <c:tickLblPos val="nextTo"/>
        <c:spPr>
          <a:ln w="9525">
            <a:solidFill>
              <a:srgbClr val="000000"/>
            </a:solidFill>
          </a:ln>
        </c:spPr>
        <c:txPr>
          <a:bodyPr/>
          <a:lstStyle/>
          <a:p>
            <a:pPr>
              <a:defRPr>
                <a:solidFill>
                  <a:sysClr val="windowText" lastClr="000000"/>
                </a:solidFill>
              </a:defRPr>
            </a:pPr>
            <a:endParaRPr lang="cs-CZ"/>
          </a:p>
        </c:txPr>
        <c:crossAx val="97604736"/>
        <c:crosses val="autoZero"/>
        <c:crossBetween val="between"/>
      </c:valAx>
      <c:spPr>
        <a:ln>
          <a:noFill/>
        </a:ln>
      </c:spPr>
    </c:plotArea>
    <c:legend>
      <c:legendPos val="b"/>
      <c:layout>
        <c:manualLayout>
          <c:xMode val="edge"/>
          <c:yMode val="edge"/>
          <c:x val="0.67812646732041926"/>
          <c:y val="0.249990905093464"/>
          <c:w val="0.31588850780155547"/>
          <c:h val="0.40349315588511631"/>
        </c:manualLayout>
      </c:layout>
      <c:overlay val="0"/>
      <c:spPr>
        <a:solidFill>
          <a:sysClr val="window" lastClr="FFFFFF"/>
        </a:solidFill>
      </c:spPr>
      <c:txPr>
        <a:bodyPr/>
        <a:lstStyle/>
        <a:p>
          <a:pPr>
            <a:defRPr sz="1000">
              <a:latin typeface="Arial" panose="020B0604020202020204" pitchFamily="34" charset="0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Arial" pitchFamily="34" charset="0"/>
          <a:cs typeface="Arial" pitchFamily="34" charset="0"/>
        </a:defRPr>
      </a:pPr>
      <a:endParaRPr lang="cs-CZ"/>
    </a:p>
  </c:txPr>
  <c:externalData r:id="rId2">
    <c:autoUpdate val="0"/>
  </c:externalData>
  <c:userShapes r:id="rId3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8913151058182113E-2"/>
          <c:y val="6.0526636873093564E-2"/>
          <c:w val="0.91182188182455659"/>
          <c:h val="0.725089245390460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'\Users\merinska2555\šetření SILC\SILC 2026\Tiskovka 26\[AUTO_OBEC25.xlsx]RELCETRAD '!$D$3</c:f>
              <c:strCache>
                <c:ptCount val="1"/>
                <c:pt idx="0">
                  <c:v>žádné auto</c:v>
                </c:pt>
              </c:strCache>
            </c:strRef>
          </c:tx>
          <c:spPr>
            <a:solidFill>
              <a:srgbClr val="BC091B"/>
            </a:solidFill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>
                    <a:solidFill>
                      <a:srgbClr val="BC091B"/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'\Users\merinska2555\šetření SILC\SILC 2026\Tiskovka 26\[AUTO_OBEC25.xlsx]RELCETRAD '!$C$4:$C$6</c:f>
              <c:strCache>
                <c:ptCount val="3"/>
                <c:pt idx="0">
                  <c:v>vesnice, obec do 10 tis.</c:v>
                </c:pt>
                <c:pt idx="1">
                  <c:v>město 10 až 100 tis.</c:v>
                </c:pt>
                <c:pt idx="2">
                  <c:v>velké město nad 100 tis.</c:v>
                </c:pt>
              </c:strCache>
            </c:strRef>
          </c:cat>
          <c:val>
            <c:numRef>
              <c:f>'\Users\merinska2555\šetření SILC\SILC 2026\Tiskovka 26\[AUTO_OBEC25.xlsx]RELCETRAD '!$D$4:$D$6</c:f>
              <c:numCache>
                <c:formatCode>General</c:formatCode>
                <c:ptCount val="3"/>
                <c:pt idx="0">
                  <c:v>21.34</c:v>
                </c:pt>
                <c:pt idx="1">
                  <c:v>29.32</c:v>
                </c:pt>
                <c:pt idx="2">
                  <c:v>37.51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C98-48F5-BD7C-81ABE396552F}"/>
            </c:ext>
          </c:extLst>
        </c:ser>
        <c:ser>
          <c:idx val="1"/>
          <c:order val="1"/>
          <c:tx>
            <c:strRef>
              <c:f>'\Users\merinska2555\šetření SILC\SILC 2026\Tiskovka 26\[AUTO_OBEC25.xlsx]RELCETRAD '!$E$3</c:f>
              <c:strCache>
                <c:ptCount val="1"/>
                <c:pt idx="0">
                  <c:v>jedno auto</c:v>
                </c:pt>
              </c:strCache>
            </c:strRef>
          </c:tx>
          <c:spPr>
            <a:solidFill>
              <a:srgbClr val="0071BC"/>
            </a:solidFill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43,9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5C98-48F5-BD7C-81ABE396552F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>
                    <a:solidFill>
                      <a:srgbClr val="0071BC"/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'\Users\merinska2555\šetření SILC\SILC 2026\Tiskovka 26\[AUTO_OBEC25.xlsx]RELCETRAD '!$C$4:$C$6</c:f>
              <c:strCache>
                <c:ptCount val="3"/>
                <c:pt idx="0">
                  <c:v>vesnice, obec do 10 tis.</c:v>
                </c:pt>
                <c:pt idx="1">
                  <c:v>město 10 až 100 tis.</c:v>
                </c:pt>
                <c:pt idx="2">
                  <c:v>velké město nad 100 tis.</c:v>
                </c:pt>
              </c:strCache>
            </c:strRef>
          </c:cat>
          <c:val>
            <c:numRef>
              <c:f>'\Users\merinska2555\šetření SILC\SILC 2026\Tiskovka 26\[AUTO_OBEC25.xlsx]RELCETRAD '!$E$4:$E$6</c:f>
              <c:numCache>
                <c:formatCode>General</c:formatCode>
                <c:ptCount val="3"/>
                <c:pt idx="0">
                  <c:v>43.84</c:v>
                </c:pt>
                <c:pt idx="1">
                  <c:v>49.13</c:v>
                </c:pt>
                <c:pt idx="2">
                  <c:v>47.52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C98-48F5-BD7C-81ABE396552F}"/>
            </c:ext>
          </c:extLst>
        </c:ser>
        <c:ser>
          <c:idx val="2"/>
          <c:order val="2"/>
          <c:tx>
            <c:strRef>
              <c:f>'\Users\merinska2555\šetření SILC\SILC 2026\Tiskovka 26\[AUTO_OBEC25.xlsx]RELCETRAD '!$F$3</c:f>
              <c:strCache>
                <c:ptCount val="1"/>
                <c:pt idx="0">
                  <c:v>dvě a více aut</c:v>
                </c:pt>
              </c:strCache>
            </c:strRef>
          </c:tx>
          <c:spPr>
            <a:solidFill>
              <a:srgbClr val="174F70"/>
            </a:solidFill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21,6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5C98-48F5-BD7C-81ABE396552F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>
                    <a:solidFill>
                      <a:srgbClr val="174F70"/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'\Users\merinska2555\šetření SILC\SILC 2026\Tiskovka 26\[AUTO_OBEC25.xlsx]RELCETRAD '!$C$4:$C$6</c:f>
              <c:strCache>
                <c:ptCount val="3"/>
                <c:pt idx="0">
                  <c:v>vesnice, obec do 10 tis.</c:v>
                </c:pt>
                <c:pt idx="1">
                  <c:v>město 10 až 100 tis.</c:v>
                </c:pt>
                <c:pt idx="2">
                  <c:v>velké město nad 100 tis.</c:v>
                </c:pt>
              </c:strCache>
            </c:strRef>
          </c:cat>
          <c:val>
            <c:numRef>
              <c:f>'\Users\merinska2555\šetření SILC\SILC 2026\Tiskovka 26\[AUTO_OBEC25.xlsx]RELCETRAD '!$F$4:$F$6</c:f>
              <c:numCache>
                <c:formatCode>General</c:formatCode>
                <c:ptCount val="3"/>
                <c:pt idx="0">
                  <c:v>34.82</c:v>
                </c:pt>
                <c:pt idx="1">
                  <c:v>21.54</c:v>
                </c:pt>
                <c:pt idx="2">
                  <c:v>14.97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C98-48F5-BD7C-81ABE39655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axId val="97604736"/>
        <c:axId val="97606272"/>
      </c:barChart>
      <c:catAx>
        <c:axId val="97604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9525">
            <a:solidFill>
              <a:srgbClr val="000000"/>
            </a:solidFill>
          </a:ln>
        </c:spPr>
        <c:txPr>
          <a:bodyPr/>
          <a:lstStyle/>
          <a:p>
            <a:pPr>
              <a:defRPr sz="1050"/>
            </a:pPr>
            <a:endParaRPr lang="cs-CZ"/>
          </a:p>
        </c:txPr>
        <c:crossAx val="97606272"/>
        <c:crosses val="autoZero"/>
        <c:auto val="1"/>
        <c:lblAlgn val="ctr"/>
        <c:lblOffset val="100"/>
        <c:noMultiLvlLbl val="0"/>
      </c:catAx>
      <c:valAx>
        <c:axId val="97606272"/>
        <c:scaling>
          <c:orientation val="minMax"/>
          <c:max val="50"/>
        </c:scaling>
        <c:delete val="0"/>
        <c:axPos val="l"/>
        <c:numFmt formatCode="#,##0_ ;\-#,##0\ " sourceLinked="0"/>
        <c:majorTickMark val="out"/>
        <c:minorTickMark val="none"/>
        <c:tickLblPos val="nextTo"/>
        <c:spPr>
          <a:ln w="9525">
            <a:solidFill>
              <a:srgbClr val="000000"/>
            </a:solidFill>
          </a:ln>
        </c:spPr>
        <c:txPr>
          <a:bodyPr/>
          <a:lstStyle/>
          <a:p>
            <a:pPr>
              <a:defRPr>
                <a:solidFill>
                  <a:sysClr val="windowText" lastClr="000000"/>
                </a:solidFill>
              </a:defRPr>
            </a:pPr>
            <a:endParaRPr lang="cs-CZ"/>
          </a:p>
        </c:txPr>
        <c:crossAx val="97604736"/>
        <c:crosses val="autoZero"/>
        <c:crossBetween val="between"/>
        <c:majorUnit val="10"/>
      </c:valAx>
      <c:spPr>
        <a:ln>
          <a:noFill/>
        </a:ln>
      </c:spPr>
    </c:plotArea>
    <c:legend>
      <c:legendPos val="b"/>
      <c:layout>
        <c:manualLayout>
          <c:xMode val="edge"/>
          <c:yMode val="edge"/>
          <c:x val="4.5079615856531759E-2"/>
          <c:y val="0.93264249030829838"/>
          <c:w val="0.95452069452856858"/>
          <c:h val="5.1368169251994736E-2"/>
        </c:manualLayout>
      </c:layout>
      <c:overlay val="0"/>
      <c:spPr>
        <a:solidFill>
          <a:sysClr val="window" lastClr="FFFFFF"/>
        </a:solidFill>
      </c:spPr>
      <c:txPr>
        <a:bodyPr/>
        <a:lstStyle/>
        <a:p>
          <a:pPr>
            <a:defRPr sz="1100"/>
          </a:pPr>
          <a:endParaRPr lang="cs-CZ"/>
        </a:p>
      </c:txPr>
    </c:legend>
    <c:plotVisOnly val="1"/>
    <c:dispBlanksAs val="gap"/>
    <c:showDLblsOverMax val="0"/>
  </c:chart>
  <c:spPr>
    <a:ln w="6350">
      <a:noFill/>
    </a:ln>
  </c:spPr>
  <c:txPr>
    <a:bodyPr/>
    <a:lstStyle/>
    <a:p>
      <a:pPr algn="just">
        <a:defRPr sz="800">
          <a:latin typeface="Arial" pitchFamily="34" charset="0"/>
          <a:cs typeface="Arial" pitchFamily="34" charset="0"/>
        </a:defRPr>
      </a:pPr>
      <a:endParaRPr lang="cs-CZ"/>
    </a:p>
  </c:txPr>
  <c:externalData r:id="rId2">
    <c:autoUpdate val="0"/>
  </c:externalData>
  <c:userShapes r:id="rId3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7672344002186366E-2"/>
          <c:y val="3.7193860701187194E-2"/>
          <c:w val="0.91175449222693317"/>
          <c:h val="0.7630946522309711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71BC"/>
            </a:solidFill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 b="0">
                    <a:solidFill>
                      <a:srgbClr val="0071BC"/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Automobily!$K$2:$K$6</c:f>
              <c:strCache>
                <c:ptCount val="5"/>
                <c:pt idx="0">
                  <c:v>nafta</c:v>
                </c:pt>
                <c:pt idx="1">
                  <c:v>benzín</c:v>
                </c:pt>
                <c:pt idx="2">
                  <c:v>hybrid</c:v>
                </c:pt>
                <c:pt idx="3">
                  <c:v>elektřina</c:v>
                </c:pt>
                <c:pt idx="4">
                  <c:v>jiné (LPG/CNG apod.)</c:v>
                </c:pt>
              </c:strCache>
            </c:strRef>
          </c:cat>
          <c:val>
            <c:numRef>
              <c:f>Automobily!$L$2:$L$6</c:f>
              <c:numCache>
                <c:formatCode>General</c:formatCode>
                <c:ptCount val="5"/>
                <c:pt idx="0">
                  <c:v>35.64</c:v>
                </c:pt>
                <c:pt idx="1">
                  <c:v>60.48</c:v>
                </c:pt>
                <c:pt idx="2">
                  <c:v>2</c:v>
                </c:pt>
                <c:pt idx="3">
                  <c:v>0.67</c:v>
                </c:pt>
                <c:pt idx="4">
                  <c:v>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881-4E40-A480-31F46063EC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axId val="97604736"/>
        <c:axId val="97606272"/>
      </c:barChart>
      <c:catAx>
        <c:axId val="97604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9525">
            <a:solidFill>
              <a:srgbClr val="000000"/>
            </a:solidFill>
          </a:ln>
        </c:spPr>
        <c:txPr>
          <a:bodyPr/>
          <a:lstStyle/>
          <a:p>
            <a:pPr>
              <a:defRPr sz="1050"/>
            </a:pPr>
            <a:endParaRPr lang="cs-CZ"/>
          </a:p>
        </c:txPr>
        <c:crossAx val="97606272"/>
        <c:crosses val="autoZero"/>
        <c:auto val="1"/>
        <c:lblAlgn val="ctr"/>
        <c:lblOffset val="100"/>
        <c:noMultiLvlLbl val="0"/>
      </c:catAx>
      <c:valAx>
        <c:axId val="97606272"/>
        <c:scaling>
          <c:orientation val="minMax"/>
          <c:max val="70"/>
        </c:scaling>
        <c:delete val="0"/>
        <c:axPos val="l"/>
        <c:numFmt formatCode="#,##0_ ;\-#,##0\ " sourceLinked="0"/>
        <c:majorTickMark val="out"/>
        <c:minorTickMark val="none"/>
        <c:tickLblPos val="nextTo"/>
        <c:spPr>
          <a:ln w="9525">
            <a:solidFill>
              <a:srgbClr val="000000"/>
            </a:solidFill>
          </a:ln>
        </c:spPr>
        <c:txPr>
          <a:bodyPr/>
          <a:lstStyle/>
          <a:p>
            <a:pPr>
              <a:defRPr>
                <a:solidFill>
                  <a:sysClr val="windowText" lastClr="000000"/>
                </a:solidFill>
              </a:defRPr>
            </a:pPr>
            <a:endParaRPr lang="cs-CZ"/>
          </a:p>
        </c:txPr>
        <c:crossAx val="97604736"/>
        <c:crosses val="autoZero"/>
        <c:crossBetween val="between"/>
      </c:valAx>
      <c:spPr>
        <a:ln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 algn="just">
        <a:defRPr sz="800">
          <a:latin typeface="Arial" pitchFamily="34" charset="0"/>
          <a:cs typeface="Arial" pitchFamily="34" charset="0"/>
        </a:defRPr>
      </a:pPr>
      <a:endParaRPr lang="cs-CZ"/>
    </a:p>
  </c:tx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2599844173207897"/>
          <c:y val="4.2829493209322E-2"/>
          <c:w val="0.82345299520380499"/>
          <c:h val="0.7448657057549014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'Sport a volný čas'!$C$1</c:f>
              <c:strCache>
                <c:ptCount val="1"/>
                <c:pt idx="0">
                  <c:v>denně </c:v>
                </c:pt>
              </c:strCache>
            </c:strRef>
          </c:tx>
          <c:spPr>
            <a:solidFill>
              <a:srgbClr val="174F7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838DA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485F-46D1-9B0C-CFB85F2E8005}"/>
              </c:ext>
            </c:extLst>
          </c:dPt>
          <c:dPt>
            <c:idx val="3"/>
            <c:invertIfNegative val="0"/>
            <c:bubble3D val="0"/>
            <c:spPr>
              <a:solidFill>
                <a:srgbClr val="838DA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485F-46D1-9B0C-CFB85F2E8005}"/>
              </c:ext>
            </c:extLst>
          </c:dPt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>
                    <a:solidFill>
                      <a:schemeClr val="bg1"/>
                    </a:solidFill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'Sport a volný čas'!$A$2:$B$5</c:f>
              <c:multiLvlStrCache>
                <c:ptCount val="4"/>
                <c:lvl>
                  <c:pt idx="0">
                    <c:v>2025</c:v>
                  </c:pt>
                  <c:pt idx="1">
                    <c:v>2022</c:v>
                  </c:pt>
                  <c:pt idx="2">
                    <c:v>2025</c:v>
                  </c:pt>
                  <c:pt idx="3">
                    <c:v>2022</c:v>
                  </c:pt>
                </c:lvl>
                <c:lvl>
                  <c:pt idx="0">
                    <c:v>muži</c:v>
                  </c:pt>
                  <c:pt idx="2">
                    <c:v>ženy</c:v>
                  </c:pt>
                </c:lvl>
              </c:multiLvlStrCache>
            </c:multiLvlStrRef>
          </c:cat>
          <c:val>
            <c:numRef>
              <c:f>'Sport a volný čas'!$C$2:$C$5</c:f>
              <c:numCache>
                <c:formatCode>General</c:formatCode>
                <c:ptCount val="4"/>
                <c:pt idx="0">
                  <c:v>21.03</c:v>
                </c:pt>
                <c:pt idx="1">
                  <c:v>14.450000000000001</c:v>
                </c:pt>
                <c:pt idx="2">
                  <c:v>22.02</c:v>
                </c:pt>
                <c:pt idx="3">
                  <c:v>16.100000000000001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85F-46D1-9B0C-CFB85F2E8005}"/>
            </c:ext>
          </c:extLst>
        </c:ser>
        <c:ser>
          <c:idx val="1"/>
          <c:order val="1"/>
          <c:tx>
            <c:strRef>
              <c:f>'Sport a volný čas'!$D$1</c:f>
              <c:strCache>
                <c:ptCount val="1"/>
                <c:pt idx="0">
                  <c:v>několikrát týdně</c:v>
                </c:pt>
              </c:strCache>
            </c:strRef>
          </c:tx>
          <c:spPr>
            <a:solidFill>
              <a:srgbClr val="0071BC"/>
            </a:solidFill>
          </c:spPr>
          <c:invertIfNegative val="0"/>
          <c:dPt>
            <c:idx val="1"/>
            <c:invertIfNegative val="0"/>
            <c:bubble3D val="0"/>
            <c:spPr>
              <a:solidFill>
                <a:srgbClr val="7CA5D8"/>
              </a:solidFill>
            </c:spPr>
            <c:extLst>
              <c:ext xmlns:c16="http://schemas.microsoft.com/office/drawing/2014/chart" uri="{C3380CC4-5D6E-409C-BE32-E72D297353CC}">
                <c16:uniqueId val="{00000006-485F-46D1-9B0C-CFB85F2E8005}"/>
              </c:ext>
            </c:extLst>
          </c:dPt>
          <c:dPt>
            <c:idx val="3"/>
            <c:invertIfNegative val="0"/>
            <c:bubble3D val="0"/>
            <c:spPr>
              <a:solidFill>
                <a:srgbClr val="7CA5D8"/>
              </a:solidFill>
            </c:spPr>
            <c:extLst>
              <c:ext xmlns:c16="http://schemas.microsoft.com/office/drawing/2014/chart" uri="{C3380CC4-5D6E-409C-BE32-E72D297353CC}">
                <c16:uniqueId val="{00000008-485F-46D1-9B0C-CFB85F2E8005}"/>
              </c:ext>
            </c:extLst>
          </c:dPt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>
                    <a:solidFill>
                      <a:schemeClr val="bg1"/>
                    </a:solidFill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'Sport a volný čas'!$A$2:$B$5</c:f>
              <c:multiLvlStrCache>
                <c:ptCount val="4"/>
                <c:lvl>
                  <c:pt idx="0">
                    <c:v>2025</c:v>
                  </c:pt>
                  <c:pt idx="1">
                    <c:v>2022</c:v>
                  </c:pt>
                  <c:pt idx="2">
                    <c:v>2025</c:v>
                  </c:pt>
                  <c:pt idx="3">
                    <c:v>2022</c:v>
                  </c:pt>
                </c:lvl>
                <c:lvl>
                  <c:pt idx="0">
                    <c:v>muži</c:v>
                  </c:pt>
                  <c:pt idx="2">
                    <c:v>ženy</c:v>
                  </c:pt>
                </c:lvl>
              </c:multiLvlStrCache>
            </c:multiLvlStrRef>
          </c:cat>
          <c:val>
            <c:numRef>
              <c:f>'Sport a volný čas'!$D$2:$D$5</c:f>
              <c:numCache>
                <c:formatCode>General</c:formatCode>
                <c:ptCount val="4"/>
                <c:pt idx="0">
                  <c:v>40.01</c:v>
                </c:pt>
                <c:pt idx="1">
                  <c:v>35.339999999999996</c:v>
                </c:pt>
                <c:pt idx="2">
                  <c:v>36.43</c:v>
                </c:pt>
                <c:pt idx="3">
                  <c:v>30.79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485F-46D1-9B0C-CFB85F2E8005}"/>
            </c:ext>
          </c:extLst>
        </c:ser>
        <c:ser>
          <c:idx val="2"/>
          <c:order val="2"/>
          <c:tx>
            <c:strRef>
              <c:f>'Sport a volný čas'!$E$1</c:f>
              <c:strCache>
                <c:ptCount val="1"/>
                <c:pt idx="0">
                  <c:v>méně než 1x týdně nebo vůbec</c:v>
                </c:pt>
              </c:strCache>
            </c:strRef>
          </c:tx>
          <c:spPr>
            <a:solidFill>
              <a:srgbClr val="BC091B"/>
            </a:solidFill>
          </c:spPr>
          <c:invertIfNegative val="0"/>
          <c:dPt>
            <c:idx val="1"/>
            <c:invertIfNegative val="0"/>
            <c:bubble3D val="0"/>
            <c:spPr>
              <a:solidFill>
                <a:srgbClr val="DC8468"/>
              </a:solidFill>
            </c:spPr>
            <c:extLst>
              <c:ext xmlns:c16="http://schemas.microsoft.com/office/drawing/2014/chart" uri="{C3380CC4-5D6E-409C-BE32-E72D297353CC}">
                <c16:uniqueId val="{0000000B-485F-46D1-9B0C-CFB85F2E8005}"/>
              </c:ext>
            </c:extLst>
          </c:dPt>
          <c:dPt>
            <c:idx val="3"/>
            <c:invertIfNegative val="0"/>
            <c:bubble3D val="0"/>
            <c:spPr>
              <a:solidFill>
                <a:srgbClr val="DC8468"/>
              </a:solidFill>
            </c:spPr>
            <c:extLst>
              <c:ext xmlns:c16="http://schemas.microsoft.com/office/drawing/2014/chart" uri="{C3380CC4-5D6E-409C-BE32-E72D297353CC}">
                <c16:uniqueId val="{0000000D-485F-46D1-9B0C-CFB85F2E8005}"/>
              </c:ext>
            </c:extLst>
          </c:dPt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>
                    <a:solidFill>
                      <a:schemeClr val="bg1"/>
                    </a:solidFill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'Sport a volný čas'!$A$2:$B$5</c:f>
              <c:multiLvlStrCache>
                <c:ptCount val="4"/>
                <c:lvl>
                  <c:pt idx="0">
                    <c:v>2025</c:v>
                  </c:pt>
                  <c:pt idx="1">
                    <c:v>2022</c:v>
                  </c:pt>
                  <c:pt idx="2">
                    <c:v>2025</c:v>
                  </c:pt>
                  <c:pt idx="3">
                    <c:v>2022</c:v>
                  </c:pt>
                </c:lvl>
                <c:lvl>
                  <c:pt idx="0">
                    <c:v>muži</c:v>
                  </c:pt>
                  <c:pt idx="2">
                    <c:v>ženy</c:v>
                  </c:pt>
                </c:lvl>
              </c:multiLvlStrCache>
            </c:multiLvlStrRef>
          </c:cat>
          <c:val>
            <c:numRef>
              <c:f>'Sport a volný čas'!$E$2:$E$5</c:f>
              <c:numCache>
                <c:formatCode>General</c:formatCode>
                <c:ptCount val="4"/>
                <c:pt idx="0">
                  <c:v>38.97</c:v>
                </c:pt>
                <c:pt idx="1">
                  <c:v>50.2</c:v>
                </c:pt>
                <c:pt idx="2">
                  <c:v>41.56</c:v>
                </c:pt>
                <c:pt idx="3">
                  <c:v>53.11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485F-46D1-9B0C-CFB85F2E80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1247080512"/>
        <c:axId val="1247078016"/>
      </c:barChart>
      <c:catAx>
        <c:axId val="124708051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247078016"/>
        <c:crosses val="autoZero"/>
        <c:auto val="1"/>
        <c:lblAlgn val="ctr"/>
        <c:lblOffset val="100"/>
        <c:noMultiLvlLbl val="0"/>
      </c:catAx>
      <c:valAx>
        <c:axId val="1247078016"/>
        <c:scaling>
          <c:orientation val="minMax"/>
          <c:max val="100"/>
        </c:scaling>
        <c:delete val="0"/>
        <c:axPos val="b"/>
        <c:numFmt formatCode="#,##0_ ;\-#,##0\ " sourceLinked="0"/>
        <c:majorTickMark val="out"/>
        <c:minorTickMark val="none"/>
        <c:tickLblPos val="nextTo"/>
        <c:spPr>
          <a:noFill/>
          <a:ln w="9525"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247080512"/>
        <c:crosses val="max"/>
        <c:crossBetween val="between"/>
        <c:majorUnit val="10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11039600092356611"/>
          <c:y val="0.89946073394148396"/>
          <c:w val="0.84950103725606041"/>
          <c:h val="8.1783095767952951E-2"/>
        </c:manualLayout>
      </c:layout>
      <c:overlay val="0"/>
      <c:spPr>
        <a:solidFill>
          <a:sysClr val="window" lastClr="FFFFFF"/>
        </a:solidFill>
      </c:spPr>
      <c:txPr>
        <a:bodyPr/>
        <a:lstStyle/>
        <a:p>
          <a:pPr>
            <a:defRPr sz="1100">
              <a:latin typeface="Arial" panose="020B0604020202020204" pitchFamily="34" charset="0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</a:defRPr>
      </a:pPr>
      <a:endParaRPr lang="cs-CZ"/>
    </a:p>
  </c:tx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2014488188976373E-2"/>
          <c:y val="5.0925925925925923E-2"/>
          <c:w val="0.89202771653543311"/>
          <c:h val="0.732978755014113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'Sport a volný čas'!$C$23</c:f>
              <c:strCache>
                <c:ptCount val="1"/>
                <c:pt idx="0">
                  <c:v>denně </c:v>
                </c:pt>
              </c:strCache>
            </c:strRef>
          </c:tx>
          <c:spPr>
            <a:solidFill>
              <a:srgbClr val="174F70"/>
            </a:solidFill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>
                    <a:solidFill>
                      <a:srgbClr val="174F70"/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'Sport a volný čas'!$B$24:$B$27</c:f>
              <c:strCache>
                <c:ptCount val="4"/>
                <c:pt idx="0">
                  <c:v>mladí 16-35 let</c:v>
                </c:pt>
                <c:pt idx="1">
                  <c:v>střední věk 35 - 50 let</c:v>
                </c:pt>
                <c:pt idx="2">
                  <c:v>starší 50 - 65 let</c:v>
                </c:pt>
                <c:pt idx="3">
                  <c:v>senioři 65+</c:v>
                </c:pt>
              </c:strCache>
            </c:strRef>
          </c:cat>
          <c:val>
            <c:numRef>
              <c:f>'Sport a volný čas'!$C$24:$C$27</c:f>
              <c:numCache>
                <c:formatCode>General</c:formatCode>
                <c:ptCount val="4"/>
                <c:pt idx="0">
                  <c:v>24.36</c:v>
                </c:pt>
                <c:pt idx="1">
                  <c:v>22.03</c:v>
                </c:pt>
                <c:pt idx="2">
                  <c:v>18.52</c:v>
                </c:pt>
                <c:pt idx="3">
                  <c:v>21.21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5B4-4D96-A8C1-B00307CAE31B}"/>
            </c:ext>
          </c:extLst>
        </c:ser>
        <c:ser>
          <c:idx val="1"/>
          <c:order val="1"/>
          <c:tx>
            <c:strRef>
              <c:f>'Sport a volný čas'!$D$23</c:f>
              <c:strCache>
                <c:ptCount val="1"/>
                <c:pt idx="0">
                  <c:v>několikrát týdně</c:v>
                </c:pt>
              </c:strCache>
            </c:strRef>
          </c:tx>
          <c:spPr>
            <a:solidFill>
              <a:srgbClr val="0071BC"/>
            </a:solidFill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>
                    <a:solidFill>
                      <a:srgbClr val="0071BC"/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'Sport a volný čas'!$B$24:$B$27</c:f>
              <c:strCache>
                <c:ptCount val="4"/>
                <c:pt idx="0">
                  <c:v>mladí 16-35 let</c:v>
                </c:pt>
                <c:pt idx="1">
                  <c:v>střední věk 35 - 50 let</c:v>
                </c:pt>
                <c:pt idx="2">
                  <c:v>starší 50 - 65 let</c:v>
                </c:pt>
                <c:pt idx="3">
                  <c:v>senioři 65+</c:v>
                </c:pt>
              </c:strCache>
            </c:strRef>
          </c:cat>
          <c:val>
            <c:numRef>
              <c:f>'Sport a volný čas'!$D$24:$D$27</c:f>
              <c:numCache>
                <c:formatCode>General</c:formatCode>
                <c:ptCount val="4"/>
                <c:pt idx="0">
                  <c:v>48.89</c:v>
                </c:pt>
                <c:pt idx="1">
                  <c:v>43.76</c:v>
                </c:pt>
                <c:pt idx="2">
                  <c:v>36.85</c:v>
                </c:pt>
                <c:pt idx="3">
                  <c:v>22.86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5B4-4D96-A8C1-B00307CAE31B}"/>
            </c:ext>
          </c:extLst>
        </c:ser>
        <c:ser>
          <c:idx val="2"/>
          <c:order val="2"/>
          <c:tx>
            <c:strRef>
              <c:f>'Sport a volný čas'!$E$23</c:f>
              <c:strCache>
                <c:ptCount val="1"/>
                <c:pt idx="0">
                  <c:v>méně než 1x týdně nebo vůbec</c:v>
                </c:pt>
              </c:strCache>
            </c:strRef>
          </c:tx>
          <c:spPr>
            <a:solidFill>
              <a:srgbClr val="BC091B"/>
            </a:solidFill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45B4-4D96-A8C1-B00307CAE31B}"/>
              </c:ext>
            </c:extLst>
          </c:dPt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>
                    <a:solidFill>
                      <a:srgbClr val="BC091B"/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'Sport a volný čas'!$B$24:$B$27</c:f>
              <c:strCache>
                <c:ptCount val="4"/>
                <c:pt idx="0">
                  <c:v>mladí 16-35 let</c:v>
                </c:pt>
                <c:pt idx="1">
                  <c:v>střední věk 35 - 50 let</c:v>
                </c:pt>
                <c:pt idx="2">
                  <c:v>starší 50 - 65 let</c:v>
                </c:pt>
                <c:pt idx="3">
                  <c:v>senioři 65+</c:v>
                </c:pt>
              </c:strCache>
            </c:strRef>
          </c:cat>
          <c:val>
            <c:numRef>
              <c:f>'Sport a volný čas'!$E$24:$E$27</c:f>
              <c:numCache>
                <c:formatCode>General</c:formatCode>
                <c:ptCount val="4"/>
                <c:pt idx="0">
                  <c:v>26.740000000000002</c:v>
                </c:pt>
                <c:pt idx="1">
                  <c:v>34.21</c:v>
                </c:pt>
                <c:pt idx="2">
                  <c:v>44.64</c:v>
                </c:pt>
                <c:pt idx="3">
                  <c:v>55.93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5B4-4D96-A8C1-B00307CAE3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axId val="97604736"/>
        <c:axId val="97606272"/>
      </c:barChart>
      <c:catAx>
        <c:axId val="97604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9525">
            <a:solidFill>
              <a:srgbClr val="000000"/>
            </a:solidFill>
          </a:ln>
        </c:spPr>
        <c:txPr>
          <a:bodyPr/>
          <a:lstStyle/>
          <a:p>
            <a:pPr>
              <a:defRPr sz="900"/>
            </a:pPr>
            <a:endParaRPr lang="cs-CZ"/>
          </a:p>
        </c:txPr>
        <c:crossAx val="97606272"/>
        <c:crosses val="autoZero"/>
        <c:auto val="1"/>
        <c:lblAlgn val="ctr"/>
        <c:lblOffset val="100"/>
        <c:noMultiLvlLbl val="0"/>
      </c:catAx>
      <c:valAx>
        <c:axId val="97606272"/>
        <c:scaling>
          <c:orientation val="minMax"/>
        </c:scaling>
        <c:delete val="0"/>
        <c:axPos val="l"/>
        <c:numFmt formatCode="#,##0_ ;\-#,##0\ " sourceLinked="0"/>
        <c:majorTickMark val="out"/>
        <c:minorTickMark val="none"/>
        <c:tickLblPos val="nextTo"/>
        <c:spPr>
          <a:ln w="9525">
            <a:solidFill>
              <a:srgbClr val="000000"/>
            </a:solidFill>
          </a:ln>
        </c:spPr>
        <c:txPr>
          <a:bodyPr/>
          <a:lstStyle/>
          <a:p>
            <a:pPr>
              <a:defRPr>
                <a:solidFill>
                  <a:sysClr val="windowText" lastClr="000000"/>
                </a:solidFill>
              </a:defRPr>
            </a:pPr>
            <a:endParaRPr lang="cs-CZ"/>
          </a:p>
        </c:txPr>
        <c:crossAx val="97604736"/>
        <c:crosses val="autoZero"/>
        <c:crossBetween val="between"/>
      </c:valAx>
      <c:spPr>
        <a:ln>
          <a:noFill/>
        </a:ln>
      </c:spPr>
    </c:plotArea>
    <c:legend>
      <c:legendPos val="b"/>
      <c:layout>
        <c:manualLayout>
          <c:xMode val="edge"/>
          <c:yMode val="edge"/>
          <c:x val="6.380092075564163E-2"/>
          <c:y val="0.9065736640514872"/>
          <c:w val="0.90774311200327962"/>
          <c:h val="8.6757628397716099E-2"/>
        </c:manualLayout>
      </c:layout>
      <c:overlay val="0"/>
      <c:spPr>
        <a:solidFill>
          <a:sysClr val="window" lastClr="FFFFFF"/>
        </a:solidFill>
      </c:spPr>
      <c:txPr>
        <a:bodyPr/>
        <a:lstStyle/>
        <a:p>
          <a:pPr>
            <a:defRPr sz="1100"/>
          </a:pPr>
          <a:endParaRPr lang="cs-CZ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 algn="just">
        <a:defRPr sz="800">
          <a:latin typeface="Arial" pitchFamily="34" charset="0"/>
          <a:cs typeface="Arial" pitchFamily="34" charset="0"/>
        </a:defRPr>
      </a:pPr>
      <a:endParaRPr lang="cs-CZ"/>
    </a:p>
  </c:txPr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334318350066383E-2"/>
          <c:y val="7.3264186135637427E-2"/>
          <c:w val="0.93857166455591656"/>
          <c:h val="0.66617309317022066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'Pracovní aktivita'!$C$1</c:f>
              <c:strCache>
                <c:ptCount val="1"/>
                <c:pt idx="0">
                  <c:v>sedavá práce</c:v>
                </c:pt>
              </c:strCache>
            </c:strRef>
          </c:tx>
          <c:spPr>
            <a:solidFill>
              <a:srgbClr val="0071BC"/>
            </a:solidFill>
            <a:ln>
              <a:noFill/>
            </a:ln>
            <a:effectLst/>
          </c:spPr>
          <c:invertIfNegative val="0"/>
          <c:dLbls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72,5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82AE-44B0-9BDF-0351C6E440E5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'Pracovní aktivita'!$A$2:$B$7</c:f>
              <c:multiLvlStrCache>
                <c:ptCount val="6"/>
                <c:lvl>
                  <c:pt idx="0">
                    <c:v>muži</c:v>
                  </c:pt>
                  <c:pt idx="1">
                    <c:v>ženy</c:v>
                  </c:pt>
                  <c:pt idx="2">
                    <c:v>muži</c:v>
                  </c:pt>
                  <c:pt idx="3">
                    <c:v>ženy</c:v>
                  </c:pt>
                  <c:pt idx="4">
                    <c:v>muži</c:v>
                  </c:pt>
                  <c:pt idx="5">
                    <c:v>ženy</c:v>
                  </c:pt>
                </c:lvl>
                <c:lvl>
                  <c:pt idx="0">
                    <c:v>ZŠ</c:v>
                  </c:pt>
                  <c:pt idx="2">
                    <c:v>SŠ</c:v>
                  </c:pt>
                  <c:pt idx="4">
                    <c:v>VŠ</c:v>
                  </c:pt>
                </c:lvl>
              </c:multiLvlStrCache>
            </c:multiLvlStrRef>
          </c:cat>
          <c:val>
            <c:numRef>
              <c:f>'Pracovní aktivita'!$C$2:$C$7</c:f>
              <c:numCache>
                <c:formatCode>0.00</c:formatCode>
                <c:ptCount val="6"/>
                <c:pt idx="0">
                  <c:v>16.010000000000002</c:v>
                </c:pt>
                <c:pt idx="1">
                  <c:v>17.690000000000001</c:v>
                </c:pt>
                <c:pt idx="2">
                  <c:v>41.76</c:v>
                </c:pt>
                <c:pt idx="3">
                  <c:v>54.72</c:v>
                </c:pt>
                <c:pt idx="4">
                  <c:v>79.08</c:v>
                </c:pt>
                <c:pt idx="5">
                  <c:v>72.55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2AE-44B0-9BDF-0351C6E440E5}"/>
            </c:ext>
          </c:extLst>
        </c:ser>
        <c:ser>
          <c:idx val="1"/>
          <c:order val="1"/>
          <c:tx>
            <c:strRef>
              <c:f>'Pracovní aktivita'!$D$1</c:f>
              <c:strCache>
                <c:ptCount val="1"/>
                <c:pt idx="0">
                  <c:v>stání</c:v>
                </c:pt>
              </c:strCache>
            </c:strRef>
          </c:tx>
          <c:spPr>
            <a:solidFill>
              <a:srgbClr val="7CA5D8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'Pracovní aktivita'!$A$2:$B$7</c:f>
              <c:multiLvlStrCache>
                <c:ptCount val="6"/>
                <c:lvl>
                  <c:pt idx="0">
                    <c:v>muži</c:v>
                  </c:pt>
                  <c:pt idx="1">
                    <c:v>ženy</c:v>
                  </c:pt>
                  <c:pt idx="2">
                    <c:v>muži</c:v>
                  </c:pt>
                  <c:pt idx="3">
                    <c:v>ženy</c:v>
                  </c:pt>
                  <c:pt idx="4">
                    <c:v>muži</c:v>
                  </c:pt>
                  <c:pt idx="5">
                    <c:v>ženy</c:v>
                  </c:pt>
                </c:lvl>
                <c:lvl>
                  <c:pt idx="0">
                    <c:v>ZŠ</c:v>
                  </c:pt>
                  <c:pt idx="2">
                    <c:v>SŠ</c:v>
                  </c:pt>
                  <c:pt idx="4">
                    <c:v>VŠ</c:v>
                  </c:pt>
                </c:lvl>
              </c:multiLvlStrCache>
            </c:multiLvlStrRef>
          </c:cat>
          <c:val>
            <c:numRef>
              <c:f>'Pracovní aktivita'!$D$2:$D$7</c:f>
              <c:numCache>
                <c:formatCode>0.00</c:formatCode>
                <c:ptCount val="6"/>
                <c:pt idx="0">
                  <c:v>8.92</c:v>
                </c:pt>
                <c:pt idx="1">
                  <c:v>22.02</c:v>
                </c:pt>
                <c:pt idx="2">
                  <c:v>7.65</c:v>
                </c:pt>
                <c:pt idx="3">
                  <c:v>14.75</c:v>
                </c:pt>
                <c:pt idx="4">
                  <c:v>5.19</c:v>
                </c:pt>
                <c:pt idx="5">
                  <c:v>12.69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2AE-44B0-9BDF-0351C6E440E5}"/>
            </c:ext>
          </c:extLst>
        </c:ser>
        <c:ser>
          <c:idx val="2"/>
          <c:order val="2"/>
          <c:tx>
            <c:strRef>
              <c:f>'Pracovní aktivita'!$E$1</c:f>
              <c:strCache>
                <c:ptCount val="1"/>
                <c:pt idx="0">
                  <c:v>chůze nebo středně 
těžká fyzická aktivita</c:v>
                </c:pt>
              </c:strCache>
            </c:strRef>
          </c:tx>
          <c:spPr>
            <a:solidFill>
              <a:srgbClr val="DC8468"/>
            </a:solidFill>
            <a:ln>
              <a:noFill/>
            </a:ln>
            <a:effectLst/>
          </c:spPr>
          <c:invertIfNegative val="0"/>
          <c:dLbls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40,2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82AE-44B0-9BDF-0351C6E440E5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'Pracovní aktivita'!$A$2:$B$7</c:f>
              <c:multiLvlStrCache>
                <c:ptCount val="6"/>
                <c:lvl>
                  <c:pt idx="0">
                    <c:v>muži</c:v>
                  </c:pt>
                  <c:pt idx="1">
                    <c:v>ženy</c:v>
                  </c:pt>
                  <c:pt idx="2">
                    <c:v>muži</c:v>
                  </c:pt>
                  <c:pt idx="3">
                    <c:v>ženy</c:v>
                  </c:pt>
                  <c:pt idx="4">
                    <c:v>muži</c:v>
                  </c:pt>
                  <c:pt idx="5">
                    <c:v>ženy</c:v>
                  </c:pt>
                </c:lvl>
                <c:lvl>
                  <c:pt idx="0">
                    <c:v>ZŠ</c:v>
                  </c:pt>
                  <c:pt idx="2">
                    <c:v>SŠ</c:v>
                  </c:pt>
                  <c:pt idx="4">
                    <c:v>VŠ</c:v>
                  </c:pt>
                </c:lvl>
              </c:multiLvlStrCache>
            </c:multiLvlStrRef>
          </c:cat>
          <c:val>
            <c:numRef>
              <c:f>'Pracovní aktivita'!$E$2:$E$7</c:f>
              <c:numCache>
                <c:formatCode>0.00</c:formatCode>
                <c:ptCount val="6"/>
                <c:pt idx="0">
                  <c:v>48.33</c:v>
                </c:pt>
                <c:pt idx="1">
                  <c:v>52.13</c:v>
                </c:pt>
                <c:pt idx="2">
                  <c:v>40.25</c:v>
                </c:pt>
                <c:pt idx="3">
                  <c:v>28.45</c:v>
                </c:pt>
                <c:pt idx="4">
                  <c:v>14.61</c:v>
                </c:pt>
                <c:pt idx="5">
                  <c:v>13.95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2AE-44B0-9BDF-0351C6E440E5}"/>
            </c:ext>
          </c:extLst>
        </c:ser>
        <c:ser>
          <c:idx val="3"/>
          <c:order val="3"/>
          <c:tx>
            <c:strRef>
              <c:f>'Pracovní aktivita'!$F$1</c:f>
              <c:strCache>
                <c:ptCount val="1"/>
                <c:pt idx="0">
                  <c:v>těžká, namáhavá práce</c:v>
                </c:pt>
              </c:strCache>
            </c:strRef>
          </c:tx>
          <c:spPr>
            <a:solidFill>
              <a:srgbClr val="BC091B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26,8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82AE-44B0-9BDF-0351C6E440E5}"/>
                </c:ext>
              </c:extLst>
            </c:dLbl>
            <c:dLbl>
              <c:idx val="3"/>
              <c:layout>
                <c:manualLayout>
                  <c:x val="2.5188916876574307E-3"/>
                  <c:y val="-2.1945866861741044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50" b="0" i="0" u="none" strike="noStrike" kern="1200" baseline="0">
                      <a:solidFill>
                        <a:srgbClr val="C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2AE-44B0-9BDF-0351C6E440E5}"/>
                </c:ext>
              </c:extLst>
            </c:dLbl>
            <c:dLbl>
              <c:idx val="4"/>
              <c:layout>
                <c:manualLayout>
                  <c:x val="0"/>
                  <c:y val="-2.1945866861741038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50" b="0" i="0" u="none" strike="noStrike" kern="1200" baseline="0">
                      <a:solidFill>
                        <a:srgbClr val="C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cs-CZ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2AE-44B0-9BDF-0351C6E440E5}"/>
                </c:ext>
              </c:extLst>
            </c:dLbl>
            <c:dLbl>
              <c:idx val="5"/>
              <c:layout>
                <c:manualLayout>
                  <c:x val="-1.8471658989973592E-16"/>
                  <c:y val="-2.5603511338697878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overflow" horzOverflow="overflow" vert="horz" wrap="square" lIns="38100" tIns="18000" rIns="38100" bIns="19050" anchor="ctr" anchorCtr="1">
                  <a:spAutoFit/>
                </a:bodyPr>
                <a:lstStyle/>
                <a:p>
                  <a:pPr>
                    <a:defRPr sz="1050" b="0" i="0" u="none" strike="noStrike" kern="1200" baseline="0">
                      <a:solidFill>
                        <a:srgbClr val="C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cs-CZ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8-82AE-44B0-9BDF-0351C6E440E5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'Pracovní aktivita'!$A$2:$B$7</c:f>
              <c:multiLvlStrCache>
                <c:ptCount val="6"/>
                <c:lvl>
                  <c:pt idx="0">
                    <c:v>muži</c:v>
                  </c:pt>
                  <c:pt idx="1">
                    <c:v>ženy</c:v>
                  </c:pt>
                  <c:pt idx="2">
                    <c:v>muži</c:v>
                  </c:pt>
                  <c:pt idx="3">
                    <c:v>ženy</c:v>
                  </c:pt>
                  <c:pt idx="4">
                    <c:v>muži</c:v>
                  </c:pt>
                  <c:pt idx="5">
                    <c:v>ženy</c:v>
                  </c:pt>
                </c:lvl>
                <c:lvl>
                  <c:pt idx="0">
                    <c:v>ZŠ</c:v>
                  </c:pt>
                  <c:pt idx="2">
                    <c:v>SŠ</c:v>
                  </c:pt>
                  <c:pt idx="4">
                    <c:v>VŠ</c:v>
                  </c:pt>
                </c:lvl>
              </c:multiLvlStrCache>
            </c:multiLvlStrRef>
          </c:cat>
          <c:val>
            <c:numRef>
              <c:f>'Pracovní aktivita'!$F$2:$F$7</c:f>
              <c:numCache>
                <c:formatCode>0.00</c:formatCode>
                <c:ptCount val="6"/>
                <c:pt idx="0">
                  <c:v>26.74</c:v>
                </c:pt>
                <c:pt idx="1">
                  <c:v>8.16</c:v>
                </c:pt>
                <c:pt idx="2">
                  <c:v>10.34</c:v>
                </c:pt>
                <c:pt idx="3">
                  <c:v>2.08</c:v>
                </c:pt>
                <c:pt idx="4">
                  <c:v>1.1100000000000001</c:v>
                </c:pt>
                <c:pt idx="5">
                  <c:v>0.81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82AE-44B0-9BDF-0351C6E440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829016960"/>
        <c:axId val="742350064"/>
      </c:barChart>
      <c:catAx>
        <c:axId val="829016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742350064"/>
        <c:crosses val="autoZero"/>
        <c:auto val="1"/>
        <c:lblAlgn val="ctr"/>
        <c:lblOffset val="100"/>
        <c:noMultiLvlLbl val="0"/>
      </c:catAx>
      <c:valAx>
        <c:axId val="742350064"/>
        <c:scaling>
          <c:orientation val="minMax"/>
          <c:max val="100"/>
        </c:scaling>
        <c:delete val="0"/>
        <c:axPos val="l"/>
        <c:numFmt formatCode="0" sourceLinked="0"/>
        <c:majorTickMark val="out"/>
        <c:minorTickMark val="none"/>
        <c:tickLblPos val="nextTo"/>
        <c:spPr>
          <a:noFill/>
          <a:ln w="6350">
            <a:solidFill>
              <a:schemeClr val="bg1">
                <a:lumMod val="6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82901696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3.1526795093281476E-2"/>
          <c:y val="0.88143209643704712"/>
          <c:w val="0.95634878330396134"/>
          <c:h val="0.11856790356295284"/>
        </c:manualLayout>
      </c:layout>
      <c:overlay val="0"/>
      <c:spPr>
        <a:noFill/>
        <a:ln w="6350"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 algn="just">
        <a:defRPr/>
      </a:pPr>
      <a:endParaRPr lang="cs-CZ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5844980513158771"/>
          <c:y val="9.057888150053775E-3"/>
          <c:w val="0.81114776584569703"/>
          <c:h val="0.8143252254031118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'Ovoce, zelenina, maso'!$C$1</c:f>
              <c:strCache>
                <c:ptCount val="1"/>
                <c:pt idx="0">
                  <c:v>denně </c:v>
                </c:pt>
              </c:strCache>
            </c:strRef>
          </c:tx>
          <c:spPr>
            <a:solidFill>
              <a:srgbClr val="174F70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>
                    <a:solidFill>
                      <a:schemeClr val="bg1"/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'Ovoce, zelenina, maso'!$A$2:$B$7</c:f>
              <c:multiLvlStrCache>
                <c:ptCount val="6"/>
                <c:lvl>
                  <c:pt idx="0">
                    <c:v>muži</c:v>
                  </c:pt>
                  <c:pt idx="1">
                    <c:v>ženy</c:v>
                  </c:pt>
                  <c:pt idx="2">
                    <c:v>muži</c:v>
                  </c:pt>
                  <c:pt idx="3">
                    <c:v>ženy</c:v>
                  </c:pt>
                  <c:pt idx="4">
                    <c:v>muži</c:v>
                  </c:pt>
                  <c:pt idx="5">
                    <c:v>ženy</c:v>
                  </c:pt>
                </c:lvl>
                <c:lvl>
                  <c:pt idx="0">
                    <c:v>OVOCE</c:v>
                  </c:pt>
                  <c:pt idx="2">
                    <c:v>ZELENINA</c:v>
                  </c:pt>
                  <c:pt idx="4">
                    <c:v>MASO</c:v>
                  </c:pt>
                </c:lvl>
              </c:multiLvlStrCache>
            </c:multiLvlStrRef>
          </c:cat>
          <c:val>
            <c:numRef>
              <c:f>'Ovoce, zelenina, maso'!$C$2:$C$7</c:f>
              <c:numCache>
                <c:formatCode>General</c:formatCode>
                <c:ptCount val="6"/>
                <c:pt idx="0">
                  <c:v>42.98</c:v>
                </c:pt>
                <c:pt idx="1">
                  <c:v>54.32</c:v>
                </c:pt>
                <c:pt idx="2">
                  <c:v>43.05</c:v>
                </c:pt>
                <c:pt idx="3">
                  <c:v>53.11</c:v>
                </c:pt>
                <c:pt idx="4">
                  <c:v>68.13</c:v>
                </c:pt>
                <c:pt idx="5">
                  <c:v>55.21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752-4A56-B450-55F72F977E25}"/>
            </c:ext>
          </c:extLst>
        </c:ser>
        <c:ser>
          <c:idx val="1"/>
          <c:order val="1"/>
          <c:tx>
            <c:strRef>
              <c:f>'Ovoce, zelenina, maso'!$D$1</c:f>
              <c:strCache>
                <c:ptCount val="1"/>
                <c:pt idx="0">
                  <c:v>několikrát týdně</c:v>
                </c:pt>
              </c:strCache>
            </c:strRef>
          </c:tx>
          <c:spPr>
            <a:solidFill>
              <a:srgbClr val="0071BC"/>
            </a:solidFill>
          </c:spPr>
          <c:invertIfNegative val="0"/>
          <c:dLbls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38,1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5752-4A56-B450-55F72F977E25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>
                    <a:solidFill>
                      <a:schemeClr val="bg1"/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'Ovoce, zelenina, maso'!$A$2:$B$7</c:f>
              <c:multiLvlStrCache>
                <c:ptCount val="6"/>
                <c:lvl>
                  <c:pt idx="0">
                    <c:v>muži</c:v>
                  </c:pt>
                  <c:pt idx="1">
                    <c:v>ženy</c:v>
                  </c:pt>
                  <c:pt idx="2">
                    <c:v>muži</c:v>
                  </c:pt>
                  <c:pt idx="3">
                    <c:v>ženy</c:v>
                  </c:pt>
                  <c:pt idx="4">
                    <c:v>muži</c:v>
                  </c:pt>
                  <c:pt idx="5">
                    <c:v>ženy</c:v>
                  </c:pt>
                </c:lvl>
                <c:lvl>
                  <c:pt idx="0">
                    <c:v>OVOCE</c:v>
                  </c:pt>
                  <c:pt idx="2">
                    <c:v>ZELENINA</c:v>
                  </c:pt>
                  <c:pt idx="4">
                    <c:v>MASO</c:v>
                  </c:pt>
                </c:lvl>
              </c:multiLvlStrCache>
            </c:multiLvlStrRef>
          </c:cat>
          <c:val>
            <c:numRef>
              <c:f>'Ovoce, zelenina, maso'!$D$2:$D$7</c:f>
              <c:numCache>
                <c:formatCode>General</c:formatCode>
                <c:ptCount val="6"/>
                <c:pt idx="0">
                  <c:v>48.17</c:v>
                </c:pt>
                <c:pt idx="1">
                  <c:v>42.05</c:v>
                </c:pt>
                <c:pt idx="2">
                  <c:v>50.44</c:v>
                </c:pt>
                <c:pt idx="3">
                  <c:v>44.17</c:v>
                </c:pt>
                <c:pt idx="4">
                  <c:v>27.27</c:v>
                </c:pt>
                <c:pt idx="5">
                  <c:v>38.04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752-4A56-B450-55F72F977E25}"/>
            </c:ext>
          </c:extLst>
        </c:ser>
        <c:ser>
          <c:idx val="2"/>
          <c:order val="2"/>
          <c:tx>
            <c:strRef>
              <c:f>'Ovoce, zelenina, maso'!$E$1</c:f>
              <c:strCache>
                <c:ptCount val="1"/>
                <c:pt idx="0">
                  <c:v>méně než 1x týdně nebo vůbec</c:v>
                </c:pt>
              </c:strCache>
            </c:strRef>
          </c:tx>
          <c:spPr>
            <a:solidFill>
              <a:srgbClr val="BC091B"/>
            </a:solidFill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5752-4A56-B450-55F72F977E25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>
                    <a:solidFill>
                      <a:schemeClr val="bg1"/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'Ovoce, zelenina, maso'!$A$2:$B$7</c:f>
              <c:multiLvlStrCache>
                <c:ptCount val="6"/>
                <c:lvl>
                  <c:pt idx="0">
                    <c:v>muži</c:v>
                  </c:pt>
                  <c:pt idx="1">
                    <c:v>ženy</c:v>
                  </c:pt>
                  <c:pt idx="2">
                    <c:v>muži</c:v>
                  </c:pt>
                  <c:pt idx="3">
                    <c:v>ženy</c:v>
                  </c:pt>
                  <c:pt idx="4">
                    <c:v>muži</c:v>
                  </c:pt>
                  <c:pt idx="5">
                    <c:v>ženy</c:v>
                  </c:pt>
                </c:lvl>
                <c:lvl>
                  <c:pt idx="0">
                    <c:v>OVOCE</c:v>
                  </c:pt>
                  <c:pt idx="2">
                    <c:v>ZELENINA</c:v>
                  </c:pt>
                  <c:pt idx="4">
                    <c:v>MASO</c:v>
                  </c:pt>
                </c:lvl>
              </c:multiLvlStrCache>
            </c:multiLvlStrRef>
          </c:cat>
          <c:val>
            <c:numRef>
              <c:f>'Ovoce, zelenina, maso'!$E$2:$E$7</c:f>
              <c:numCache>
                <c:formatCode>General</c:formatCode>
                <c:ptCount val="6"/>
                <c:pt idx="0">
                  <c:v>8.85</c:v>
                </c:pt>
                <c:pt idx="1">
                  <c:v>3.64</c:v>
                </c:pt>
                <c:pt idx="2">
                  <c:v>6.51</c:v>
                </c:pt>
                <c:pt idx="3">
                  <c:v>2.71</c:v>
                </c:pt>
                <c:pt idx="4">
                  <c:v>4.5999999999999996</c:v>
                </c:pt>
                <c:pt idx="5">
                  <c:v>6.74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752-4A56-B450-55F72F977E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1247080512"/>
        <c:axId val="1247078016"/>
      </c:barChart>
      <c:catAx>
        <c:axId val="124708051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 algn="just">
              <a:defRPr sz="1200"/>
            </a:pPr>
            <a:endParaRPr lang="cs-CZ"/>
          </a:p>
        </c:txPr>
        <c:crossAx val="1247078016"/>
        <c:crosses val="autoZero"/>
        <c:auto val="1"/>
        <c:lblAlgn val="ctr"/>
        <c:lblOffset val="100"/>
        <c:noMultiLvlLbl val="0"/>
      </c:catAx>
      <c:valAx>
        <c:axId val="1247078016"/>
        <c:scaling>
          <c:orientation val="minMax"/>
          <c:max val="100"/>
        </c:scaling>
        <c:delete val="0"/>
        <c:axPos val="b"/>
        <c:numFmt formatCode="#,##0_ ;\-#,##0\ " sourceLinked="0"/>
        <c:majorTickMark val="out"/>
        <c:minorTickMark val="none"/>
        <c:tickLblPos val="nextTo"/>
        <c:spPr>
          <a:noFill/>
          <a:ln w="9525">
            <a:solidFill>
              <a:sysClr val="windowText" lastClr="000000"/>
            </a:solidFill>
          </a:ln>
          <a:effectLst/>
        </c:spPr>
        <c:txPr>
          <a:bodyPr rot="-60000000" vert="horz"/>
          <a:lstStyle/>
          <a:p>
            <a:pPr>
              <a:defRPr sz="800"/>
            </a:pPr>
            <a:endParaRPr lang="cs-CZ"/>
          </a:p>
        </c:txPr>
        <c:crossAx val="1247080512"/>
        <c:crosses val="max"/>
        <c:crossBetween val="between"/>
        <c:majorUnit val="10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15641289905213721"/>
          <c:y val="0.93656004342393184"/>
          <c:w val="0.81383586974450683"/>
          <c:h val="6.2388619719026803E-2"/>
        </c:manualLayout>
      </c:layout>
      <c:overlay val="0"/>
      <c:spPr>
        <a:solidFill>
          <a:sysClr val="window" lastClr="FFFFFF"/>
        </a:solidFill>
      </c:spPr>
      <c:txPr>
        <a:bodyPr/>
        <a:lstStyle/>
        <a:p>
          <a:pPr>
            <a:defRPr sz="1100"/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cs-CZ"/>
    </a:p>
  </c:txPr>
  <c:externalData r:id="rId2">
    <c:autoUpdate val="0"/>
  </c:externalData>
  <c:userShapes r:id="rId3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2852367636150328E-2"/>
          <c:y val="5.0925925925925923E-2"/>
          <c:w val="0.90119000990071341"/>
          <c:h val="0.6629568249035247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'RELCETRAD '!$M$11</c:f>
              <c:strCache>
                <c:ptCount val="1"/>
                <c:pt idx="0">
                  <c:v>ano, téměř denně</c:v>
                </c:pt>
              </c:strCache>
            </c:strRef>
          </c:tx>
          <c:spPr>
            <a:solidFill>
              <a:srgbClr val="BC091B"/>
            </a:solidFill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>
                    <a:solidFill>
                      <a:schemeClr val="bg1"/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'RELCETRAD '!$K$12:$L$15</c:f>
              <c:multiLvlStrCache>
                <c:ptCount val="4"/>
                <c:lvl>
                  <c:pt idx="0">
                    <c:v>muži</c:v>
                  </c:pt>
                  <c:pt idx="1">
                    <c:v>ženy</c:v>
                  </c:pt>
                  <c:pt idx="2">
                    <c:v>muži</c:v>
                  </c:pt>
                  <c:pt idx="3">
                    <c:v>ženy</c:v>
                  </c:pt>
                </c:lvl>
                <c:lvl>
                  <c:pt idx="0">
                    <c:v>ALKOHOL</c:v>
                  </c:pt>
                  <c:pt idx="2">
                    <c:v>KOUŘENÍ</c:v>
                  </c:pt>
                </c:lvl>
              </c:multiLvlStrCache>
            </c:multiLvlStrRef>
          </c:cat>
          <c:val>
            <c:numRef>
              <c:f>'RELCETRAD '!$M$12:$M$15</c:f>
              <c:numCache>
                <c:formatCode>General</c:formatCode>
                <c:ptCount val="4"/>
                <c:pt idx="0">
                  <c:v>25.950000000000003</c:v>
                </c:pt>
                <c:pt idx="1">
                  <c:v>8.48</c:v>
                </c:pt>
                <c:pt idx="2">
                  <c:v>24.4</c:v>
                </c:pt>
                <c:pt idx="3">
                  <c:v>16.940000000000001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202-4E9F-8FCA-905436A04A7F}"/>
            </c:ext>
          </c:extLst>
        </c:ser>
        <c:ser>
          <c:idx val="1"/>
          <c:order val="1"/>
          <c:tx>
            <c:strRef>
              <c:f>'RELCETRAD '!$N$11</c:f>
              <c:strCache>
                <c:ptCount val="1"/>
                <c:pt idx="0">
                  <c:v>ano, příležitostně</c:v>
                </c:pt>
              </c:strCache>
            </c:strRef>
          </c:tx>
          <c:spPr>
            <a:solidFill>
              <a:srgbClr val="DC8468"/>
            </a:solidFill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>
                    <a:solidFill>
                      <a:schemeClr val="bg1"/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'RELCETRAD '!$K$12:$L$15</c:f>
              <c:multiLvlStrCache>
                <c:ptCount val="4"/>
                <c:lvl>
                  <c:pt idx="0">
                    <c:v>muži</c:v>
                  </c:pt>
                  <c:pt idx="1">
                    <c:v>ženy</c:v>
                  </c:pt>
                  <c:pt idx="2">
                    <c:v>muži</c:v>
                  </c:pt>
                  <c:pt idx="3">
                    <c:v>ženy</c:v>
                  </c:pt>
                </c:lvl>
                <c:lvl>
                  <c:pt idx="0">
                    <c:v>ALKOHOL</c:v>
                  </c:pt>
                  <c:pt idx="2">
                    <c:v>KOUŘENÍ</c:v>
                  </c:pt>
                </c:lvl>
              </c:multiLvlStrCache>
            </c:multiLvlStrRef>
          </c:cat>
          <c:val>
            <c:numRef>
              <c:f>'RELCETRAD '!$N$12:$N$15</c:f>
              <c:numCache>
                <c:formatCode>General</c:formatCode>
                <c:ptCount val="4"/>
                <c:pt idx="0">
                  <c:v>57.5</c:v>
                </c:pt>
                <c:pt idx="1">
                  <c:v>62.29</c:v>
                </c:pt>
                <c:pt idx="2">
                  <c:v>3.9800000000000004</c:v>
                </c:pt>
                <c:pt idx="3">
                  <c:v>2.76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202-4E9F-8FCA-905436A04A7F}"/>
            </c:ext>
          </c:extLst>
        </c:ser>
        <c:ser>
          <c:idx val="2"/>
          <c:order val="2"/>
          <c:tx>
            <c:strRef>
              <c:f>'RELCETRAD '!$O$11</c:f>
              <c:strCache>
                <c:ptCount val="1"/>
                <c:pt idx="0">
                  <c:v>ne, vůbec</c:v>
                </c:pt>
              </c:strCache>
            </c:strRef>
          </c:tx>
          <c:spPr>
            <a:solidFill>
              <a:srgbClr val="0071BC"/>
            </a:solidFill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>
                    <a:solidFill>
                      <a:schemeClr val="bg1"/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'RELCETRAD '!$K$12:$L$15</c:f>
              <c:multiLvlStrCache>
                <c:ptCount val="4"/>
                <c:lvl>
                  <c:pt idx="0">
                    <c:v>muži</c:v>
                  </c:pt>
                  <c:pt idx="1">
                    <c:v>ženy</c:v>
                  </c:pt>
                  <c:pt idx="2">
                    <c:v>muži</c:v>
                  </c:pt>
                  <c:pt idx="3">
                    <c:v>ženy</c:v>
                  </c:pt>
                </c:lvl>
                <c:lvl>
                  <c:pt idx="0">
                    <c:v>ALKOHOL</c:v>
                  </c:pt>
                  <c:pt idx="2">
                    <c:v>KOUŘENÍ</c:v>
                  </c:pt>
                </c:lvl>
              </c:multiLvlStrCache>
            </c:multiLvlStrRef>
          </c:cat>
          <c:val>
            <c:numRef>
              <c:f>'RELCETRAD '!$O$12:$O$15</c:f>
              <c:numCache>
                <c:formatCode>General</c:formatCode>
                <c:ptCount val="4"/>
                <c:pt idx="0">
                  <c:v>16.489999999999998</c:v>
                </c:pt>
                <c:pt idx="1">
                  <c:v>29.23</c:v>
                </c:pt>
                <c:pt idx="2">
                  <c:v>71.569999999999993</c:v>
                </c:pt>
                <c:pt idx="3">
                  <c:v>80.31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202-4E9F-8FCA-905436A04A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97604736"/>
        <c:axId val="97606272"/>
      </c:barChart>
      <c:catAx>
        <c:axId val="97604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9525">
            <a:solidFill>
              <a:srgbClr val="000000"/>
            </a:solidFill>
          </a:ln>
        </c:spPr>
        <c:txPr>
          <a:bodyPr/>
          <a:lstStyle/>
          <a:p>
            <a:pPr>
              <a:defRPr sz="1000"/>
            </a:pPr>
            <a:endParaRPr lang="cs-CZ"/>
          </a:p>
        </c:txPr>
        <c:crossAx val="97606272"/>
        <c:crosses val="autoZero"/>
        <c:auto val="1"/>
        <c:lblAlgn val="ctr"/>
        <c:lblOffset val="100"/>
        <c:noMultiLvlLbl val="0"/>
      </c:catAx>
      <c:valAx>
        <c:axId val="97606272"/>
        <c:scaling>
          <c:orientation val="minMax"/>
          <c:max val="100"/>
        </c:scaling>
        <c:delete val="0"/>
        <c:axPos val="l"/>
        <c:numFmt formatCode="#,##0_ ;\-#,##0\ " sourceLinked="0"/>
        <c:majorTickMark val="out"/>
        <c:minorTickMark val="none"/>
        <c:tickLblPos val="nextTo"/>
        <c:spPr>
          <a:ln w="9525">
            <a:solidFill>
              <a:srgbClr val="000000"/>
            </a:solidFill>
          </a:ln>
        </c:spPr>
        <c:txPr>
          <a:bodyPr/>
          <a:lstStyle/>
          <a:p>
            <a:pPr>
              <a:defRPr>
                <a:solidFill>
                  <a:sysClr val="windowText" lastClr="000000"/>
                </a:solidFill>
              </a:defRPr>
            </a:pPr>
            <a:endParaRPr lang="cs-CZ"/>
          </a:p>
        </c:txPr>
        <c:crossAx val="97604736"/>
        <c:crosses val="autoZero"/>
        <c:crossBetween val="between"/>
      </c:valAx>
      <c:spPr>
        <a:ln>
          <a:noFill/>
        </a:ln>
      </c:spPr>
    </c:plotArea>
    <c:legend>
      <c:legendPos val="b"/>
      <c:layout>
        <c:manualLayout>
          <c:xMode val="edge"/>
          <c:yMode val="edge"/>
          <c:x val="3.7966819748413469E-2"/>
          <c:y val="0.90156143525537569"/>
          <c:w val="0.9467566317710483"/>
          <c:h val="6.5397474170690501E-2"/>
        </c:manualLayout>
      </c:layout>
      <c:overlay val="0"/>
      <c:spPr>
        <a:solidFill>
          <a:sysClr val="window" lastClr="FFFFFF"/>
        </a:solidFill>
      </c:spPr>
      <c:txPr>
        <a:bodyPr/>
        <a:lstStyle/>
        <a:p>
          <a:pPr>
            <a:defRPr sz="1100"/>
          </a:pPr>
          <a:endParaRPr lang="cs-CZ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Arial" pitchFamily="34" charset="0"/>
          <a:cs typeface="Arial" pitchFamily="34" charset="0"/>
        </a:defRPr>
      </a:pPr>
      <a:endParaRPr lang="cs-CZ"/>
    </a:p>
  </c:txPr>
  <c:externalData r:id="rId2">
    <c:autoUpdate val="0"/>
  </c:externalData>
  <c:userShapes r:id="rId3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8711550784652107"/>
          <c:y val="2.312849876145209E-2"/>
          <c:w val="0.68342401911299544"/>
          <c:h val="0.7816071347842557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'Výdaje za zdraví'!$O$1</c:f>
              <c:strCache>
                <c:ptCount val="1"/>
                <c:pt idx="0">
                  <c:v>velká zátěž</c:v>
                </c:pt>
              </c:strCache>
            </c:strRef>
          </c:tx>
          <c:spPr>
            <a:solidFill>
              <a:srgbClr val="BC091B"/>
            </a:solidFill>
          </c:spPr>
          <c:invertIfNegative val="0"/>
          <c:dPt>
            <c:idx val="1"/>
            <c:invertIfNegative val="0"/>
            <c:bubble3D val="0"/>
            <c:spPr>
              <a:solidFill>
                <a:srgbClr val="DC8468"/>
              </a:solidFill>
            </c:spPr>
            <c:extLst>
              <c:ext xmlns:c16="http://schemas.microsoft.com/office/drawing/2014/chart" uri="{C3380CC4-5D6E-409C-BE32-E72D297353CC}">
                <c16:uniqueId val="{00000001-AD65-4F3C-8B85-1AC5C0B567C8}"/>
              </c:ext>
            </c:extLst>
          </c:dPt>
          <c:dPt>
            <c:idx val="3"/>
            <c:invertIfNegative val="0"/>
            <c:bubble3D val="0"/>
            <c:spPr>
              <a:solidFill>
                <a:srgbClr val="DC8468"/>
              </a:solidFill>
            </c:spPr>
            <c:extLst>
              <c:ext xmlns:c16="http://schemas.microsoft.com/office/drawing/2014/chart" uri="{C3380CC4-5D6E-409C-BE32-E72D297353CC}">
                <c16:uniqueId val="{00000003-AD65-4F3C-8B85-1AC5C0B567C8}"/>
              </c:ext>
            </c:extLst>
          </c:dPt>
          <c:dPt>
            <c:idx val="5"/>
            <c:invertIfNegative val="0"/>
            <c:bubble3D val="0"/>
            <c:spPr>
              <a:solidFill>
                <a:srgbClr val="DC8468"/>
              </a:solidFill>
            </c:spPr>
            <c:extLst>
              <c:ext xmlns:c16="http://schemas.microsoft.com/office/drawing/2014/chart" uri="{C3380CC4-5D6E-409C-BE32-E72D297353CC}">
                <c16:uniqueId val="{00000005-AD65-4F3C-8B85-1AC5C0B567C8}"/>
              </c:ext>
            </c:extLst>
          </c:dPt>
          <c:dLbls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10,5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AD65-4F3C-8B85-1AC5C0B567C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>
                    <a:solidFill>
                      <a:schemeClr val="bg1"/>
                    </a:solidFill>
                  </a:defRPr>
                </a:pPr>
                <a:endParaRPr lang="cs-CZ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'Výdaje za zdraví'!$M$2:$N$7</c:f>
              <c:multiLvlStrCache>
                <c:ptCount val="6"/>
                <c:lvl>
                  <c:pt idx="0">
                    <c:v>2025</c:v>
                  </c:pt>
                  <c:pt idx="1">
                    <c:v>2022</c:v>
                  </c:pt>
                  <c:pt idx="2">
                    <c:v>2025</c:v>
                  </c:pt>
                  <c:pt idx="3">
                    <c:v>2022</c:v>
                  </c:pt>
                  <c:pt idx="4">
                    <c:v>2025</c:v>
                  </c:pt>
                  <c:pt idx="5">
                    <c:v>2022</c:v>
                  </c:pt>
                </c:lvl>
                <c:lvl>
                  <c:pt idx="0">
                    <c:v>zubař, dentální
hygiena a ortodoncie</c:v>
                  </c:pt>
                  <c:pt idx="2">
                    <c:v> </c:v>
                  </c:pt>
                  <c:pt idx="4">
                    <c:v> </c:v>
                  </c:pt>
                </c:lvl>
              </c:multiLvlStrCache>
            </c:multiLvlStrRef>
          </c:cat>
          <c:val>
            <c:numRef>
              <c:f>'Výdaje za zdraví'!$O$2:$O$7</c:f>
              <c:numCache>
                <c:formatCode>0.0</c:formatCode>
                <c:ptCount val="6"/>
                <c:pt idx="0">
                  <c:v>13.36</c:v>
                </c:pt>
                <c:pt idx="1">
                  <c:v>10.199999999999999</c:v>
                </c:pt>
                <c:pt idx="2">
                  <c:v>4.12</c:v>
                </c:pt>
                <c:pt idx="3">
                  <c:v>3.33</c:v>
                </c:pt>
                <c:pt idx="4">
                  <c:v>12.96</c:v>
                </c:pt>
                <c:pt idx="5">
                  <c:v>10.56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D65-4F3C-8B85-1AC5C0B567C8}"/>
            </c:ext>
          </c:extLst>
        </c:ser>
        <c:ser>
          <c:idx val="1"/>
          <c:order val="1"/>
          <c:tx>
            <c:strRef>
              <c:f>'Výdaje za zdraví'!$P$1</c:f>
              <c:strCache>
                <c:ptCount val="1"/>
                <c:pt idx="0">
                  <c:v>určitá zátěž</c:v>
                </c:pt>
              </c:strCache>
            </c:strRef>
          </c:tx>
          <c:spPr>
            <a:solidFill>
              <a:srgbClr val="0071BC"/>
            </a:solidFill>
          </c:spPr>
          <c:invertIfNegative val="0"/>
          <c:dPt>
            <c:idx val="1"/>
            <c:invertIfNegative val="0"/>
            <c:bubble3D val="0"/>
            <c:spPr>
              <a:solidFill>
                <a:srgbClr val="7CA5D8"/>
              </a:solidFill>
            </c:spPr>
            <c:extLst>
              <c:ext xmlns:c16="http://schemas.microsoft.com/office/drawing/2014/chart" uri="{C3380CC4-5D6E-409C-BE32-E72D297353CC}">
                <c16:uniqueId val="{00000008-AD65-4F3C-8B85-1AC5C0B567C8}"/>
              </c:ext>
            </c:extLst>
          </c:dPt>
          <c:dPt>
            <c:idx val="3"/>
            <c:invertIfNegative val="0"/>
            <c:bubble3D val="0"/>
            <c:spPr>
              <a:solidFill>
                <a:srgbClr val="7CA5D8"/>
              </a:solidFill>
            </c:spPr>
            <c:extLst>
              <c:ext xmlns:c16="http://schemas.microsoft.com/office/drawing/2014/chart" uri="{C3380CC4-5D6E-409C-BE32-E72D297353CC}">
                <c16:uniqueId val="{0000000A-AD65-4F3C-8B85-1AC5C0B567C8}"/>
              </c:ext>
            </c:extLst>
          </c:dPt>
          <c:dPt>
            <c:idx val="5"/>
            <c:invertIfNegative val="0"/>
            <c:bubble3D val="0"/>
            <c:spPr>
              <a:solidFill>
                <a:srgbClr val="7CA5D8"/>
              </a:solidFill>
            </c:spPr>
            <c:extLst>
              <c:ext xmlns:c16="http://schemas.microsoft.com/office/drawing/2014/chart" uri="{C3380CC4-5D6E-409C-BE32-E72D297353CC}">
                <c16:uniqueId val="{0000000C-AD65-4F3C-8B85-1AC5C0B567C8}"/>
              </c:ext>
            </c:extLst>
          </c:dPt>
          <c:dLbls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27,4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5-AD65-4F3C-8B85-1AC5C0B567C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>
                    <a:solidFill>
                      <a:schemeClr val="bg1"/>
                    </a:solidFill>
                  </a:defRPr>
                </a:pPr>
                <a:endParaRPr lang="cs-CZ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'Výdaje za zdraví'!$M$2:$N$7</c:f>
              <c:multiLvlStrCache>
                <c:ptCount val="6"/>
                <c:lvl>
                  <c:pt idx="0">
                    <c:v>2025</c:v>
                  </c:pt>
                  <c:pt idx="1">
                    <c:v>2022</c:v>
                  </c:pt>
                  <c:pt idx="2">
                    <c:v>2025</c:v>
                  </c:pt>
                  <c:pt idx="3">
                    <c:v>2022</c:v>
                  </c:pt>
                  <c:pt idx="4">
                    <c:v>2025</c:v>
                  </c:pt>
                  <c:pt idx="5">
                    <c:v>2022</c:v>
                  </c:pt>
                </c:lvl>
                <c:lvl>
                  <c:pt idx="0">
                    <c:v>zubař, dentální
hygiena a ortodoncie</c:v>
                  </c:pt>
                  <c:pt idx="2">
                    <c:v> </c:v>
                  </c:pt>
                  <c:pt idx="4">
                    <c:v> </c:v>
                  </c:pt>
                </c:lvl>
              </c:multiLvlStrCache>
            </c:multiLvlStrRef>
          </c:cat>
          <c:val>
            <c:numRef>
              <c:f>'Výdaje za zdraví'!$P$2:$P$7</c:f>
              <c:numCache>
                <c:formatCode>0.0</c:formatCode>
                <c:ptCount val="6"/>
                <c:pt idx="0">
                  <c:v>43.63</c:v>
                </c:pt>
                <c:pt idx="1">
                  <c:v>38.32</c:v>
                </c:pt>
                <c:pt idx="2">
                  <c:v>27.34</c:v>
                </c:pt>
                <c:pt idx="3">
                  <c:v>24.53</c:v>
                </c:pt>
                <c:pt idx="4">
                  <c:v>49.56</c:v>
                </c:pt>
                <c:pt idx="5">
                  <c:v>48.07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AD65-4F3C-8B85-1AC5C0B567C8}"/>
            </c:ext>
          </c:extLst>
        </c:ser>
        <c:ser>
          <c:idx val="2"/>
          <c:order val="2"/>
          <c:tx>
            <c:strRef>
              <c:f>'Výdaje za zdraví'!$Q$1</c:f>
              <c:strCache>
                <c:ptCount val="1"/>
                <c:pt idx="0">
                  <c:v>žádná zátěž</c:v>
                </c:pt>
              </c:strCache>
            </c:strRef>
          </c:tx>
          <c:spPr>
            <a:solidFill>
              <a:srgbClr val="174F70"/>
            </a:solidFill>
          </c:spPr>
          <c:invertIfNegative val="0"/>
          <c:dPt>
            <c:idx val="1"/>
            <c:invertIfNegative val="0"/>
            <c:bubble3D val="0"/>
            <c:spPr>
              <a:solidFill>
                <a:srgbClr val="838DA7"/>
              </a:solidFill>
            </c:spPr>
            <c:extLst>
              <c:ext xmlns:c16="http://schemas.microsoft.com/office/drawing/2014/chart" uri="{C3380CC4-5D6E-409C-BE32-E72D297353CC}">
                <c16:uniqueId val="{0000000F-AD65-4F3C-8B85-1AC5C0B567C8}"/>
              </c:ext>
            </c:extLst>
          </c:dPt>
          <c:dPt>
            <c:idx val="3"/>
            <c:invertIfNegative val="0"/>
            <c:bubble3D val="0"/>
            <c:spPr>
              <a:solidFill>
                <a:srgbClr val="838DA7"/>
              </a:solidFill>
            </c:spPr>
            <c:extLst>
              <c:ext xmlns:c16="http://schemas.microsoft.com/office/drawing/2014/chart" uri="{C3380CC4-5D6E-409C-BE32-E72D297353CC}">
                <c16:uniqueId val="{00000011-AD65-4F3C-8B85-1AC5C0B567C8}"/>
              </c:ext>
            </c:extLst>
          </c:dPt>
          <c:dPt>
            <c:idx val="5"/>
            <c:invertIfNegative val="0"/>
            <c:bubble3D val="0"/>
            <c:spPr>
              <a:solidFill>
                <a:srgbClr val="838DA7"/>
              </a:solidFill>
            </c:spPr>
            <c:extLst>
              <c:ext xmlns:c16="http://schemas.microsoft.com/office/drawing/2014/chart" uri="{C3380CC4-5D6E-409C-BE32-E72D297353CC}">
                <c16:uniqueId val="{00000013-AD65-4F3C-8B85-1AC5C0B567C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>
                    <a:solidFill>
                      <a:schemeClr val="bg1"/>
                    </a:solidFill>
                  </a:defRPr>
                </a:pPr>
                <a:endParaRPr lang="cs-CZ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'Výdaje za zdraví'!$M$2:$N$7</c:f>
              <c:multiLvlStrCache>
                <c:ptCount val="6"/>
                <c:lvl>
                  <c:pt idx="0">
                    <c:v>2025</c:v>
                  </c:pt>
                  <c:pt idx="1">
                    <c:v>2022</c:v>
                  </c:pt>
                  <c:pt idx="2">
                    <c:v>2025</c:v>
                  </c:pt>
                  <c:pt idx="3">
                    <c:v>2022</c:v>
                  </c:pt>
                  <c:pt idx="4">
                    <c:v>2025</c:v>
                  </c:pt>
                  <c:pt idx="5">
                    <c:v>2022</c:v>
                  </c:pt>
                </c:lvl>
                <c:lvl>
                  <c:pt idx="0">
                    <c:v>zubař, dentální
hygiena a ortodoncie</c:v>
                  </c:pt>
                  <c:pt idx="2">
                    <c:v> </c:v>
                  </c:pt>
                  <c:pt idx="4">
                    <c:v> </c:v>
                  </c:pt>
                </c:lvl>
              </c:multiLvlStrCache>
            </c:multiLvlStrRef>
          </c:cat>
          <c:val>
            <c:numRef>
              <c:f>'Výdaje za zdraví'!$Q$2:$Q$7</c:f>
              <c:numCache>
                <c:formatCode>0.0</c:formatCode>
                <c:ptCount val="6"/>
                <c:pt idx="0">
                  <c:v>43.01</c:v>
                </c:pt>
                <c:pt idx="1">
                  <c:v>51.54</c:v>
                </c:pt>
                <c:pt idx="2">
                  <c:v>68.540000000000006</c:v>
                </c:pt>
                <c:pt idx="3">
                  <c:v>72.150000000000006</c:v>
                </c:pt>
                <c:pt idx="4">
                  <c:v>37.479999999999997</c:v>
                </c:pt>
                <c:pt idx="5">
                  <c:v>41.38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AD65-4F3C-8B85-1AC5C0B567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0"/>
        <c:overlap val="100"/>
        <c:axId val="1247080512"/>
        <c:axId val="1247078016"/>
      </c:barChart>
      <c:catAx>
        <c:axId val="124708051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 sz="1100"/>
            </a:pPr>
            <a:endParaRPr lang="cs-CZ"/>
          </a:p>
        </c:txPr>
        <c:crossAx val="1247078016"/>
        <c:crosses val="autoZero"/>
        <c:auto val="1"/>
        <c:lblAlgn val="ctr"/>
        <c:lblOffset val="100"/>
        <c:noMultiLvlLbl val="0"/>
      </c:catAx>
      <c:valAx>
        <c:axId val="1247078016"/>
        <c:scaling>
          <c:orientation val="minMax"/>
          <c:max val="100"/>
        </c:scaling>
        <c:delete val="0"/>
        <c:axPos val="b"/>
        <c:numFmt formatCode="#,##0_ ;\-#,##0\ " sourceLinked="0"/>
        <c:majorTickMark val="out"/>
        <c:minorTickMark val="none"/>
        <c:tickLblPos val="nextTo"/>
        <c:spPr>
          <a:noFill/>
          <a:ln w="9525">
            <a:solidFill>
              <a:sysClr val="windowText" lastClr="000000"/>
            </a:solidFill>
          </a:ln>
          <a:effectLst/>
        </c:spPr>
        <c:txPr>
          <a:bodyPr rot="-60000000" vert="horz"/>
          <a:lstStyle/>
          <a:p>
            <a:pPr>
              <a:defRPr/>
            </a:pPr>
            <a:endParaRPr lang="cs-CZ"/>
          </a:p>
        </c:txPr>
        <c:crossAx val="1247080512"/>
        <c:crosses val="max"/>
        <c:crossBetween val="between"/>
        <c:majorUnit val="10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2338446684526341"/>
          <c:y val="0.9109183700522282"/>
          <c:w val="0.73083935837016656"/>
          <c:h val="6.8072375099454033E-2"/>
        </c:manualLayout>
      </c:layout>
      <c:overlay val="0"/>
      <c:spPr>
        <a:solidFill>
          <a:sysClr val="window" lastClr="FFFFFF"/>
        </a:solidFill>
      </c:spPr>
      <c:txPr>
        <a:bodyPr/>
        <a:lstStyle/>
        <a:p>
          <a:pPr>
            <a:defRPr sz="1100"/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6350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cs-CZ"/>
    </a:p>
  </c:txPr>
  <c:externalData r:id="rId2">
    <c:autoUpdate val="0"/>
  </c:externalData>
  <c:userShapes r:id="rId3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6767397318578452E-3"/>
          <c:y val="0.11374543230639859"/>
          <c:w val="0.5464398808257076"/>
          <c:h val="0.78517575108936621"/>
        </c:manualLayout>
      </c:layout>
      <c:doughnutChart>
        <c:varyColors val="1"/>
        <c:ser>
          <c:idx val="0"/>
          <c:order val="0"/>
          <c:spPr>
            <a:ln w="6350">
              <a:solidFill>
                <a:sysClr val="window" lastClr="FFFFFF"/>
              </a:solidFill>
            </a:ln>
          </c:spPr>
          <c:dPt>
            <c:idx val="0"/>
            <c:bubble3D val="0"/>
            <c:spPr>
              <a:solidFill>
                <a:srgbClr val="BC091B"/>
              </a:solidFill>
              <a:ln w="6350">
                <a:solidFill>
                  <a:sysClr val="window" lastClr="FFFFFF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DA0-4033-8859-938F20287EE0}"/>
              </c:ext>
            </c:extLst>
          </c:dPt>
          <c:dPt>
            <c:idx val="1"/>
            <c:bubble3D val="0"/>
            <c:spPr>
              <a:solidFill>
                <a:srgbClr val="0071BC"/>
              </a:solidFill>
              <a:ln w="6350">
                <a:solidFill>
                  <a:sysClr val="window" lastClr="FFFFFF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DA0-4033-8859-938F20287EE0}"/>
              </c:ext>
            </c:extLst>
          </c:dPt>
          <c:dPt>
            <c:idx val="2"/>
            <c:bubble3D val="0"/>
            <c:spPr>
              <a:solidFill>
                <a:srgbClr val="174F70"/>
              </a:solidFill>
              <a:ln w="6350">
                <a:solidFill>
                  <a:sysClr val="window" lastClr="FFFFFF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DA0-4033-8859-938F20287EE0}"/>
              </c:ext>
            </c:extLst>
          </c:dPt>
          <c:dPt>
            <c:idx val="3"/>
            <c:bubble3D val="0"/>
            <c:spPr>
              <a:solidFill>
                <a:srgbClr val="009CB5"/>
              </a:solidFill>
              <a:ln w="6350">
                <a:solidFill>
                  <a:sysClr val="window" lastClr="FFFFFF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DA0-4033-8859-938F20287EE0}"/>
              </c:ext>
            </c:extLst>
          </c:dPt>
          <c:dPt>
            <c:idx val="4"/>
            <c:bubble3D val="0"/>
            <c:spPr>
              <a:solidFill>
                <a:srgbClr val="CC9610"/>
              </a:solidFill>
              <a:ln w="6350">
                <a:solidFill>
                  <a:sysClr val="window" lastClr="FFFFFF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DA0-4033-8859-938F20287EE0}"/>
              </c:ext>
            </c:extLst>
          </c:dPt>
          <c:dPt>
            <c:idx val="5"/>
            <c:bubble3D val="0"/>
            <c:spPr>
              <a:solidFill>
                <a:srgbClr val="85898E"/>
              </a:solidFill>
              <a:ln w="6350">
                <a:solidFill>
                  <a:sysClr val="window" lastClr="FFFFFF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BDA0-4033-8859-938F20287EE0}"/>
              </c:ext>
            </c:extLst>
          </c:dPt>
          <c:dPt>
            <c:idx val="6"/>
            <c:bubble3D val="0"/>
            <c:spPr>
              <a:solidFill>
                <a:srgbClr val="7CA5D8"/>
              </a:solidFill>
              <a:ln w="6350">
                <a:solidFill>
                  <a:sysClr val="window" lastClr="FFFFFF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BDA0-4033-8859-938F20287EE0}"/>
              </c:ext>
            </c:extLst>
          </c:dPt>
          <c:dPt>
            <c:idx val="7"/>
            <c:bubble3D val="0"/>
            <c:spPr>
              <a:solidFill>
                <a:srgbClr val="8390A7"/>
              </a:solidFill>
              <a:ln w="6350">
                <a:solidFill>
                  <a:sysClr val="window" lastClr="FFFFFF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BDA0-4033-8859-938F20287EE0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6350">
                <a:solidFill>
                  <a:sysClr val="window" lastClr="FFFFFF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BDA0-4033-8859-938F20287EE0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6350">
                <a:solidFill>
                  <a:sysClr val="window" lastClr="FFFFFF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BDA0-4033-8859-938F20287EE0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6350">
                <a:solidFill>
                  <a:sysClr val="window" lastClr="FFFFFF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BDA0-4033-8859-938F20287EE0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6350">
                <a:solidFill>
                  <a:sysClr val="window" lastClr="FFFFFF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7-BDA0-4033-8859-938F20287EE0}"/>
              </c:ext>
            </c:extLst>
          </c:dPt>
          <c:dLbls>
            <c:dLbl>
              <c:idx val="3"/>
              <c:layout>
                <c:manualLayout>
                  <c:x val="-3.0721966205837135E-2"/>
                  <c:y val="-0.12733062305781412"/>
                </c:manualLayout>
              </c:layout>
              <c:numFmt formatCode="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50" b="0" i="0" u="none" strike="noStrike" kern="1200" baseline="0">
                      <a:solidFill>
                        <a:srgbClr val="009CB5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DA0-4033-8859-938F20287EE0}"/>
                </c:ext>
              </c:extLst>
            </c:dLbl>
            <c:dLbl>
              <c:idx val="4"/>
              <c:layout>
                <c:manualLayout>
                  <c:x val="-6.2062968301428286E-3"/>
                  <c:y val="-0.18147624029513792"/>
                </c:manualLayout>
              </c:layout>
              <c:numFmt formatCode="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50" b="0" i="0" u="none" strike="noStrike" kern="1200" baseline="0">
                      <a:solidFill>
                        <a:srgbClr val="CC961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DA0-4033-8859-938F20287EE0}"/>
                </c:ext>
              </c:extLst>
            </c:dLbl>
            <c:dLbl>
              <c:idx val="5"/>
              <c:layout>
                <c:manualLayout>
                  <c:x val="1.5297241725650664E-2"/>
                  <c:y val="-0.13096848735237371"/>
                </c:manualLayout>
              </c:layout>
              <c:numFmt formatCode="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50" b="0" i="0" u="none" strike="noStrike" kern="1200" baseline="0">
                      <a:solidFill>
                        <a:schemeClr val="bg1">
                          <a:lumMod val="50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BDA0-4033-8859-938F20287EE0}"/>
                </c:ext>
              </c:extLst>
            </c:dLbl>
            <c:numFmt formatCode="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rgbClr val="CC9610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'Způsob dopravy'!$A$1:$A$6</c:f>
              <c:strCache>
                <c:ptCount val="6"/>
                <c:pt idx="0">
                  <c:v>auto</c:v>
                </c:pt>
                <c:pt idx="1">
                  <c:v>veřejná hromadná doprava</c:v>
                </c:pt>
                <c:pt idx="2">
                  <c:v>pěšky</c:v>
                </c:pt>
                <c:pt idx="3">
                  <c:v>kolo</c:v>
                </c:pt>
                <c:pt idx="4">
                  <c:v>moped, motocykl</c:v>
                </c:pt>
                <c:pt idx="5">
                  <c:v>žádný, nejsem schopen/a
opustit dům</c:v>
                </c:pt>
              </c:strCache>
            </c:strRef>
          </c:cat>
          <c:val>
            <c:numRef>
              <c:f>'Způsob dopravy'!$B$1:$B$6</c:f>
              <c:numCache>
                <c:formatCode>General</c:formatCode>
                <c:ptCount val="6"/>
                <c:pt idx="0">
                  <c:v>54.68</c:v>
                </c:pt>
                <c:pt idx="1">
                  <c:v>31.24</c:v>
                </c:pt>
                <c:pt idx="2">
                  <c:v>10.81</c:v>
                </c:pt>
                <c:pt idx="3">
                  <c:v>2.4900000000000002</c:v>
                </c:pt>
                <c:pt idx="4">
                  <c:v>0.2</c:v>
                </c:pt>
                <c:pt idx="5">
                  <c:v>0.57999999999999996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8-BDA0-4033-8859-938F20287EE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7446120564323844"/>
          <c:y val="0.15388033526126732"/>
          <c:w val="0.41843147745379689"/>
          <c:h val="0.68719311733204513"/>
        </c:manualLayout>
      </c:layout>
      <c:overlay val="0"/>
      <c:spPr>
        <a:solidFill>
          <a:sysClr val="window" lastClr="FFFFFF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6350" cap="flat" cmpd="sng" algn="ctr">
      <a:noFill/>
      <a:round/>
    </a:ln>
    <a:effectLst/>
  </c:spPr>
  <c:txPr>
    <a:bodyPr/>
    <a:lstStyle/>
    <a:p>
      <a:pPr algn="just">
        <a:tabLst>
          <a:tab pos="144000" algn="l"/>
        </a:tabLst>
        <a:defRPr sz="800">
          <a:solidFill>
            <a:sysClr val="windowText" lastClr="000000"/>
          </a:solidFill>
        </a:defRPr>
      </a:pPr>
      <a:endParaRPr lang="cs-CZ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3.3268214890860154E-2"/>
          <c:y val="0.12591007045171984"/>
          <c:w val="0.52220846207515192"/>
          <c:h val="0.86851512639867379"/>
        </c:manualLayout>
      </c:layout>
      <c:doughnutChart>
        <c:varyColors val="1"/>
        <c:ser>
          <c:idx val="0"/>
          <c:order val="0"/>
          <c:spPr>
            <a:ln w="6350">
              <a:solidFill>
                <a:sysClr val="window" lastClr="FFFFFF"/>
              </a:solidFill>
            </a:ln>
          </c:spPr>
          <c:dPt>
            <c:idx val="0"/>
            <c:bubble3D val="0"/>
            <c:spPr>
              <a:solidFill>
                <a:srgbClr val="BC091B"/>
              </a:solidFill>
              <a:ln w="6350">
                <a:solidFill>
                  <a:sysClr val="window" lastClr="FFFFFF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ECD-43B6-968D-F9583A7138C1}"/>
              </c:ext>
            </c:extLst>
          </c:dPt>
          <c:dPt>
            <c:idx val="1"/>
            <c:bubble3D val="0"/>
            <c:spPr>
              <a:solidFill>
                <a:srgbClr val="0071BC"/>
              </a:solidFill>
              <a:ln w="6350">
                <a:solidFill>
                  <a:sysClr val="window" lastClr="FFFFFF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ECD-43B6-968D-F9583A7138C1}"/>
              </c:ext>
            </c:extLst>
          </c:dPt>
          <c:dPt>
            <c:idx val="2"/>
            <c:bubble3D val="0"/>
            <c:spPr>
              <a:solidFill>
                <a:srgbClr val="009CB5"/>
              </a:solidFill>
              <a:ln w="6350">
                <a:solidFill>
                  <a:sysClr val="window" lastClr="FFFFFF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ECD-43B6-968D-F9583A7138C1}"/>
              </c:ext>
            </c:extLst>
          </c:dPt>
          <c:dPt>
            <c:idx val="3"/>
            <c:bubble3D val="0"/>
            <c:spPr>
              <a:solidFill>
                <a:srgbClr val="174F70"/>
              </a:solidFill>
              <a:ln w="6350">
                <a:solidFill>
                  <a:sysClr val="window" lastClr="FFFFFF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ECD-43B6-968D-F9583A7138C1}"/>
              </c:ext>
            </c:extLst>
          </c:dPt>
          <c:dPt>
            <c:idx val="4"/>
            <c:bubble3D val="0"/>
            <c:spPr>
              <a:solidFill>
                <a:srgbClr val="7CA5D8"/>
              </a:solidFill>
              <a:ln w="6350">
                <a:solidFill>
                  <a:sysClr val="window" lastClr="FFFFFF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ECD-43B6-968D-F9583A7138C1}"/>
              </c:ext>
            </c:extLst>
          </c:dPt>
          <c:dPt>
            <c:idx val="5"/>
            <c:bubble3D val="0"/>
            <c:spPr>
              <a:solidFill>
                <a:srgbClr val="85898E"/>
              </a:solidFill>
              <a:ln w="6350">
                <a:solidFill>
                  <a:sysClr val="window" lastClr="FFFFFF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AECD-43B6-968D-F9583A7138C1}"/>
              </c:ext>
            </c:extLst>
          </c:dPt>
          <c:dPt>
            <c:idx val="6"/>
            <c:bubble3D val="0"/>
            <c:spPr>
              <a:solidFill>
                <a:srgbClr val="7CA5D8"/>
              </a:solidFill>
              <a:ln w="6350">
                <a:solidFill>
                  <a:sysClr val="window" lastClr="FFFFFF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AECD-43B6-968D-F9583A7138C1}"/>
              </c:ext>
            </c:extLst>
          </c:dPt>
          <c:dPt>
            <c:idx val="7"/>
            <c:bubble3D val="0"/>
            <c:spPr>
              <a:solidFill>
                <a:srgbClr val="8390A7"/>
              </a:solidFill>
              <a:ln w="6350">
                <a:solidFill>
                  <a:sysClr val="window" lastClr="FFFFFF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AECD-43B6-968D-F9583A7138C1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6350">
                <a:solidFill>
                  <a:sysClr val="window" lastClr="FFFFFF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AECD-43B6-968D-F9583A7138C1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6350">
                <a:solidFill>
                  <a:sysClr val="window" lastClr="FFFFFF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AECD-43B6-968D-F9583A7138C1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6350">
                <a:solidFill>
                  <a:sysClr val="window" lastClr="FFFFFF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AECD-43B6-968D-F9583A7138C1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6350">
                <a:solidFill>
                  <a:sysClr val="window" lastClr="FFFFFF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7-AECD-43B6-968D-F9583A7138C1}"/>
              </c:ext>
            </c:extLst>
          </c:dPt>
          <c:dLbls>
            <c:dLbl>
              <c:idx val="4"/>
              <c:layout>
                <c:manualLayout>
                  <c:x val="5.8678859762782819E-3"/>
                  <c:y val="-0.18180812266887691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50" b="0" i="0" u="none" strike="noStrike" kern="1200" baseline="0">
                        <a:solidFill>
                          <a:srgbClr val="7CA5D8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/>
                      <a:t>0,8</a:t>
                    </a:r>
                  </a:p>
                </c:rich>
              </c:tx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50" b="0" i="0" u="none" strike="noStrike" kern="1200" baseline="0">
                      <a:solidFill>
                        <a:srgbClr val="7CA5D8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AECD-43B6-968D-F9583A7138C1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rgbClr val="7CA5D8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Automobily!$A$2:$A$6</c:f>
              <c:strCache>
                <c:ptCount val="5"/>
                <c:pt idx="0">
                  <c:v>žádné auto</c:v>
                </c:pt>
                <c:pt idx="1">
                  <c:v>jeden</c:v>
                </c:pt>
                <c:pt idx="2">
                  <c:v>dva</c:v>
                </c:pt>
                <c:pt idx="3">
                  <c:v>tři</c:v>
                </c:pt>
                <c:pt idx="4">
                  <c:v>čtyři a více</c:v>
                </c:pt>
              </c:strCache>
            </c:strRef>
          </c:cat>
          <c:val>
            <c:numRef>
              <c:f>Automobily!$B$2:$B$6</c:f>
              <c:numCache>
                <c:formatCode>General</c:formatCode>
                <c:ptCount val="5"/>
                <c:pt idx="0">
                  <c:v>27.66</c:v>
                </c:pt>
                <c:pt idx="1">
                  <c:v>46.32</c:v>
                </c:pt>
                <c:pt idx="2">
                  <c:v>21.19</c:v>
                </c:pt>
                <c:pt idx="3">
                  <c:v>3.98</c:v>
                </c:pt>
                <c:pt idx="4">
                  <c:v>0.85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8-AECD-43B6-968D-F9583A7138C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4401208001173771"/>
          <c:y val="0.24744799005387488"/>
          <c:w val="0.23133814523184601"/>
          <c:h val="0.58317032739328634"/>
        </c:manualLayout>
      </c:layout>
      <c:overlay val="0"/>
      <c:spPr>
        <a:solidFill>
          <a:sysClr val="window" lastClr="FFFFFF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 algn="just">
        <a:defRPr sz="800">
          <a:solidFill>
            <a:sysClr val="windowText" lastClr="000000"/>
          </a:solidFill>
        </a:defRPr>
      </a:pPr>
      <a:endParaRPr lang="cs-CZ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0.04252</cdr:x>
      <cdr:y>0.92336</cdr:y>
    </cdr:from>
    <cdr:to>
      <cdr:x>0.19371</cdr:x>
      <cdr:y>0.9927</cdr:y>
    </cdr:to>
    <cdr:sp macro="" textlink="">
      <cdr:nvSpPr>
        <cdr:cNvPr id="2" name="TextovéPole 1"/>
        <cdr:cNvSpPr txBox="1"/>
      </cdr:nvSpPr>
      <cdr:spPr>
        <a:xfrm xmlns:a="http://schemas.openxmlformats.org/drawingml/2006/main">
          <a:off x="257161" y="2409831"/>
          <a:ext cx="914397" cy="1809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cs-CZ" sz="8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0.07293</cdr:x>
      <cdr:y>0.91524</cdr:y>
    </cdr:from>
    <cdr:to>
      <cdr:x>0.59192</cdr:x>
      <cdr:y>1</cdr:y>
    </cdr:to>
    <cdr:sp macro="" textlink="">
      <cdr:nvSpPr>
        <cdr:cNvPr id="4" name="TextovéPole 3"/>
        <cdr:cNvSpPr txBox="1"/>
      </cdr:nvSpPr>
      <cdr:spPr>
        <a:xfrm xmlns:a="http://schemas.openxmlformats.org/drawingml/2006/main">
          <a:off x="409575" y="3028950"/>
          <a:ext cx="2914650" cy="2762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cs-CZ" sz="1100"/>
        </a:p>
      </cdr:txBody>
    </cdr:sp>
  </cdr:relSizeAnchor>
  <cdr:relSizeAnchor xmlns:cdr="http://schemas.openxmlformats.org/drawingml/2006/chartDrawing">
    <cdr:from>
      <cdr:x>0.04252</cdr:x>
      <cdr:y>0.92336</cdr:y>
    </cdr:from>
    <cdr:to>
      <cdr:x>0.19371</cdr:x>
      <cdr:y>0.9927</cdr:y>
    </cdr:to>
    <cdr:sp macro="" textlink="">
      <cdr:nvSpPr>
        <cdr:cNvPr id="3" name="TextovéPole 1">
          <a:extLst xmlns:a="http://schemas.openxmlformats.org/drawingml/2006/main">
            <a:ext uri="{FF2B5EF4-FFF2-40B4-BE49-F238E27FC236}">
              <a16:creationId xmlns:a16="http://schemas.microsoft.com/office/drawing/2014/main" id="{36D737E4-9EA1-F71A-D49D-4E7A7344EDD6}"/>
            </a:ext>
          </a:extLst>
        </cdr:cNvPr>
        <cdr:cNvSpPr txBox="1"/>
      </cdr:nvSpPr>
      <cdr:spPr>
        <a:xfrm xmlns:a="http://schemas.openxmlformats.org/drawingml/2006/main">
          <a:off x="257161" y="2409831"/>
          <a:ext cx="914397" cy="1809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cs-CZ" sz="8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0.07293</cdr:x>
      <cdr:y>0.91524</cdr:y>
    </cdr:from>
    <cdr:to>
      <cdr:x>0.59192</cdr:x>
      <cdr:y>1</cdr:y>
    </cdr:to>
    <cdr:sp macro="" textlink="">
      <cdr:nvSpPr>
        <cdr:cNvPr id="6" name="TextovéPole 3">
          <a:extLst xmlns:a="http://schemas.openxmlformats.org/drawingml/2006/main">
            <a:ext uri="{FF2B5EF4-FFF2-40B4-BE49-F238E27FC236}">
              <a16:creationId xmlns:a16="http://schemas.microsoft.com/office/drawing/2014/main" id="{5F76B901-29A8-0829-4240-9AAD5DBB6CD1}"/>
            </a:ext>
          </a:extLst>
        </cdr:cNvPr>
        <cdr:cNvSpPr txBox="1"/>
      </cdr:nvSpPr>
      <cdr:spPr>
        <a:xfrm xmlns:a="http://schemas.openxmlformats.org/drawingml/2006/main">
          <a:off x="409575" y="3028950"/>
          <a:ext cx="2914650" cy="2762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cs-CZ" sz="11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0.04252</cdr:x>
      <cdr:y>0.92336</cdr:y>
    </cdr:from>
    <cdr:to>
      <cdr:x>0.19371</cdr:x>
      <cdr:y>0.9927</cdr:y>
    </cdr:to>
    <cdr:sp macro="" textlink="">
      <cdr:nvSpPr>
        <cdr:cNvPr id="2" name="TextovéPole 1"/>
        <cdr:cNvSpPr txBox="1"/>
      </cdr:nvSpPr>
      <cdr:spPr>
        <a:xfrm xmlns:a="http://schemas.openxmlformats.org/drawingml/2006/main">
          <a:off x="257161" y="2409831"/>
          <a:ext cx="914397" cy="1809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cs-CZ" sz="8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0.07293</cdr:x>
      <cdr:y>0.91524</cdr:y>
    </cdr:from>
    <cdr:to>
      <cdr:x>0.59192</cdr:x>
      <cdr:y>1</cdr:y>
    </cdr:to>
    <cdr:sp macro="" textlink="">
      <cdr:nvSpPr>
        <cdr:cNvPr id="4" name="TextovéPole 3"/>
        <cdr:cNvSpPr txBox="1"/>
      </cdr:nvSpPr>
      <cdr:spPr>
        <a:xfrm xmlns:a="http://schemas.openxmlformats.org/drawingml/2006/main">
          <a:off x="409575" y="3028950"/>
          <a:ext cx="2914650" cy="2762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cs-CZ" sz="1100"/>
        </a:p>
      </cdr:txBody>
    </cdr:sp>
  </cdr:relSizeAnchor>
  <cdr:relSizeAnchor xmlns:cdr="http://schemas.openxmlformats.org/drawingml/2006/chartDrawing">
    <cdr:from>
      <cdr:x>0.04252</cdr:x>
      <cdr:y>0.92336</cdr:y>
    </cdr:from>
    <cdr:to>
      <cdr:x>0.19371</cdr:x>
      <cdr:y>0.9927</cdr:y>
    </cdr:to>
    <cdr:sp macro="" textlink="">
      <cdr:nvSpPr>
        <cdr:cNvPr id="3" name="TextovéPole 1">
          <a:extLst xmlns:a="http://schemas.openxmlformats.org/drawingml/2006/main">
            <a:ext uri="{FF2B5EF4-FFF2-40B4-BE49-F238E27FC236}">
              <a16:creationId xmlns:a16="http://schemas.microsoft.com/office/drawing/2014/main" id="{1A6E60CD-501E-889C-624D-849775CE73EF}"/>
            </a:ext>
          </a:extLst>
        </cdr:cNvPr>
        <cdr:cNvSpPr txBox="1"/>
      </cdr:nvSpPr>
      <cdr:spPr>
        <a:xfrm xmlns:a="http://schemas.openxmlformats.org/drawingml/2006/main">
          <a:off x="257161" y="2409831"/>
          <a:ext cx="914397" cy="1809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cs-CZ" sz="8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0.07293</cdr:x>
      <cdr:y>0.91524</cdr:y>
    </cdr:from>
    <cdr:to>
      <cdr:x>0.59192</cdr:x>
      <cdr:y>1</cdr:y>
    </cdr:to>
    <cdr:sp macro="" textlink="">
      <cdr:nvSpPr>
        <cdr:cNvPr id="5" name="TextovéPole 3">
          <a:extLst xmlns:a="http://schemas.openxmlformats.org/drawingml/2006/main">
            <a:ext uri="{FF2B5EF4-FFF2-40B4-BE49-F238E27FC236}">
              <a16:creationId xmlns:a16="http://schemas.microsoft.com/office/drawing/2014/main" id="{C5C6E615-18BC-3A0A-22E1-CD3247DCD595}"/>
            </a:ext>
          </a:extLst>
        </cdr:cNvPr>
        <cdr:cNvSpPr txBox="1"/>
      </cdr:nvSpPr>
      <cdr:spPr>
        <a:xfrm xmlns:a="http://schemas.openxmlformats.org/drawingml/2006/main">
          <a:off x="409575" y="3028950"/>
          <a:ext cx="2914650" cy="2762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cs-CZ" sz="1100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0.04252</cdr:x>
      <cdr:y>0.92336</cdr:y>
    </cdr:from>
    <cdr:to>
      <cdr:x>0.19371</cdr:x>
      <cdr:y>0.9927</cdr:y>
    </cdr:to>
    <cdr:sp macro="" textlink="">
      <cdr:nvSpPr>
        <cdr:cNvPr id="2" name="TextovéPole 1"/>
        <cdr:cNvSpPr txBox="1"/>
      </cdr:nvSpPr>
      <cdr:spPr>
        <a:xfrm xmlns:a="http://schemas.openxmlformats.org/drawingml/2006/main">
          <a:off x="257161" y="2409831"/>
          <a:ext cx="914397" cy="1809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cs-CZ" sz="8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0.07293</cdr:x>
      <cdr:y>0.91524</cdr:y>
    </cdr:from>
    <cdr:to>
      <cdr:x>0.59192</cdr:x>
      <cdr:y>1</cdr:y>
    </cdr:to>
    <cdr:sp macro="" textlink="">
      <cdr:nvSpPr>
        <cdr:cNvPr id="4" name="TextovéPole 3"/>
        <cdr:cNvSpPr txBox="1"/>
      </cdr:nvSpPr>
      <cdr:spPr>
        <a:xfrm xmlns:a="http://schemas.openxmlformats.org/drawingml/2006/main">
          <a:off x="409575" y="3028950"/>
          <a:ext cx="2914650" cy="2762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cs-CZ" sz="1100"/>
        </a:p>
      </cdr:txBody>
    </cdr:sp>
  </cdr:relSizeAnchor>
  <cdr:relSizeAnchor xmlns:cdr="http://schemas.openxmlformats.org/drawingml/2006/chartDrawing">
    <cdr:from>
      <cdr:x>0.04252</cdr:x>
      <cdr:y>0.92336</cdr:y>
    </cdr:from>
    <cdr:to>
      <cdr:x>0.19371</cdr:x>
      <cdr:y>0.9927</cdr:y>
    </cdr:to>
    <cdr:sp macro="" textlink="">
      <cdr:nvSpPr>
        <cdr:cNvPr id="3" name="TextovéPole 1">
          <a:extLst xmlns:a="http://schemas.openxmlformats.org/drawingml/2006/main">
            <a:ext uri="{FF2B5EF4-FFF2-40B4-BE49-F238E27FC236}">
              <a16:creationId xmlns:a16="http://schemas.microsoft.com/office/drawing/2014/main" id="{6B00E40F-7996-B1C2-D53E-82190AE385A5}"/>
            </a:ext>
          </a:extLst>
        </cdr:cNvPr>
        <cdr:cNvSpPr txBox="1"/>
      </cdr:nvSpPr>
      <cdr:spPr>
        <a:xfrm xmlns:a="http://schemas.openxmlformats.org/drawingml/2006/main">
          <a:off x="257161" y="2409831"/>
          <a:ext cx="914397" cy="1809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cs-CZ" sz="8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0.07293</cdr:x>
      <cdr:y>0.91524</cdr:y>
    </cdr:from>
    <cdr:to>
      <cdr:x>0.59192</cdr:x>
      <cdr:y>1</cdr:y>
    </cdr:to>
    <cdr:sp macro="" textlink="">
      <cdr:nvSpPr>
        <cdr:cNvPr id="5" name="TextovéPole 3">
          <a:extLst xmlns:a="http://schemas.openxmlformats.org/drawingml/2006/main">
            <a:ext uri="{FF2B5EF4-FFF2-40B4-BE49-F238E27FC236}">
              <a16:creationId xmlns:a16="http://schemas.microsoft.com/office/drawing/2014/main" id="{807D6C98-AE0B-F7ED-46BB-2850A7296057}"/>
            </a:ext>
          </a:extLst>
        </cdr:cNvPr>
        <cdr:cNvSpPr txBox="1"/>
      </cdr:nvSpPr>
      <cdr:spPr>
        <a:xfrm xmlns:a="http://schemas.openxmlformats.org/drawingml/2006/main">
          <a:off x="409575" y="3028950"/>
          <a:ext cx="2914650" cy="2762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cs-CZ" sz="1100"/>
        </a:p>
      </cdr:txBody>
    </cdr:sp>
  </cdr:relSizeAnchor>
  <cdr:relSizeAnchor xmlns:cdr="http://schemas.openxmlformats.org/drawingml/2006/chartDrawing">
    <cdr:from>
      <cdr:x>0.04252</cdr:x>
      <cdr:y>0.92336</cdr:y>
    </cdr:from>
    <cdr:to>
      <cdr:x>0.19371</cdr:x>
      <cdr:y>0.9927</cdr:y>
    </cdr:to>
    <cdr:sp macro="" textlink="">
      <cdr:nvSpPr>
        <cdr:cNvPr id="6" name="TextovéPole 1">
          <a:extLst xmlns:a="http://schemas.openxmlformats.org/drawingml/2006/main">
            <a:ext uri="{FF2B5EF4-FFF2-40B4-BE49-F238E27FC236}">
              <a16:creationId xmlns:a16="http://schemas.microsoft.com/office/drawing/2014/main" id="{D027015B-5A68-DF08-30DF-969DC9AE936A}"/>
            </a:ext>
          </a:extLst>
        </cdr:cNvPr>
        <cdr:cNvSpPr txBox="1"/>
      </cdr:nvSpPr>
      <cdr:spPr>
        <a:xfrm xmlns:a="http://schemas.openxmlformats.org/drawingml/2006/main">
          <a:off x="257161" y="2409831"/>
          <a:ext cx="914397" cy="1809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cs-CZ" sz="8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0.07293</cdr:x>
      <cdr:y>0.91524</cdr:y>
    </cdr:from>
    <cdr:to>
      <cdr:x>0.59192</cdr:x>
      <cdr:y>1</cdr:y>
    </cdr:to>
    <cdr:sp macro="" textlink="">
      <cdr:nvSpPr>
        <cdr:cNvPr id="7" name="TextovéPole 3">
          <a:extLst xmlns:a="http://schemas.openxmlformats.org/drawingml/2006/main">
            <a:ext uri="{FF2B5EF4-FFF2-40B4-BE49-F238E27FC236}">
              <a16:creationId xmlns:a16="http://schemas.microsoft.com/office/drawing/2014/main" id="{513A5596-9134-9F21-3669-A468DCF10B85}"/>
            </a:ext>
          </a:extLst>
        </cdr:cNvPr>
        <cdr:cNvSpPr txBox="1"/>
      </cdr:nvSpPr>
      <cdr:spPr>
        <a:xfrm xmlns:a="http://schemas.openxmlformats.org/drawingml/2006/main">
          <a:off x="409575" y="3028950"/>
          <a:ext cx="2914650" cy="2762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cs-CZ" sz="1100"/>
        </a:p>
      </cdr:txBody>
    </cdr:sp>
  </cdr:relSizeAnchor>
  <cdr:relSizeAnchor xmlns:cdr="http://schemas.openxmlformats.org/drawingml/2006/chartDrawing">
    <cdr:from>
      <cdr:x>0.04252</cdr:x>
      <cdr:y>0.92336</cdr:y>
    </cdr:from>
    <cdr:to>
      <cdr:x>0.19371</cdr:x>
      <cdr:y>0.9927</cdr:y>
    </cdr:to>
    <cdr:sp macro="" textlink="">
      <cdr:nvSpPr>
        <cdr:cNvPr id="8" name="TextovéPole 1">
          <a:extLst xmlns:a="http://schemas.openxmlformats.org/drawingml/2006/main">
            <a:ext uri="{FF2B5EF4-FFF2-40B4-BE49-F238E27FC236}">
              <a16:creationId xmlns:a16="http://schemas.microsoft.com/office/drawing/2014/main" id="{6B00E40F-7996-B1C2-D53E-82190AE385A5}"/>
            </a:ext>
          </a:extLst>
        </cdr:cNvPr>
        <cdr:cNvSpPr txBox="1"/>
      </cdr:nvSpPr>
      <cdr:spPr>
        <a:xfrm xmlns:a="http://schemas.openxmlformats.org/drawingml/2006/main">
          <a:off x="257161" y="2409831"/>
          <a:ext cx="914397" cy="1809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cs-CZ" sz="8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0.07293</cdr:x>
      <cdr:y>0.91524</cdr:y>
    </cdr:from>
    <cdr:to>
      <cdr:x>0.59192</cdr:x>
      <cdr:y>1</cdr:y>
    </cdr:to>
    <cdr:sp macro="" textlink="">
      <cdr:nvSpPr>
        <cdr:cNvPr id="9" name="TextovéPole 3">
          <a:extLst xmlns:a="http://schemas.openxmlformats.org/drawingml/2006/main">
            <a:ext uri="{FF2B5EF4-FFF2-40B4-BE49-F238E27FC236}">
              <a16:creationId xmlns:a16="http://schemas.microsoft.com/office/drawing/2014/main" id="{807D6C98-AE0B-F7ED-46BB-2850A7296057}"/>
            </a:ext>
          </a:extLst>
        </cdr:cNvPr>
        <cdr:cNvSpPr txBox="1"/>
      </cdr:nvSpPr>
      <cdr:spPr>
        <a:xfrm xmlns:a="http://schemas.openxmlformats.org/drawingml/2006/main">
          <a:off x="409575" y="3028950"/>
          <a:ext cx="2914650" cy="2762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cs-CZ" sz="1100"/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0.04252</cdr:x>
      <cdr:y>0.92336</cdr:y>
    </cdr:from>
    <cdr:to>
      <cdr:x>0.19371</cdr:x>
      <cdr:y>0.9927</cdr:y>
    </cdr:to>
    <cdr:sp macro="" textlink="">
      <cdr:nvSpPr>
        <cdr:cNvPr id="2" name="TextovéPole 1"/>
        <cdr:cNvSpPr txBox="1"/>
      </cdr:nvSpPr>
      <cdr:spPr>
        <a:xfrm xmlns:a="http://schemas.openxmlformats.org/drawingml/2006/main">
          <a:off x="257161" y="2409831"/>
          <a:ext cx="914397" cy="1809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cs-CZ" sz="8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0.07293</cdr:x>
      <cdr:y>0.91524</cdr:y>
    </cdr:from>
    <cdr:to>
      <cdr:x>0.59192</cdr:x>
      <cdr:y>1</cdr:y>
    </cdr:to>
    <cdr:sp macro="" textlink="">
      <cdr:nvSpPr>
        <cdr:cNvPr id="4" name="TextovéPole 3"/>
        <cdr:cNvSpPr txBox="1"/>
      </cdr:nvSpPr>
      <cdr:spPr>
        <a:xfrm xmlns:a="http://schemas.openxmlformats.org/drawingml/2006/main">
          <a:off x="409575" y="3028950"/>
          <a:ext cx="2914650" cy="2762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cs-CZ" sz="1100"/>
        </a:p>
      </cdr:txBody>
    </cdr:sp>
  </cdr:relSizeAnchor>
  <cdr:relSizeAnchor xmlns:cdr="http://schemas.openxmlformats.org/drawingml/2006/chartDrawing">
    <cdr:from>
      <cdr:x>0.04252</cdr:x>
      <cdr:y>0.92336</cdr:y>
    </cdr:from>
    <cdr:to>
      <cdr:x>0.19371</cdr:x>
      <cdr:y>0.9927</cdr:y>
    </cdr:to>
    <cdr:sp macro="" textlink="">
      <cdr:nvSpPr>
        <cdr:cNvPr id="3" name="TextovéPole 1">
          <a:extLst xmlns:a="http://schemas.openxmlformats.org/drawingml/2006/main">
            <a:ext uri="{FF2B5EF4-FFF2-40B4-BE49-F238E27FC236}">
              <a16:creationId xmlns:a16="http://schemas.microsoft.com/office/drawing/2014/main" id="{1AE86482-D722-E77E-0DEC-45E435535D54}"/>
            </a:ext>
          </a:extLst>
        </cdr:cNvPr>
        <cdr:cNvSpPr txBox="1"/>
      </cdr:nvSpPr>
      <cdr:spPr>
        <a:xfrm xmlns:a="http://schemas.openxmlformats.org/drawingml/2006/main">
          <a:off x="257161" y="2409831"/>
          <a:ext cx="914397" cy="1809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cs-CZ" sz="8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0.07293</cdr:x>
      <cdr:y>0.91524</cdr:y>
    </cdr:from>
    <cdr:to>
      <cdr:x>0.59192</cdr:x>
      <cdr:y>1</cdr:y>
    </cdr:to>
    <cdr:sp macro="" textlink="">
      <cdr:nvSpPr>
        <cdr:cNvPr id="5" name="TextovéPole 3">
          <a:extLst xmlns:a="http://schemas.openxmlformats.org/drawingml/2006/main">
            <a:ext uri="{FF2B5EF4-FFF2-40B4-BE49-F238E27FC236}">
              <a16:creationId xmlns:a16="http://schemas.microsoft.com/office/drawing/2014/main" id="{DEB7FB54-6061-8C67-3726-0123C19319DA}"/>
            </a:ext>
          </a:extLst>
        </cdr:cNvPr>
        <cdr:cNvSpPr txBox="1"/>
      </cdr:nvSpPr>
      <cdr:spPr>
        <a:xfrm xmlns:a="http://schemas.openxmlformats.org/drawingml/2006/main">
          <a:off x="409575" y="3028950"/>
          <a:ext cx="2914650" cy="2762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cs-CZ" sz="1100"/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0.04252</cdr:x>
      <cdr:y>0.92336</cdr:y>
    </cdr:from>
    <cdr:to>
      <cdr:x>0.19371</cdr:x>
      <cdr:y>0.9927</cdr:y>
    </cdr:to>
    <cdr:sp macro="" textlink="">
      <cdr:nvSpPr>
        <cdr:cNvPr id="2" name="TextovéPole 1"/>
        <cdr:cNvSpPr txBox="1"/>
      </cdr:nvSpPr>
      <cdr:spPr>
        <a:xfrm xmlns:a="http://schemas.openxmlformats.org/drawingml/2006/main">
          <a:off x="257161" y="2409831"/>
          <a:ext cx="914397" cy="1809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cs-CZ" sz="8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0.07293</cdr:x>
      <cdr:y>0.91524</cdr:y>
    </cdr:from>
    <cdr:to>
      <cdr:x>0.59192</cdr:x>
      <cdr:y>1</cdr:y>
    </cdr:to>
    <cdr:sp macro="" textlink="">
      <cdr:nvSpPr>
        <cdr:cNvPr id="4" name="TextovéPole 3"/>
        <cdr:cNvSpPr txBox="1"/>
      </cdr:nvSpPr>
      <cdr:spPr>
        <a:xfrm xmlns:a="http://schemas.openxmlformats.org/drawingml/2006/main">
          <a:off x="409575" y="3028950"/>
          <a:ext cx="2914650" cy="2762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cs-CZ" sz="1100"/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0.04252</cdr:x>
      <cdr:y>0.92336</cdr:y>
    </cdr:from>
    <cdr:to>
      <cdr:x>0.19371</cdr:x>
      <cdr:y>0.9927</cdr:y>
    </cdr:to>
    <cdr:sp macro="" textlink="">
      <cdr:nvSpPr>
        <cdr:cNvPr id="2" name="TextovéPole 1"/>
        <cdr:cNvSpPr txBox="1"/>
      </cdr:nvSpPr>
      <cdr:spPr>
        <a:xfrm xmlns:a="http://schemas.openxmlformats.org/drawingml/2006/main">
          <a:off x="257161" y="2409831"/>
          <a:ext cx="914397" cy="1809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cs-CZ" sz="8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0.07293</cdr:x>
      <cdr:y>0.91524</cdr:y>
    </cdr:from>
    <cdr:to>
      <cdr:x>0.59192</cdr:x>
      <cdr:y>1</cdr:y>
    </cdr:to>
    <cdr:sp macro="" textlink="">
      <cdr:nvSpPr>
        <cdr:cNvPr id="4" name="TextovéPole 3"/>
        <cdr:cNvSpPr txBox="1"/>
      </cdr:nvSpPr>
      <cdr:spPr>
        <a:xfrm xmlns:a="http://schemas.openxmlformats.org/drawingml/2006/main">
          <a:off x="409575" y="3028950"/>
          <a:ext cx="2914650" cy="2762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cs-CZ" sz="1100"/>
        </a:p>
      </cdr:txBody>
    </cdr:sp>
  </cdr:relSizeAnchor>
  <cdr:relSizeAnchor xmlns:cdr="http://schemas.openxmlformats.org/drawingml/2006/chartDrawing">
    <cdr:from>
      <cdr:x>0.01085</cdr:x>
      <cdr:y>0.05233</cdr:y>
    </cdr:from>
    <cdr:to>
      <cdr:x>0.20037</cdr:x>
      <cdr:y>0.26291</cdr:y>
    </cdr:to>
    <cdr:sp macro="" textlink="">
      <cdr:nvSpPr>
        <cdr:cNvPr id="3" name="TextovéPole 2">
          <a:extLst xmlns:a="http://schemas.openxmlformats.org/drawingml/2006/main">
            <a:ext uri="{FF2B5EF4-FFF2-40B4-BE49-F238E27FC236}">
              <a16:creationId xmlns:a16="http://schemas.microsoft.com/office/drawing/2014/main" id="{5BCDCB1A-7A41-0F4C-A7F9-A2D69EFF2E33}"/>
            </a:ext>
          </a:extLst>
        </cdr:cNvPr>
        <cdr:cNvSpPr txBox="1"/>
      </cdr:nvSpPr>
      <cdr:spPr>
        <a:xfrm xmlns:a="http://schemas.openxmlformats.org/drawingml/2006/main">
          <a:off x="64102" y="167835"/>
          <a:ext cx="1119196" cy="675411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rot="0" vertOverflow="overflow" horzOverflow="overflow" wrap="square" lIns="54000" tIns="36000" rIns="54000" bIns="54000" rtlCol="0" anchor="ctr" anchorCtr="1"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cs-CZ" sz="1050" kern="1200"/>
            <a:t>zubař, </a:t>
          </a:r>
          <a:r>
            <a:rPr lang="cs-CZ" sz="1050"/>
            <a:t>dentální hygiena</a:t>
          </a:r>
          <a:r>
            <a:rPr lang="cs-CZ" sz="1050" kern="1200"/>
            <a:t> a ortodoncie</a:t>
          </a:r>
        </a:p>
      </cdr:txBody>
    </cdr:sp>
  </cdr:relSizeAnchor>
  <cdr:relSizeAnchor xmlns:cdr="http://schemas.openxmlformats.org/drawingml/2006/chartDrawing">
    <cdr:from>
      <cdr:x>0.00825</cdr:x>
      <cdr:y>0.30773</cdr:y>
    </cdr:from>
    <cdr:to>
      <cdr:x>0.20996</cdr:x>
      <cdr:y>0.51832</cdr:y>
    </cdr:to>
    <cdr:sp macro="" textlink="">
      <cdr:nvSpPr>
        <cdr:cNvPr id="5" name="TextovéPole 1">
          <a:extLst xmlns:a="http://schemas.openxmlformats.org/drawingml/2006/main">
            <a:ext uri="{FF2B5EF4-FFF2-40B4-BE49-F238E27FC236}">
              <a16:creationId xmlns:a16="http://schemas.microsoft.com/office/drawing/2014/main" id="{9DE45467-7310-CBC3-A161-6128644A7540}"/>
            </a:ext>
          </a:extLst>
        </cdr:cNvPr>
        <cdr:cNvSpPr txBox="1"/>
      </cdr:nvSpPr>
      <cdr:spPr>
        <a:xfrm xmlns:a="http://schemas.openxmlformats.org/drawingml/2006/main">
          <a:off x="48696" y="987024"/>
          <a:ext cx="1191203" cy="675412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rot="0" wrap="square" lIns="54000" tIns="36000" rIns="54000" bIns="54000" rtlCol="0" anchor="ctr" anchorCtr="1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cs-CZ" sz="1050" kern="1200"/>
            <a:t>praktický lékař </a:t>
          </a:r>
        </a:p>
        <a:p xmlns:a="http://schemas.openxmlformats.org/drawingml/2006/main">
          <a:pPr algn="ctr"/>
          <a:r>
            <a:rPr lang="cs-CZ" sz="1050" kern="1200"/>
            <a:t>a lékaři specialisté</a:t>
          </a:r>
        </a:p>
      </cdr:txBody>
    </cdr:sp>
  </cdr:relSizeAnchor>
  <cdr:relSizeAnchor xmlns:cdr="http://schemas.openxmlformats.org/drawingml/2006/chartDrawing">
    <cdr:from>
      <cdr:x>0.01069</cdr:x>
      <cdr:y>0.55689</cdr:y>
    </cdr:from>
    <cdr:to>
      <cdr:x>0.20675</cdr:x>
      <cdr:y>0.76747</cdr:y>
    </cdr:to>
    <cdr:sp macro="" textlink="">
      <cdr:nvSpPr>
        <cdr:cNvPr id="6" name="TextovéPole 1">
          <a:extLst xmlns:a="http://schemas.openxmlformats.org/drawingml/2006/main">
            <a:ext uri="{FF2B5EF4-FFF2-40B4-BE49-F238E27FC236}">
              <a16:creationId xmlns:a16="http://schemas.microsoft.com/office/drawing/2014/main" id="{6B003A95-B17C-349A-3A22-DA630A8FC26F}"/>
            </a:ext>
          </a:extLst>
        </cdr:cNvPr>
        <cdr:cNvSpPr txBox="1"/>
      </cdr:nvSpPr>
      <cdr:spPr>
        <a:xfrm xmlns:a="http://schemas.openxmlformats.org/drawingml/2006/main">
          <a:off x="63106" y="1786170"/>
          <a:ext cx="1157866" cy="675411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rot="0" wrap="square" lIns="54000" tIns="36000" rIns="54000" bIns="54000" rtlCol="0" anchor="ctr" anchorCtr="1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cs-CZ" sz="1050" kern="1200"/>
            <a:t>léky (předepsané</a:t>
          </a:r>
        </a:p>
        <a:p xmlns:a="http://schemas.openxmlformats.org/drawingml/2006/main">
          <a:pPr algn="ctr"/>
          <a:r>
            <a:rPr lang="cs-CZ" sz="1050" kern="1200"/>
            <a:t>i volně prodejné)</a:t>
          </a: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0.04252</cdr:x>
      <cdr:y>0.92336</cdr:y>
    </cdr:from>
    <cdr:to>
      <cdr:x>0.19371</cdr:x>
      <cdr:y>0.9927</cdr:y>
    </cdr:to>
    <cdr:sp macro="" textlink="">
      <cdr:nvSpPr>
        <cdr:cNvPr id="2" name="TextovéPole 1"/>
        <cdr:cNvSpPr txBox="1"/>
      </cdr:nvSpPr>
      <cdr:spPr>
        <a:xfrm xmlns:a="http://schemas.openxmlformats.org/drawingml/2006/main">
          <a:off x="257161" y="2409831"/>
          <a:ext cx="914397" cy="1809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cs-CZ" sz="8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0.07293</cdr:x>
      <cdr:y>0.91524</cdr:y>
    </cdr:from>
    <cdr:to>
      <cdr:x>0.59192</cdr:x>
      <cdr:y>1</cdr:y>
    </cdr:to>
    <cdr:sp macro="" textlink="">
      <cdr:nvSpPr>
        <cdr:cNvPr id="4" name="TextovéPole 3"/>
        <cdr:cNvSpPr txBox="1"/>
      </cdr:nvSpPr>
      <cdr:spPr>
        <a:xfrm xmlns:a="http://schemas.openxmlformats.org/drawingml/2006/main">
          <a:off x="409575" y="3028950"/>
          <a:ext cx="2914650" cy="2762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cs-CZ" sz="1100"/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0.04252</cdr:x>
      <cdr:y>0.92336</cdr:y>
    </cdr:from>
    <cdr:to>
      <cdr:x>0.19371</cdr:x>
      <cdr:y>0.9927</cdr:y>
    </cdr:to>
    <cdr:sp macro="" textlink="">
      <cdr:nvSpPr>
        <cdr:cNvPr id="2" name="TextovéPole 1"/>
        <cdr:cNvSpPr txBox="1"/>
      </cdr:nvSpPr>
      <cdr:spPr>
        <a:xfrm xmlns:a="http://schemas.openxmlformats.org/drawingml/2006/main">
          <a:off x="257161" y="2409831"/>
          <a:ext cx="914397" cy="1809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cs-CZ" sz="8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0.07293</cdr:x>
      <cdr:y>0.91524</cdr:y>
    </cdr:from>
    <cdr:to>
      <cdr:x>0.59192</cdr:x>
      <cdr:y>1</cdr:y>
    </cdr:to>
    <cdr:sp macro="" textlink="">
      <cdr:nvSpPr>
        <cdr:cNvPr id="4" name="TextovéPole 3"/>
        <cdr:cNvSpPr txBox="1"/>
      </cdr:nvSpPr>
      <cdr:spPr>
        <a:xfrm xmlns:a="http://schemas.openxmlformats.org/drawingml/2006/main">
          <a:off x="409575" y="3028950"/>
          <a:ext cx="2914650" cy="2762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cs-CZ" sz="1100"/>
        </a:p>
      </cdr:txBody>
    </cdr:sp>
  </cdr:relSizeAnchor>
  <cdr:relSizeAnchor xmlns:cdr="http://schemas.openxmlformats.org/drawingml/2006/chartDrawing">
    <cdr:from>
      <cdr:x>0.04252</cdr:x>
      <cdr:y>0.92336</cdr:y>
    </cdr:from>
    <cdr:to>
      <cdr:x>0.19371</cdr:x>
      <cdr:y>0.9927</cdr:y>
    </cdr:to>
    <cdr:sp macro="" textlink="">
      <cdr:nvSpPr>
        <cdr:cNvPr id="3" name="TextovéPole 1">
          <a:extLst xmlns:a="http://schemas.openxmlformats.org/drawingml/2006/main">
            <a:ext uri="{FF2B5EF4-FFF2-40B4-BE49-F238E27FC236}">
              <a16:creationId xmlns:a16="http://schemas.microsoft.com/office/drawing/2014/main" id="{DF1828AF-294A-951A-3E76-6EACDE4C71CA}"/>
            </a:ext>
          </a:extLst>
        </cdr:cNvPr>
        <cdr:cNvSpPr txBox="1"/>
      </cdr:nvSpPr>
      <cdr:spPr>
        <a:xfrm xmlns:a="http://schemas.openxmlformats.org/drawingml/2006/main">
          <a:off x="257161" y="2409831"/>
          <a:ext cx="914397" cy="1809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cs-CZ" sz="8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0.07293</cdr:x>
      <cdr:y>0.91524</cdr:y>
    </cdr:from>
    <cdr:to>
      <cdr:x>0.59192</cdr:x>
      <cdr:y>1</cdr:y>
    </cdr:to>
    <cdr:sp macro="" textlink="">
      <cdr:nvSpPr>
        <cdr:cNvPr id="5" name="TextovéPole 3">
          <a:extLst xmlns:a="http://schemas.openxmlformats.org/drawingml/2006/main">
            <a:ext uri="{FF2B5EF4-FFF2-40B4-BE49-F238E27FC236}">
              <a16:creationId xmlns:a16="http://schemas.microsoft.com/office/drawing/2014/main" id="{3275D3EB-4958-EED1-DB6B-455E9F1F3E77}"/>
            </a:ext>
          </a:extLst>
        </cdr:cNvPr>
        <cdr:cNvSpPr txBox="1"/>
      </cdr:nvSpPr>
      <cdr:spPr>
        <a:xfrm xmlns:a="http://schemas.openxmlformats.org/drawingml/2006/main">
          <a:off x="409575" y="3028950"/>
          <a:ext cx="2914650" cy="2762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cs-CZ" sz="1100"/>
        </a:p>
      </cdr:txBody>
    </cdr:sp>
  </cdr:relSizeAnchor>
</c:userShape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CSU_OBECNÉ">
    <a:dk1>
      <a:sysClr val="windowText" lastClr="000000"/>
    </a:dk1>
    <a:lt1>
      <a:sysClr val="window" lastClr="FFFFFF"/>
    </a:lt1>
    <a:dk2>
      <a:srgbClr val="DEE6F6"/>
    </a:dk2>
    <a:lt2>
      <a:srgbClr val="DEE6F6"/>
    </a:lt2>
    <a:accent1>
      <a:srgbClr val="0085BC"/>
    </a:accent1>
    <a:accent2>
      <a:srgbClr val="174F70"/>
    </a:accent2>
    <a:accent3>
      <a:srgbClr val="BC091B"/>
    </a:accent3>
    <a:accent4>
      <a:srgbClr val="009CB5"/>
    </a:accent4>
    <a:accent5>
      <a:srgbClr val="BC5B80"/>
    </a:accent5>
    <a:accent6>
      <a:srgbClr val="85898E"/>
    </a:accent6>
    <a:hlink>
      <a:srgbClr val="0085BC"/>
    </a:hlink>
    <a:folHlink>
      <a:srgbClr val="174F70"/>
    </a:folHlink>
  </a:clrScheme>
  <a:fontScheme name="Arial">
    <a:majorFont>
      <a:latin typeface="Arial" panose="020B0604020202020204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ajorFont>
    <a:minorFont>
      <a:latin typeface="Arial" panose="020B0604020202020204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CSU_OBECNÉ">
    <a:dk1>
      <a:sysClr val="windowText" lastClr="000000"/>
    </a:dk1>
    <a:lt1>
      <a:sysClr val="window" lastClr="FFFFFF"/>
    </a:lt1>
    <a:dk2>
      <a:srgbClr val="DEE6F6"/>
    </a:dk2>
    <a:lt2>
      <a:srgbClr val="DEE6F6"/>
    </a:lt2>
    <a:accent1>
      <a:srgbClr val="0085BC"/>
    </a:accent1>
    <a:accent2>
      <a:srgbClr val="174F70"/>
    </a:accent2>
    <a:accent3>
      <a:srgbClr val="BC091B"/>
    </a:accent3>
    <a:accent4>
      <a:srgbClr val="009CB5"/>
    </a:accent4>
    <a:accent5>
      <a:srgbClr val="BC5B80"/>
    </a:accent5>
    <a:accent6>
      <a:srgbClr val="85898E"/>
    </a:accent6>
    <a:hlink>
      <a:srgbClr val="0085BC"/>
    </a:hlink>
    <a:folHlink>
      <a:srgbClr val="174F70"/>
    </a:folHlink>
  </a:clrScheme>
  <a:fontScheme name="Arial">
    <a:majorFont>
      <a:latin typeface="Arial" panose="020B0604020202020204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ajorFont>
    <a:minorFont>
      <a:latin typeface="Arial" panose="020B0604020202020204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CSU_OBECNÉ">
    <a:dk1>
      <a:sysClr val="windowText" lastClr="000000"/>
    </a:dk1>
    <a:lt1>
      <a:sysClr val="window" lastClr="FFFFFF"/>
    </a:lt1>
    <a:dk2>
      <a:srgbClr val="DEE6F6"/>
    </a:dk2>
    <a:lt2>
      <a:srgbClr val="DEE6F6"/>
    </a:lt2>
    <a:accent1>
      <a:srgbClr val="0085BC"/>
    </a:accent1>
    <a:accent2>
      <a:srgbClr val="174F70"/>
    </a:accent2>
    <a:accent3>
      <a:srgbClr val="BC091B"/>
    </a:accent3>
    <a:accent4>
      <a:srgbClr val="009CB5"/>
    </a:accent4>
    <a:accent5>
      <a:srgbClr val="BC5B80"/>
    </a:accent5>
    <a:accent6>
      <a:srgbClr val="85898E"/>
    </a:accent6>
    <a:hlink>
      <a:srgbClr val="0085BC"/>
    </a:hlink>
    <a:folHlink>
      <a:srgbClr val="174F70"/>
    </a:folHlink>
  </a:clrScheme>
  <a:fontScheme name="Arial">
    <a:majorFont>
      <a:latin typeface="Arial" panose="020B0604020202020204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ajorFont>
    <a:minorFont>
      <a:latin typeface="Arial" panose="020B0604020202020204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Vlastní 1">
    <a:dk1>
      <a:sysClr val="windowText" lastClr="000000"/>
    </a:dk1>
    <a:lt1>
      <a:srgbClr val="FFFFFF"/>
    </a:lt1>
    <a:dk2>
      <a:srgbClr val="685B7A"/>
    </a:dk2>
    <a:lt2>
      <a:srgbClr val="A49BB1"/>
    </a:lt2>
    <a:accent1>
      <a:srgbClr val="BC5B80"/>
    </a:accent1>
    <a:accent2>
      <a:srgbClr val="D8A7B7"/>
    </a:accent2>
    <a:accent3>
      <a:srgbClr val="009CB5"/>
    </a:accent3>
    <a:accent4>
      <a:srgbClr val="9FC9D7"/>
    </a:accent4>
    <a:accent5>
      <a:srgbClr val="BC091B"/>
    </a:accent5>
    <a:accent6>
      <a:srgbClr val="DC8468"/>
    </a:accent6>
    <a:hlink>
      <a:srgbClr val="CC9610"/>
    </a:hlink>
    <a:folHlink>
      <a:srgbClr val="E6C483"/>
    </a:folHlink>
  </a:clrScheme>
  <a:fontScheme name="Arial">
    <a:majorFont>
      <a:latin typeface="Arial" panose="020B0604020202020204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ajorFont>
    <a:minorFont>
      <a:latin typeface="Arial" panose="020B0604020202020204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Vlastní 1">
    <a:dk1>
      <a:sysClr val="windowText" lastClr="000000"/>
    </a:dk1>
    <a:lt1>
      <a:srgbClr val="FFFFFF"/>
    </a:lt1>
    <a:dk2>
      <a:srgbClr val="685B7A"/>
    </a:dk2>
    <a:lt2>
      <a:srgbClr val="A49BB1"/>
    </a:lt2>
    <a:accent1>
      <a:srgbClr val="BC5B80"/>
    </a:accent1>
    <a:accent2>
      <a:srgbClr val="D8A7B7"/>
    </a:accent2>
    <a:accent3>
      <a:srgbClr val="009CB5"/>
    </a:accent3>
    <a:accent4>
      <a:srgbClr val="9FC9D7"/>
    </a:accent4>
    <a:accent5>
      <a:srgbClr val="BC091B"/>
    </a:accent5>
    <a:accent6>
      <a:srgbClr val="DC8468"/>
    </a:accent6>
    <a:hlink>
      <a:srgbClr val="CC9610"/>
    </a:hlink>
    <a:folHlink>
      <a:srgbClr val="E6C483"/>
    </a:folHlink>
  </a:clrScheme>
  <a:fontScheme name="Arial">
    <a:majorFont>
      <a:latin typeface="Arial" panose="020B0604020202020204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ajorFont>
    <a:minorFont>
      <a:latin typeface="Arial" panose="020B0604020202020204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4" ma:contentTypeDescription="Vytvoří nový dokument" ma:contentTypeScope="" ma:versionID="38b78e38c05c9c65d8c8188cfb59c0b8">
  <xsd:schema xmlns:xsd="http://www.w3.org/2001/XMLSchema" xmlns:xs="http://www.w3.org/2001/XMLSchema" xmlns:p="http://schemas.microsoft.com/office/2006/metadata/properties" xmlns:ns2="6f5a4aca-455c-4012-a902-4d97d6c174df" targetNamespace="http://schemas.microsoft.com/office/2006/metadata/properties" ma:root="true" ma:fieldsID="cc0b9f12064dfd5747374f588f0c5227" ns2:_="">
    <xsd:import namespace="6f5a4aca-455c-4012-a902-4d97d6c17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98D201-CC36-482B-BD12-A1D1EBE418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571A49-BFF7-4956-94B0-FBF56CA303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a4aca-455c-4012-a902-4d97d6c174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785E02-F239-489D-8E49-92C93A2E93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80A6E2-44D3-45DE-AAA5-CAE035EADAB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4063</Words>
  <Characters>23975</Characters>
  <Application>Microsoft Office Word</Application>
  <DocSecurity>0</DocSecurity>
  <Lines>199</Lines>
  <Paragraphs>55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Vážení,</vt:lpstr>
      <vt:lpstr>Vážení,</vt:lpstr>
    </vt:vector>
  </TitlesOfParts>
  <Company>VŠE</Company>
  <LinksUpToDate>false</LinksUpToDate>
  <CharactersWithSpaces>27983</CharactersWithSpaces>
  <SharedDoc>false</SharedDoc>
  <HLinks>
    <vt:vector size="6" baseType="variant">
      <vt:variant>
        <vt:i4>131166</vt:i4>
      </vt:variant>
      <vt:variant>
        <vt:i4>69</vt:i4>
      </vt:variant>
      <vt:variant>
        <vt:i4>0</vt:i4>
      </vt:variant>
      <vt:variant>
        <vt:i4>5</vt:i4>
      </vt:variant>
      <vt:variant>
        <vt:lpwstr>https://www.czso.cz/csu/czso/prijmy-a-zivotni-podminky-domacnosti-rn2to6gtkz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Vážení,</dc:title>
  <dc:subject/>
  <dc:creator>Martina Šimková</dc:creator>
  <cp:keywords/>
  <dc:description/>
  <cp:lastModifiedBy>TD</cp:lastModifiedBy>
  <cp:revision>10</cp:revision>
  <cp:lastPrinted>2026-02-10T14:53:00Z</cp:lastPrinted>
  <dcterms:created xsi:type="dcterms:W3CDTF">2026-02-09T10:23:00Z</dcterms:created>
  <dcterms:modified xsi:type="dcterms:W3CDTF">2026-02-10T14:55:00Z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</Properties>
</file>