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B5" w:rsidRPr="00581FB5" w:rsidRDefault="00BF1EB5" w:rsidP="00246136">
      <w:pPr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bookmarkEnd w:id="0"/>
      <w:r w:rsidRPr="00581FB5">
        <w:rPr>
          <w:rFonts w:ascii="Times New Roman" w:hAnsi="Times New Roman"/>
          <w:b/>
          <w:sz w:val="28"/>
          <w:szCs w:val="28"/>
          <w:lang w:val="en-GB"/>
        </w:rPr>
        <w:t>Standard revision of the calculation of price indices of market services</w:t>
      </w:r>
    </w:p>
    <w:p w:rsidR="00581FB5" w:rsidRPr="0089644C" w:rsidRDefault="00547BCA" w:rsidP="00246136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89644C">
        <w:rPr>
          <w:rFonts w:ascii="Times New Roman" w:hAnsi="Times New Roman"/>
          <w:sz w:val="24"/>
          <w:szCs w:val="24"/>
          <w:lang w:val="en-GB"/>
        </w:rPr>
        <w:t xml:space="preserve">The purpose of revision </w:t>
      </w:r>
      <w:r w:rsidR="00C52EDD" w:rsidRPr="0089644C">
        <w:rPr>
          <w:rFonts w:ascii="Times New Roman" w:hAnsi="Times New Roman"/>
          <w:sz w:val="24"/>
          <w:szCs w:val="24"/>
          <w:lang w:val="en-GB"/>
        </w:rPr>
        <w:t xml:space="preserve">is updating of </w:t>
      </w:r>
      <w:r w:rsidR="002C7D58" w:rsidRPr="0089644C">
        <w:rPr>
          <w:rFonts w:ascii="Times New Roman" w:hAnsi="Times New Roman"/>
          <w:sz w:val="24"/>
          <w:szCs w:val="24"/>
          <w:lang w:val="en-GB"/>
        </w:rPr>
        <w:t xml:space="preserve">the system of price indices </w:t>
      </w:r>
      <w:r w:rsidR="00027DB0" w:rsidRPr="0089644C">
        <w:rPr>
          <w:rFonts w:ascii="Times New Roman" w:hAnsi="Times New Roman"/>
          <w:sz w:val="24"/>
          <w:szCs w:val="24"/>
          <w:lang w:val="en-GB"/>
        </w:rPr>
        <w:t xml:space="preserve">especially due to accumulated changes </w:t>
      </w:r>
      <w:r w:rsidR="00280F5B" w:rsidRPr="0089644C">
        <w:rPr>
          <w:rFonts w:ascii="Times New Roman" w:hAnsi="Times New Roman"/>
          <w:sz w:val="24"/>
          <w:szCs w:val="24"/>
          <w:lang w:val="en-GB"/>
        </w:rPr>
        <w:t xml:space="preserve">in real described section. </w:t>
      </w:r>
      <w:r w:rsidR="00BB377B" w:rsidRPr="0089644C">
        <w:rPr>
          <w:rFonts w:ascii="Times New Roman" w:hAnsi="Times New Roman"/>
          <w:sz w:val="24"/>
          <w:szCs w:val="24"/>
          <w:lang w:val="en-GB"/>
        </w:rPr>
        <w:t xml:space="preserve">This updating </w:t>
      </w:r>
      <w:r w:rsidR="00225D8F" w:rsidRPr="0089644C">
        <w:rPr>
          <w:rFonts w:ascii="Times New Roman" w:hAnsi="Times New Roman"/>
          <w:sz w:val="24"/>
          <w:szCs w:val="24"/>
          <w:lang w:val="en-GB"/>
        </w:rPr>
        <w:t>is focus on selected files of the representatives and reporting units, weight structure, price base and the concept of calculation.</w:t>
      </w:r>
      <w:r w:rsidR="002632BB" w:rsidRPr="0089644C">
        <w:rPr>
          <w:rFonts w:ascii="Times New Roman" w:hAnsi="Times New Roman"/>
          <w:sz w:val="24"/>
          <w:szCs w:val="24"/>
          <w:lang w:val="en-GB"/>
        </w:rPr>
        <w:t xml:space="preserve"> Revision of price indices of m</w:t>
      </w:r>
      <w:r w:rsidR="00FC5EF0" w:rsidRPr="0089644C">
        <w:rPr>
          <w:rFonts w:ascii="Times New Roman" w:hAnsi="Times New Roman"/>
          <w:sz w:val="24"/>
          <w:szCs w:val="24"/>
          <w:lang w:val="en-GB"/>
        </w:rPr>
        <w:t xml:space="preserve">arket services is doing every 5 </w:t>
      </w:r>
      <w:r w:rsidR="002632BB" w:rsidRPr="0089644C">
        <w:rPr>
          <w:rFonts w:ascii="Times New Roman" w:hAnsi="Times New Roman"/>
          <w:sz w:val="24"/>
          <w:szCs w:val="24"/>
          <w:lang w:val="en-GB"/>
        </w:rPr>
        <w:t>years.</w:t>
      </w:r>
    </w:p>
    <w:p w:rsidR="008F39F7" w:rsidRPr="003816DF" w:rsidRDefault="00C52EDD" w:rsidP="00246136">
      <w:pPr>
        <w:spacing w:after="0"/>
        <w:jc w:val="both"/>
        <w:rPr>
          <w:color w:val="FF0000"/>
          <w:lang w:val="en-GB"/>
        </w:rPr>
      </w:pPr>
      <w:r w:rsidRPr="003816DF">
        <w:rPr>
          <w:color w:val="FF0000"/>
        </w:rPr>
        <w:br/>
      </w:r>
      <w:r w:rsidR="00B74BEB" w:rsidRPr="00E45145">
        <w:rPr>
          <w:rFonts w:ascii="Times New Roman" w:hAnsi="Times New Roman"/>
          <w:sz w:val="24"/>
          <w:szCs w:val="24"/>
          <w:lang w:val="en-GB"/>
        </w:rPr>
        <w:t>During the year 2023</w:t>
      </w:r>
      <w:r w:rsidRPr="00E45145">
        <w:rPr>
          <w:rFonts w:ascii="Times New Roman" w:hAnsi="Times New Roman"/>
          <w:sz w:val="24"/>
          <w:szCs w:val="24"/>
          <w:lang w:val="en-GB"/>
        </w:rPr>
        <w:t xml:space="preserve"> a complex standard revision of price indices </w:t>
      </w:r>
      <w:r w:rsidR="00E62AFF" w:rsidRPr="00E45145">
        <w:rPr>
          <w:rFonts w:ascii="Times New Roman" w:hAnsi="Times New Roman"/>
          <w:sz w:val="24"/>
          <w:szCs w:val="24"/>
          <w:lang w:val="en-GB"/>
        </w:rPr>
        <w:t xml:space="preserve">in market services </w:t>
      </w:r>
      <w:r w:rsidRPr="00E45145">
        <w:rPr>
          <w:rFonts w:ascii="Times New Roman" w:hAnsi="Times New Roman"/>
          <w:sz w:val="24"/>
          <w:szCs w:val="24"/>
          <w:lang w:val="en-GB"/>
        </w:rPr>
        <w:t>had ta</w:t>
      </w:r>
      <w:r w:rsidR="00064DF9" w:rsidRPr="00E45145">
        <w:rPr>
          <w:rFonts w:ascii="Times New Roman" w:hAnsi="Times New Roman"/>
          <w:sz w:val="24"/>
          <w:szCs w:val="24"/>
          <w:lang w:val="en-GB"/>
        </w:rPr>
        <w:t>ken place</w:t>
      </w:r>
      <w:r w:rsidR="00E45145" w:rsidRPr="00E45145">
        <w:rPr>
          <w:rFonts w:ascii="Times New Roman" w:hAnsi="Times New Roman"/>
          <w:sz w:val="24"/>
          <w:szCs w:val="24"/>
          <w:lang w:val="en-GB"/>
        </w:rPr>
        <w:t xml:space="preserve">. Since January </w:t>
      </w:r>
      <w:r w:rsidR="00E45145" w:rsidRPr="00DE4257">
        <w:rPr>
          <w:rFonts w:ascii="Times New Roman" w:hAnsi="Times New Roman"/>
          <w:sz w:val="24"/>
          <w:szCs w:val="24"/>
          <w:lang w:val="en-GB"/>
        </w:rPr>
        <w:t>2024</w:t>
      </w:r>
      <w:r w:rsidRPr="00DE4257">
        <w:rPr>
          <w:rFonts w:ascii="Times New Roman" w:hAnsi="Times New Roman"/>
          <w:sz w:val="24"/>
          <w:szCs w:val="24"/>
          <w:lang w:val="en-GB"/>
        </w:rPr>
        <w:t xml:space="preserve"> was started the calc</w:t>
      </w:r>
      <w:r w:rsidR="00E45145" w:rsidRPr="00DE4257">
        <w:rPr>
          <w:rFonts w:ascii="Times New Roman" w:hAnsi="Times New Roman"/>
          <w:sz w:val="24"/>
          <w:szCs w:val="24"/>
          <w:lang w:val="en-GB"/>
        </w:rPr>
        <w:t>ulation on the structure of 2021</w:t>
      </w:r>
      <w:r w:rsidRPr="00DE4257">
        <w:rPr>
          <w:rFonts w:ascii="Times New Roman" w:hAnsi="Times New Roman"/>
          <w:sz w:val="24"/>
          <w:szCs w:val="24"/>
          <w:lang w:val="en-GB"/>
        </w:rPr>
        <w:t xml:space="preserve"> sales w</w:t>
      </w:r>
      <w:r w:rsidR="00064DF9" w:rsidRPr="00DE4257">
        <w:rPr>
          <w:rFonts w:ascii="Times New Roman" w:hAnsi="Times New Roman"/>
          <w:sz w:val="24"/>
          <w:szCs w:val="24"/>
          <w:lang w:val="en-GB"/>
        </w:rPr>
        <w:t>ith the</w:t>
      </w:r>
      <w:r w:rsidR="00E4769E" w:rsidRPr="00DE4257">
        <w:rPr>
          <w:rFonts w:ascii="Times New Roman" w:hAnsi="Times New Roman"/>
          <w:sz w:val="24"/>
          <w:szCs w:val="24"/>
          <w:lang w:val="en-GB"/>
        </w:rPr>
        <w:t xml:space="preserve"> new</w:t>
      </w:r>
      <w:r w:rsidR="00912AA7" w:rsidRPr="00DE4257">
        <w:rPr>
          <w:rFonts w:ascii="Times New Roman" w:hAnsi="Times New Roman"/>
          <w:sz w:val="24"/>
          <w:szCs w:val="24"/>
          <w:lang w:val="en-GB"/>
        </w:rPr>
        <w:t xml:space="preserve"> price </w:t>
      </w:r>
      <w:r w:rsidR="00912AA7" w:rsidRPr="00691A0B">
        <w:rPr>
          <w:rFonts w:ascii="Times New Roman" w:hAnsi="Times New Roman"/>
          <w:sz w:val="24"/>
          <w:szCs w:val="24"/>
          <w:lang w:val="en-GB"/>
        </w:rPr>
        <w:t xml:space="preserve">base </w:t>
      </w:r>
      <w:r w:rsidR="006D6504" w:rsidRPr="00691A0B">
        <w:rPr>
          <w:rFonts w:ascii="Times New Roman" w:hAnsi="Times New Roman"/>
          <w:sz w:val="24"/>
          <w:szCs w:val="24"/>
          <w:lang w:val="en-US"/>
        </w:rPr>
        <w:t>“</w:t>
      </w:r>
      <w:r w:rsidR="00DE4257" w:rsidRPr="00691A0B">
        <w:rPr>
          <w:rFonts w:ascii="Times New Roman" w:hAnsi="Times New Roman"/>
          <w:sz w:val="24"/>
          <w:szCs w:val="24"/>
          <w:lang w:val="en-GB"/>
        </w:rPr>
        <w:t xml:space="preserve">average </w:t>
      </w:r>
      <w:r w:rsidR="00DE4257" w:rsidRPr="000C30E5">
        <w:rPr>
          <w:rFonts w:ascii="Times New Roman" w:hAnsi="Times New Roman"/>
          <w:sz w:val="24"/>
          <w:szCs w:val="24"/>
          <w:lang w:val="en-GB"/>
        </w:rPr>
        <w:t>2021</w:t>
      </w:r>
      <w:r w:rsidRPr="000C30E5">
        <w:rPr>
          <w:rFonts w:ascii="Times New Roman" w:hAnsi="Times New Roman"/>
          <w:sz w:val="24"/>
          <w:szCs w:val="24"/>
          <w:lang w:val="en-GB"/>
        </w:rPr>
        <w:t xml:space="preserve"> = 100</w:t>
      </w:r>
      <w:r w:rsidR="006D6504" w:rsidRPr="000C30E5">
        <w:rPr>
          <w:rFonts w:ascii="Times New Roman" w:hAnsi="Times New Roman"/>
          <w:sz w:val="24"/>
          <w:szCs w:val="24"/>
          <w:lang w:val="en-GB"/>
        </w:rPr>
        <w:t>”</w:t>
      </w:r>
      <w:r w:rsidRPr="000C30E5">
        <w:rPr>
          <w:rFonts w:ascii="Times New Roman" w:hAnsi="Times New Roman"/>
          <w:sz w:val="24"/>
          <w:szCs w:val="24"/>
          <w:lang w:val="en-GB"/>
        </w:rPr>
        <w:t>.</w:t>
      </w:r>
      <w:r w:rsidR="008A4C6E" w:rsidRPr="000C30E5">
        <w:rPr>
          <w:rFonts w:ascii="Times New Roman" w:hAnsi="Times New Roman"/>
          <w:sz w:val="24"/>
          <w:szCs w:val="24"/>
          <w:lang w:val="en-GB"/>
        </w:rPr>
        <w:t xml:space="preserve"> The newly</w:t>
      </w:r>
      <w:r w:rsidR="0006255C" w:rsidRPr="000C30E5">
        <w:rPr>
          <w:rFonts w:ascii="Times New Roman" w:hAnsi="Times New Roman"/>
          <w:sz w:val="24"/>
          <w:szCs w:val="24"/>
          <w:lang w:val="en-GB"/>
        </w:rPr>
        <w:t xml:space="preserve"> c</w:t>
      </w:r>
      <w:r w:rsidR="009A7835" w:rsidRPr="000C30E5">
        <w:rPr>
          <w:rFonts w:ascii="Times New Roman" w:hAnsi="Times New Roman"/>
          <w:sz w:val="24"/>
          <w:szCs w:val="24"/>
          <w:lang w:val="en-GB"/>
        </w:rPr>
        <w:t>alculated technical indices were</w:t>
      </w:r>
      <w:r w:rsidR="0006255C" w:rsidRPr="000C30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A4C6E" w:rsidRPr="000C30E5">
        <w:rPr>
          <w:rFonts w:ascii="Times New Roman" w:hAnsi="Times New Roman"/>
          <w:sz w:val="24"/>
          <w:szCs w:val="24"/>
          <w:lang w:val="en-GB"/>
        </w:rPr>
        <w:t>chained to the index basis “2015 average = 100”</w:t>
      </w:r>
      <w:r w:rsidR="006E37D7" w:rsidRPr="000C30E5">
        <w:rPr>
          <w:rFonts w:ascii="Times New Roman" w:hAnsi="Times New Roman"/>
          <w:sz w:val="24"/>
          <w:szCs w:val="24"/>
          <w:lang w:val="en-GB"/>
        </w:rPr>
        <w:t xml:space="preserve"> in December 2023. </w:t>
      </w:r>
      <w:r w:rsidR="008A4C6E" w:rsidRPr="000C30E5">
        <w:rPr>
          <w:rFonts w:ascii="Times New Roman" w:hAnsi="Times New Roman"/>
          <w:sz w:val="24"/>
          <w:szCs w:val="24"/>
          <w:lang w:val="en-GB"/>
        </w:rPr>
        <w:t>This preserves the continuity of the existing time series.</w:t>
      </w:r>
      <w:r w:rsidR="008A4C6E" w:rsidRPr="008A4C6E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</w:p>
    <w:p w:rsidR="00A20787" w:rsidRPr="00B70654" w:rsidRDefault="00A20787" w:rsidP="0024613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787" w:rsidRPr="00B70654" w:rsidRDefault="002C6CF8" w:rsidP="0024613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0654">
        <w:rPr>
          <w:rFonts w:ascii="Times New Roman" w:hAnsi="Times New Roman"/>
          <w:sz w:val="24"/>
          <w:szCs w:val="24"/>
          <w:lang w:val="en-US"/>
        </w:rPr>
        <w:t>Within some divisions of services included in CZ-CPA some</w:t>
      </w:r>
      <w:r w:rsidR="00E4769E" w:rsidRPr="00B70654">
        <w:rPr>
          <w:rFonts w:ascii="Times New Roman" w:hAnsi="Times New Roman"/>
          <w:sz w:val="24"/>
          <w:szCs w:val="24"/>
          <w:lang w:val="en-US"/>
        </w:rPr>
        <w:t xml:space="preserve"> following</w:t>
      </w:r>
      <w:r w:rsidRPr="00B7065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769E" w:rsidRPr="00B70654">
        <w:rPr>
          <w:rFonts w:ascii="Times New Roman" w:hAnsi="Times New Roman"/>
          <w:sz w:val="24"/>
          <w:szCs w:val="24"/>
          <w:lang w:val="en-US"/>
        </w:rPr>
        <w:t>groups of services were newly classified:</w:t>
      </w:r>
    </w:p>
    <w:p w:rsidR="00E4769E" w:rsidRPr="00291C65" w:rsidRDefault="00E4769E" w:rsidP="00730D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769E" w:rsidRPr="00291C65" w:rsidRDefault="00FA4586" w:rsidP="00FA4586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en-US"/>
        </w:rPr>
      </w:pPr>
      <w:r w:rsidRPr="00291C65">
        <w:rPr>
          <w:rFonts w:ascii="Times New Roman" w:hAnsi="Times New Roman"/>
          <w:sz w:val="24"/>
          <w:szCs w:val="24"/>
          <w:lang w:val="en-US"/>
        </w:rPr>
        <w:t>J59</w:t>
      </w:r>
      <w:r w:rsidRPr="00291C65">
        <w:rPr>
          <w:rFonts w:ascii="Times New Roman" w:hAnsi="Times New Roman"/>
          <w:sz w:val="24"/>
          <w:szCs w:val="24"/>
          <w:lang w:val="en-US"/>
        </w:rPr>
        <w:tab/>
        <w:t>Motion picture, video and television programme production services, sound recording and music publishing</w:t>
      </w:r>
    </w:p>
    <w:p w:rsidR="00FA4586" w:rsidRDefault="00FA4586" w:rsidP="00FA4586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en-US"/>
        </w:rPr>
      </w:pPr>
      <w:r w:rsidRPr="00291C65">
        <w:rPr>
          <w:rFonts w:ascii="Times New Roman" w:hAnsi="Times New Roman"/>
          <w:sz w:val="24"/>
          <w:szCs w:val="24"/>
          <w:lang w:val="en-US"/>
        </w:rPr>
        <w:t>J60</w:t>
      </w:r>
      <w:r w:rsidRPr="00291C65">
        <w:rPr>
          <w:rFonts w:ascii="Times New Roman" w:hAnsi="Times New Roman"/>
          <w:sz w:val="24"/>
          <w:szCs w:val="24"/>
          <w:lang w:val="en-US"/>
        </w:rPr>
        <w:tab/>
      </w:r>
      <w:r w:rsidR="00BB5657" w:rsidRPr="00291C65">
        <w:rPr>
          <w:rFonts w:ascii="Times New Roman" w:hAnsi="Times New Roman"/>
          <w:sz w:val="24"/>
          <w:szCs w:val="24"/>
          <w:lang w:val="en-US"/>
        </w:rPr>
        <w:t>Programming and broadcasting services</w:t>
      </w:r>
    </w:p>
    <w:p w:rsidR="002C6739" w:rsidRDefault="002C6739" w:rsidP="00FA4586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6739" w:rsidRPr="00C64C53" w:rsidRDefault="002C6739" w:rsidP="00FA4586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en-US"/>
        </w:rPr>
      </w:pPr>
      <w:r w:rsidRPr="00C64C53">
        <w:rPr>
          <w:rFonts w:ascii="Times New Roman" w:hAnsi="Times New Roman"/>
          <w:sz w:val="24"/>
          <w:szCs w:val="24"/>
          <w:lang w:val="en-US"/>
        </w:rPr>
        <w:t xml:space="preserve">The following service </w:t>
      </w:r>
      <w:r w:rsidR="002107A1" w:rsidRPr="00C64C53">
        <w:rPr>
          <w:rFonts w:ascii="Times New Roman" w:hAnsi="Times New Roman"/>
          <w:sz w:val="24"/>
          <w:szCs w:val="24"/>
          <w:lang w:val="en-US"/>
        </w:rPr>
        <w:t xml:space="preserve">divisons </w:t>
      </w:r>
      <w:r w:rsidR="00A366A3" w:rsidRPr="00C64C53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Pr="00C64C53">
        <w:rPr>
          <w:rFonts w:ascii="Times New Roman" w:hAnsi="Times New Roman"/>
          <w:sz w:val="24"/>
          <w:szCs w:val="24"/>
          <w:lang w:val="en-US"/>
        </w:rPr>
        <w:t>cancelled:</w:t>
      </w:r>
    </w:p>
    <w:p w:rsidR="006D6E88" w:rsidRPr="00C64C53" w:rsidRDefault="006D6E88" w:rsidP="00FA4586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6E88" w:rsidRPr="00823990" w:rsidRDefault="006D6E88" w:rsidP="006D6E88">
      <w:pPr>
        <w:pStyle w:val="Zkladntext2"/>
        <w:rPr>
          <w:rFonts w:ascii="Times New Roman" w:hAnsi="Times New Roman"/>
          <w:sz w:val="24"/>
          <w:lang w:val="en-GB"/>
        </w:rPr>
      </w:pPr>
      <w:r w:rsidRPr="00823990">
        <w:rPr>
          <w:rFonts w:ascii="Times New Roman" w:hAnsi="Times New Roman"/>
          <w:sz w:val="24"/>
        </w:rPr>
        <w:t>J64</w:t>
      </w:r>
      <w:r w:rsidRPr="00823990">
        <w:rPr>
          <w:rFonts w:ascii="Times New Roman" w:hAnsi="Times New Roman"/>
          <w:sz w:val="24"/>
        </w:rPr>
        <w:tab/>
      </w:r>
      <w:r w:rsidRPr="00823990">
        <w:rPr>
          <w:rStyle w:val="hps"/>
          <w:rFonts w:ascii="Times New Roman" w:hAnsi="Times New Roman"/>
          <w:sz w:val="24"/>
          <w:lang w:val="en-GB"/>
        </w:rPr>
        <w:t>Financial</w:t>
      </w:r>
      <w:r w:rsidRPr="00823990">
        <w:rPr>
          <w:rStyle w:val="longtext"/>
          <w:rFonts w:ascii="Times New Roman" w:hAnsi="Times New Roman"/>
          <w:sz w:val="24"/>
          <w:lang w:val="en-GB"/>
        </w:rPr>
        <w:t xml:space="preserve"> </w:t>
      </w:r>
      <w:r w:rsidRPr="00823990">
        <w:rPr>
          <w:rStyle w:val="hps"/>
          <w:rFonts w:ascii="Times New Roman" w:hAnsi="Times New Roman"/>
          <w:sz w:val="24"/>
          <w:lang w:val="en-GB"/>
        </w:rPr>
        <w:t>services</w:t>
      </w:r>
      <w:r w:rsidRPr="00823990">
        <w:rPr>
          <w:rStyle w:val="longtext"/>
          <w:rFonts w:ascii="Times New Roman" w:hAnsi="Times New Roman"/>
          <w:sz w:val="24"/>
          <w:lang w:val="en-GB"/>
        </w:rPr>
        <w:t xml:space="preserve"> </w:t>
      </w:r>
      <w:r w:rsidRPr="00823990">
        <w:rPr>
          <w:rStyle w:val="hps"/>
          <w:rFonts w:ascii="Times New Roman" w:hAnsi="Times New Roman"/>
          <w:sz w:val="24"/>
          <w:lang w:val="en-GB"/>
        </w:rPr>
        <w:t>except</w:t>
      </w:r>
      <w:r w:rsidRPr="00823990">
        <w:rPr>
          <w:rStyle w:val="longtext"/>
          <w:rFonts w:ascii="Times New Roman" w:hAnsi="Times New Roman"/>
          <w:sz w:val="24"/>
          <w:lang w:val="en-GB"/>
        </w:rPr>
        <w:t xml:space="preserve"> </w:t>
      </w:r>
      <w:r w:rsidRPr="00823990">
        <w:rPr>
          <w:rStyle w:val="hps"/>
          <w:rFonts w:ascii="Times New Roman" w:hAnsi="Times New Roman"/>
          <w:sz w:val="24"/>
          <w:lang w:val="en-GB"/>
        </w:rPr>
        <w:t>insurance</w:t>
      </w:r>
      <w:r w:rsidRPr="00823990">
        <w:rPr>
          <w:rStyle w:val="longtext"/>
          <w:rFonts w:ascii="Times New Roman" w:hAnsi="Times New Roman"/>
          <w:sz w:val="24"/>
          <w:lang w:val="en-GB"/>
        </w:rPr>
        <w:t xml:space="preserve"> </w:t>
      </w:r>
      <w:r w:rsidRPr="00823990">
        <w:rPr>
          <w:rStyle w:val="hps"/>
          <w:rFonts w:ascii="Times New Roman" w:hAnsi="Times New Roman"/>
          <w:sz w:val="24"/>
          <w:lang w:val="en-GB"/>
        </w:rPr>
        <w:t>and</w:t>
      </w:r>
      <w:r w:rsidRPr="00823990">
        <w:rPr>
          <w:rStyle w:val="longtext"/>
          <w:rFonts w:ascii="Times New Roman" w:hAnsi="Times New Roman"/>
          <w:sz w:val="24"/>
          <w:lang w:val="en-GB"/>
        </w:rPr>
        <w:t xml:space="preserve"> </w:t>
      </w:r>
      <w:r w:rsidRPr="00823990">
        <w:rPr>
          <w:rStyle w:val="hps"/>
          <w:rFonts w:ascii="Times New Roman" w:hAnsi="Times New Roman"/>
          <w:sz w:val="24"/>
          <w:lang w:val="en-GB"/>
        </w:rPr>
        <w:t>pension funding</w:t>
      </w:r>
    </w:p>
    <w:p w:rsidR="00FA4586" w:rsidRPr="00823990" w:rsidRDefault="00FA4586" w:rsidP="0024613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1C64" w:rsidRPr="00823990" w:rsidRDefault="00DE0F22">
      <w:r w:rsidRPr="00823990">
        <w:rPr>
          <w:rFonts w:ascii="Times New Roman" w:hAnsi="Times New Roman"/>
          <w:b/>
          <w:sz w:val="24"/>
          <w:szCs w:val="24"/>
          <w:lang w:val="en-GB"/>
        </w:rPr>
        <w:t xml:space="preserve">Table: </w:t>
      </w:r>
      <w:r w:rsidR="00AC139A" w:rsidRPr="00823990">
        <w:rPr>
          <w:rFonts w:ascii="Times New Roman" w:hAnsi="Times New Roman"/>
          <w:b/>
          <w:sz w:val="24"/>
          <w:szCs w:val="24"/>
          <w:lang w:val="en-GB"/>
        </w:rPr>
        <w:t>The structure of the monitored sections of market services and their weight structure</w:t>
      </w:r>
      <w:r w:rsidR="00823990" w:rsidRPr="00823990">
        <w:rPr>
          <w:rFonts w:ascii="Times New Roman" w:hAnsi="Times New Roman"/>
          <w:b/>
          <w:sz w:val="24"/>
          <w:szCs w:val="24"/>
          <w:lang w:val="en-GB"/>
        </w:rPr>
        <w:t xml:space="preserve"> in years 2015 and 2021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134"/>
        <w:gridCol w:w="1134"/>
      </w:tblGrid>
      <w:tr w:rsidR="00D50F1A" w:rsidRPr="00931FAE" w:rsidTr="00F52141">
        <w:tc>
          <w:tcPr>
            <w:tcW w:w="675" w:type="dxa"/>
          </w:tcPr>
          <w:p w:rsidR="00D50F1A" w:rsidRPr="00C111F0" w:rsidRDefault="00D50F1A" w:rsidP="00F52141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11F0">
              <w:rPr>
                <w:rFonts w:ascii="Arial" w:hAnsi="Arial" w:cs="Arial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6663" w:type="dxa"/>
          </w:tcPr>
          <w:p w:rsidR="00D50F1A" w:rsidRPr="00C111F0" w:rsidRDefault="00D50F1A" w:rsidP="00F52141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11F0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34" w:type="dxa"/>
          </w:tcPr>
          <w:p w:rsidR="00D50F1A" w:rsidRPr="00C111F0" w:rsidRDefault="00D50F1A" w:rsidP="00F52141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11F0">
              <w:rPr>
                <w:rFonts w:ascii="Arial" w:hAnsi="Arial" w:cs="Arial"/>
                <w:b/>
                <w:sz w:val="20"/>
                <w:szCs w:val="20"/>
                <w:lang w:val="en-US"/>
              </w:rPr>
              <w:t>Weights 2015 (‰)</w:t>
            </w:r>
          </w:p>
        </w:tc>
        <w:tc>
          <w:tcPr>
            <w:tcW w:w="1134" w:type="dxa"/>
          </w:tcPr>
          <w:p w:rsidR="00D50F1A" w:rsidRPr="00C111F0" w:rsidRDefault="00D50F1A" w:rsidP="00F52141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11F0">
              <w:rPr>
                <w:rFonts w:ascii="Arial" w:hAnsi="Arial" w:cs="Arial"/>
                <w:b/>
                <w:sz w:val="20"/>
                <w:szCs w:val="20"/>
                <w:lang w:val="en-US"/>
              </w:rPr>
              <w:t>Weights 2021 (‰)</w:t>
            </w:r>
          </w:p>
        </w:tc>
      </w:tr>
      <w:tr w:rsidR="00D50F1A" w:rsidRPr="00C41090" w:rsidTr="00F52141">
        <w:tc>
          <w:tcPr>
            <w:tcW w:w="675" w:type="dxa"/>
          </w:tcPr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H49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H50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H52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H53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J58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3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J59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J60</w:t>
            </w:r>
          </w:p>
          <w:p w:rsidR="00D50F1A" w:rsidRPr="00C41090" w:rsidRDefault="00D50F1A" w:rsidP="00F5214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J61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J62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J63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3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K65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L68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M69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M70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M71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M73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M74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N77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N78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N80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N81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N82</w:t>
            </w:r>
          </w:p>
        </w:tc>
        <w:tc>
          <w:tcPr>
            <w:tcW w:w="6663" w:type="dxa"/>
          </w:tcPr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C4109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lastRenderedPageBreak/>
              <w:t>TOTAL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Land transport services and transport services via pipelines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Water transport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Warehousing and support services for transportation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Postal and courier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Publishing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Motion picture, video and television programme production services, sound recording and music publishing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Programming and broadcasting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Telecommunication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Computer programming, consultancy and relates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Information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Insurance, reinsurance and pension funding except compulsory social security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Real estate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Law and accounting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Services of head offices; management consulting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Architectural and engineering services, technical testing and analysis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Advertising and market research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Other professional, scientific and technical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Rental and leasing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Employment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Security and investigation services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Services to buildings and landscape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090">
              <w:rPr>
                <w:rFonts w:ascii="Arial" w:hAnsi="Arial" w:cs="Arial"/>
                <w:sz w:val="20"/>
                <w:szCs w:val="20"/>
                <w:lang w:val="en-US"/>
              </w:rPr>
              <w:t>Office administrative, office support and other business support services</w:t>
            </w:r>
          </w:p>
        </w:tc>
        <w:tc>
          <w:tcPr>
            <w:tcW w:w="1134" w:type="dxa"/>
          </w:tcPr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lastRenderedPageBreak/>
              <w:t>1000,000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160,004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0,425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78,125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25,835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13,680</w:t>
            </w:r>
          </w:p>
          <w:p w:rsidR="00D50F1A" w:rsidRPr="00C41090" w:rsidRDefault="00D50F1A" w:rsidP="00F52141">
            <w:pPr>
              <w:pStyle w:val="Normlnweb"/>
              <w:spacing w:before="0" w:beforeAutospacing="0" w:after="0" w:afterAutospacing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50F1A" w:rsidRPr="00C41090" w:rsidRDefault="00D50F1A" w:rsidP="00F52141">
            <w:pPr>
              <w:pStyle w:val="Normln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82,623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103,070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21,456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24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62,381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118,913</w:t>
            </w:r>
          </w:p>
          <w:p w:rsidR="00D50F1A" w:rsidRPr="00C41090" w:rsidRDefault="00D50F1A" w:rsidP="00336542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lastRenderedPageBreak/>
              <w:t>28,802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25,548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74,078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58,563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0,966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27,997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26,076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14,435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17,475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3,564</w:t>
            </w:r>
          </w:p>
        </w:tc>
        <w:tc>
          <w:tcPr>
            <w:tcW w:w="1134" w:type="dxa"/>
          </w:tcPr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lastRenderedPageBreak/>
              <w:t>1000,000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134,467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0,283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109,031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23,748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9,456</w:t>
            </w:r>
          </w:p>
          <w:p w:rsidR="00D50F1A" w:rsidRPr="00C41090" w:rsidRDefault="00D50F1A" w:rsidP="00F52141">
            <w:pPr>
              <w:pStyle w:val="Normlnweb"/>
              <w:spacing w:before="0" w:beforeAutospacing="0" w:after="0" w:afterAutospacing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10,539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8,752</w:t>
            </w:r>
          </w:p>
          <w:p w:rsidR="00D50F1A" w:rsidRPr="00C41090" w:rsidRDefault="00D50F1A" w:rsidP="00F52141">
            <w:pPr>
              <w:pStyle w:val="Normln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52,85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125,636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26,195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24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47,445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165,228</w:t>
            </w:r>
          </w:p>
          <w:p w:rsidR="00D50F1A" w:rsidRPr="00C41090" w:rsidRDefault="00D50F1A" w:rsidP="00336542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lastRenderedPageBreak/>
              <w:t>48,081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28,073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66,94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57,272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2,965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23,776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23,049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14,46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20,391</w:t>
            </w:r>
          </w:p>
          <w:p w:rsidR="00D50F1A" w:rsidRPr="00C41090" w:rsidRDefault="00D50F1A" w:rsidP="00F52141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090">
              <w:rPr>
                <w:rFonts w:ascii="Arial" w:hAnsi="Arial" w:cs="Arial"/>
                <w:sz w:val="20"/>
                <w:szCs w:val="20"/>
              </w:rPr>
              <w:t>1,361</w:t>
            </w:r>
          </w:p>
        </w:tc>
      </w:tr>
    </w:tbl>
    <w:p w:rsidR="00E2304D" w:rsidRPr="003816DF" w:rsidRDefault="00E2304D" w:rsidP="00E2304D">
      <w:pPr>
        <w:spacing w:after="15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B806B3" w:rsidRPr="0036076F" w:rsidRDefault="00B806B3" w:rsidP="00B806B3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36076F">
        <w:rPr>
          <w:rFonts w:ascii="Times New Roman" w:hAnsi="Times New Roman"/>
          <w:b/>
          <w:sz w:val="24"/>
          <w:szCs w:val="24"/>
          <w:lang w:val="en-GB"/>
        </w:rPr>
        <w:t>Graph:</w:t>
      </w:r>
      <w:r w:rsidR="004C72A6" w:rsidRPr="0036076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D7F03" w:rsidRPr="0036076F">
        <w:rPr>
          <w:rFonts w:ascii="Times New Roman" w:hAnsi="Times New Roman"/>
          <w:b/>
          <w:sz w:val="24"/>
          <w:szCs w:val="24"/>
          <w:lang w:val="en-GB"/>
        </w:rPr>
        <w:t xml:space="preserve">Weight structure in </w:t>
      </w:r>
      <w:r w:rsidR="0036076F" w:rsidRPr="0036076F">
        <w:rPr>
          <w:rFonts w:ascii="Times New Roman" w:hAnsi="Times New Roman"/>
          <w:b/>
          <w:sz w:val="24"/>
          <w:szCs w:val="24"/>
          <w:lang w:val="en-GB"/>
        </w:rPr>
        <w:t>years 2015</w:t>
      </w:r>
      <w:r w:rsidR="00466177" w:rsidRPr="0036076F">
        <w:rPr>
          <w:rFonts w:ascii="Times New Roman" w:hAnsi="Times New Roman"/>
          <w:b/>
          <w:sz w:val="24"/>
          <w:szCs w:val="24"/>
          <w:lang w:val="en-GB"/>
        </w:rPr>
        <w:t xml:space="preserve"> and </w:t>
      </w:r>
      <w:r w:rsidR="0036076F" w:rsidRPr="0036076F">
        <w:rPr>
          <w:rFonts w:ascii="Times New Roman" w:hAnsi="Times New Roman"/>
          <w:b/>
          <w:sz w:val="24"/>
          <w:szCs w:val="24"/>
          <w:lang w:val="en-GB"/>
        </w:rPr>
        <w:t>2021</w:t>
      </w:r>
      <w:r w:rsidR="00A03AFD" w:rsidRPr="0036076F">
        <w:rPr>
          <w:rFonts w:ascii="Times New Roman" w:hAnsi="Times New Roman"/>
          <w:b/>
          <w:sz w:val="24"/>
          <w:szCs w:val="24"/>
          <w:lang w:val="en-GB"/>
        </w:rPr>
        <w:t xml:space="preserve"> (v </w:t>
      </w:r>
      <w:r w:rsidR="00A03AFD" w:rsidRPr="0036076F">
        <w:rPr>
          <w:rFonts w:ascii="Times New Roman" w:hAnsi="Times New Roman"/>
          <w:b/>
          <w:sz w:val="24"/>
          <w:szCs w:val="24"/>
        </w:rPr>
        <w:t>‰)</w:t>
      </w:r>
    </w:p>
    <w:p w:rsidR="00B806B3" w:rsidRPr="003816DF" w:rsidRDefault="009B6F99" w:rsidP="00B806B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7545" cy="3456940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581C" w:rsidRDefault="0029581C" w:rsidP="00070ADA">
      <w:pPr>
        <w:pStyle w:val="Normlnweb"/>
        <w:spacing w:before="0" w:beforeAutospacing="0" w:after="0" w:afterAutospacing="0"/>
        <w:rPr>
          <w:b/>
          <w:bCs/>
          <w:color w:val="FF0000"/>
          <w:lang w:val="en-GB"/>
        </w:rPr>
      </w:pPr>
    </w:p>
    <w:p w:rsidR="00070ADA" w:rsidRPr="0006050C" w:rsidRDefault="00C52EDD" w:rsidP="00070ADA">
      <w:pPr>
        <w:pStyle w:val="Normlnweb"/>
        <w:spacing w:before="0" w:beforeAutospacing="0" w:after="0" w:afterAutospacing="0"/>
        <w:rPr>
          <w:b/>
          <w:bCs/>
        </w:rPr>
      </w:pPr>
      <w:r w:rsidRPr="0006050C">
        <w:rPr>
          <w:b/>
          <w:bCs/>
          <w:lang w:val="en-GB"/>
        </w:rPr>
        <w:t>The</w:t>
      </w:r>
      <w:r w:rsidRPr="0006050C">
        <w:rPr>
          <w:b/>
          <w:bCs/>
        </w:rPr>
        <w:t xml:space="preserve"> history of revision after the year 1989</w:t>
      </w:r>
    </w:p>
    <w:p w:rsidR="00235811" w:rsidRPr="0006050C" w:rsidRDefault="00C52EDD" w:rsidP="009206E6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06050C">
        <w:br/>
      </w:r>
      <w:r w:rsidR="00235811" w:rsidRPr="0006050C">
        <w:rPr>
          <w:lang w:val="en-GB"/>
        </w:rPr>
        <w:t xml:space="preserve">The first price indices of selected market services (Inland freight transport and sewerage) were calculated on the 1990 weights, with price and index base </w:t>
      </w:r>
      <w:r w:rsidR="0087155E" w:rsidRPr="0006050C">
        <w:rPr>
          <w:lang w:val="en-GB"/>
        </w:rPr>
        <w:t>“</w:t>
      </w:r>
      <w:r w:rsidR="00235811" w:rsidRPr="0006050C">
        <w:rPr>
          <w:lang w:val="en-GB"/>
        </w:rPr>
        <w:t>January 1990 = 100</w:t>
      </w:r>
      <w:r w:rsidR="0087155E" w:rsidRPr="0006050C">
        <w:rPr>
          <w:lang w:val="en-GB"/>
        </w:rPr>
        <w:t>”</w:t>
      </w:r>
      <w:r w:rsidR="00235811" w:rsidRPr="0006050C">
        <w:rPr>
          <w:lang w:val="en-GB"/>
        </w:rPr>
        <w:t>. These prices indices were calculated in January 1994.</w:t>
      </w:r>
    </w:p>
    <w:p w:rsidR="00E60530" w:rsidRPr="003816DF" w:rsidRDefault="00E60530" w:rsidP="009206E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</w:p>
    <w:p w:rsidR="007E7DA3" w:rsidRPr="00FA714E" w:rsidRDefault="007E7DA3" w:rsidP="00D078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6E3456">
        <w:rPr>
          <w:rFonts w:ascii="Times New Roman" w:hAnsi="Times New Roman"/>
          <w:sz w:val="24"/>
          <w:szCs w:val="24"/>
          <w:lang w:val="en-GB"/>
        </w:rPr>
        <w:t xml:space="preserve">After revision 1994, indices for the period 1995 – 2000 were calculated on the 1993 weights, with price and index base December 1993 and the derived index base </w:t>
      </w:r>
      <w:r w:rsidR="0087155E" w:rsidRPr="006E3456">
        <w:rPr>
          <w:rFonts w:ascii="Times New Roman" w:hAnsi="Times New Roman"/>
          <w:sz w:val="24"/>
          <w:szCs w:val="24"/>
          <w:lang w:val="en-GB"/>
        </w:rPr>
        <w:t>“</w:t>
      </w:r>
      <w:r w:rsidRPr="006E3456">
        <w:rPr>
          <w:rFonts w:ascii="Times New Roman" w:hAnsi="Times New Roman"/>
          <w:sz w:val="24"/>
          <w:szCs w:val="24"/>
          <w:lang w:val="en-GB"/>
        </w:rPr>
        <w:t>1994 average = 100</w:t>
      </w:r>
      <w:r w:rsidR="0087155E" w:rsidRPr="006E3456">
        <w:rPr>
          <w:rFonts w:ascii="Times New Roman" w:hAnsi="Times New Roman"/>
          <w:sz w:val="24"/>
          <w:szCs w:val="24"/>
          <w:lang w:val="en-GB"/>
        </w:rPr>
        <w:t>”</w:t>
      </w:r>
      <w:r w:rsidRPr="006E345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A714E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“</w:t>
      </w:r>
      <w:r w:rsidRPr="00FA714E">
        <w:rPr>
          <w:rFonts w:ascii="Times New Roman" w:hAnsi="Times New Roman"/>
          <w:sz w:val="24"/>
          <w:szCs w:val="24"/>
          <w:lang w:val="en-GB"/>
        </w:rPr>
        <w:t>1995 average = 100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”</w:t>
      </w:r>
      <w:r w:rsidRPr="00FA714E">
        <w:rPr>
          <w:rFonts w:ascii="Times New Roman" w:hAnsi="Times New Roman"/>
          <w:sz w:val="24"/>
          <w:szCs w:val="24"/>
          <w:lang w:val="en-GB"/>
        </w:rPr>
        <w:t>.</w:t>
      </w:r>
    </w:p>
    <w:p w:rsidR="00BB2190" w:rsidRPr="00FA714E" w:rsidRDefault="00BB2190" w:rsidP="00D078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FA714E">
        <w:rPr>
          <w:rFonts w:ascii="Times New Roman" w:hAnsi="Times New Roman"/>
          <w:sz w:val="24"/>
          <w:szCs w:val="24"/>
          <w:lang w:val="en-GB"/>
        </w:rPr>
        <w:t xml:space="preserve">After revision 2000, indices for the period 2001 – 2006 were calculated on the 1999 weights, with price and index base 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“</w:t>
      </w:r>
      <w:r w:rsidRPr="00FA714E">
        <w:rPr>
          <w:rFonts w:ascii="Times New Roman" w:hAnsi="Times New Roman"/>
          <w:sz w:val="24"/>
          <w:szCs w:val="24"/>
          <w:lang w:val="en-GB"/>
        </w:rPr>
        <w:t>December 1999 = 100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”</w:t>
      </w:r>
      <w:r w:rsidRPr="00FA714E">
        <w:rPr>
          <w:rFonts w:ascii="Times New Roman" w:hAnsi="Times New Roman"/>
          <w:sz w:val="24"/>
          <w:szCs w:val="24"/>
          <w:lang w:val="en-GB"/>
        </w:rPr>
        <w:t xml:space="preserve"> and the derived index base 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“</w:t>
      </w:r>
      <w:r w:rsidRPr="00FA714E">
        <w:rPr>
          <w:rFonts w:ascii="Times New Roman" w:hAnsi="Times New Roman"/>
          <w:sz w:val="24"/>
          <w:szCs w:val="24"/>
          <w:lang w:val="en-GB"/>
        </w:rPr>
        <w:t>2000 average = 100</w:t>
      </w:r>
      <w:r w:rsidR="0087155E" w:rsidRPr="00FA714E">
        <w:rPr>
          <w:rFonts w:ascii="Times New Roman" w:hAnsi="Times New Roman"/>
          <w:sz w:val="24"/>
          <w:szCs w:val="24"/>
          <w:lang w:val="en-GB"/>
        </w:rPr>
        <w:t>”</w:t>
      </w:r>
      <w:r w:rsidRPr="00FA714E">
        <w:rPr>
          <w:rFonts w:ascii="Times New Roman" w:hAnsi="Times New Roman"/>
          <w:sz w:val="24"/>
          <w:szCs w:val="24"/>
          <w:lang w:val="en-GB"/>
        </w:rPr>
        <w:t>.</w:t>
      </w:r>
    </w:p>
    <w:p w:rsidR="004F6B08" w:rsidRPr="00350007" w:rsidRDefault="004F6B08" w:rsidP="00D078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50007">
        <w:rPr>
          <w:rFonts w:ascii="Times New Roman" w:hAnsi="Times New Roman"/>
          <w:sz w:val="24"/>
          <w:szCs w:val="24"/>
          <w:lang w:val="en-GB"/>
        </w:rPr>
        <w:lastRenderedPageBreak/>
        <w:t xml:space="preserve">After revision 2005, indices for the period 2007 – 2012 were calculated on the 2005 weights with price and index base </w:t>
      </w:r>
      <w:r w:rsidR="0087155E" w:rsidRPr="00350007">
        <w:rPr>
          <w:rFonts w:ascii="Times New Roman" w:hAnsi="Times New Roman"/>
          <w:sz w:val="24"/>
          <w:szCs w:val="24"/>
          <w:lang w:val="en-US"/>
        </w:rPr>
        <w:t>“</w:t>
      </w:r>
      <w:r w:rsidRPr="00350007">
        <w:rPr>
          <w:rFonts w:ascii="Times New Roman" w:hAnsi="Times New Roman"/>
          <w:sz w:val="24"/>
          <w:szCs w:val="24"/>
          <w:lang w:val="en-GB"/>
        </w:rPr>
        <w:t>December 2005 = 100</w:t>
      </w:r>
      <w:r w:rsidR="0087155E" w:rsidRPr="00350007">
        <w:rPr>
          <w:rFonts w:ascii="Times New Roman" w:hAnsi="Times New Roman"/>
          <w:sz w:val="24"/>
          <w:szCs w:val="24"/>
          <w:lang w:val="en-GB"/>
        </w:rPr>
        <w:t>”</w:t>
      </w:r>
      <w:r w:rsidRPr="00350007">
        <w:rPr>
          <w:rFonts w:ascii="Times New Roman" w:hAnsi="Times New Roman"/>
          <w:sz w:val="24"/>
          <w:szCs w:val="24"/>
          <w:lang w:val="en-GB"/>
        </w:rPr>
        <w:t>.</w:t>
      </w:r>
    </w:p>
    <w:p w:rsidR="00E92F34" w:rsidRPr="000E6E13" w:rsidRDefault="00E92F34" w:rsidP="00D078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E6E13">
        <w:rPr>
          <w:rFonts w:ascii="Times New Roman" w:hAnsi="Times New Roman"/>
          <w:sz w:val="24"/>
          <w:szCs w:val="24"/>
          <w:lang w:val="en-GB"/>
        </w:rPr>
        <w:t xml:space="preserve">During the year 2008 was changed the classification and since January 2009 </w:t>
      </w:r>
      <w:r w:rsidR="00D0783D" w:rsidRPr="000E6E13">
        <w:rPr>
          <w:rFonts w:ascii="Times New Roman" w:hAnsi="Times New Roman"/>
          <w:sz w:val="24"/>
          <w:szCs w:val="24"/>
          <w:lang w:val="en-GB"/>
        </w:rPr>
        <w:t>are</w:t>
      </w:r>
      <w:r w:rsidRPr="000E6E13">
        <w:rPr>
          <w:rFonts w:ascii="Times New Roman" w:hAnsi="Times New Roman"/>
          <w:sz w:val="24"/>
          <w:szCs w:val="24"/>
          <w:lang w:val="en-GB"/>
        </w:rPr>
        <w:t xml:space="preserve"> all price indices set up, calculated and published in CZ-CPA 2008 classification.</w:t>
      </w:r>
    </w:p>
    <w:p w:rsidR="006D7F03" w:rsidRPr="00E468C2" w:rsidRDefault="006D7F03" w:rsidP="006D7F0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BB14CE">
        <w:rPr>
          <w:rFonts w:ascii="Times New Roman" w:hAnsi="Times New Roman"/>
          <w:sz w:val="24"/>
          <w:szCs w:val="24"/>
          <w:lang w:val="en-GB"/>
        </w:rPr>
        <w:t>After revision in 2012, the indices for the period 2013 to 2017 were calculated on the w</w:t>
      </w:r>
      <w:r w:rsidR="00816F49" w:rsidRPr="00BB14CE">
        <w:rPr>
          <w:rFonts w:ascii="Times New Roman" w:hAnsi="Times New Roman"/>
          <w:sz w:val="24"/>
          <w:szCs w:val="24"/>
          <w:lang w:val="en-GB"/>
        </w:rPr>
        <w:t xml:space="preserve">eights </w:t>
      </w:r>
      <w:r w:rsidR="00816F49" w:rsidRPr="00E468C2">
        <w:rPr>
          <w:rFonts w:ascii="Times New Roman" w:hAnsi="Times New Roman"/>
          <w:sz w:val="24"/>
          <w:szCs w:val="24"/>
          <w:lang w:val="en-GB"/>
        </w:rPr>
        <w:t>from 2011 to index base “2005 average = 100”</w:t>
      </w:r>
      <w:r w:rsidRPr="00E468C2">
        <w:rPr>
          <w:rFonts w:ascii="Times New Roman" w:hAnsi="Times New Roman"/>
          <w:sz w:val="24"/>
          <w:szCs w:val="24"/>
          <w:lang w:val="en-GB"/>
        </w:rPr>
        <w:t>.</w:t>
      </w:r>
    </w:p>
    <w:p w:rsidR="006D7F03" w:rsidRDefault="006D7F03" w:rsidP="006D7F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468C2">
        <w:rPr>
          <w:rFonts w:ascii="Times New Roman" w:hAnsi="Times New Roman"/>
          <w:sz w:val="24"/>
          <w:szCs w:val="24"/>
          <w:lang w:val="en-GB"/>
        </w:rPr>
        <w:t>After revision in 2017, the ind</w:t>
      </w:r>
      <w:r w:rsidR="00E468C2" w:rsidRPr="00E468C2">
        <w:rPr>
          <w:rFonts w:ascii="Times New Roman" w:hAnsi="Times New Roman"/>
          <w:sz w:val="24"/>
          <w:szCs w:val="24"/>
          <w:lang w:val="en-GB"/>
        </w:rPr>
        <w:t>ices for the period 2018 to 2023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468C2" w:rsidRPr="00E468C2">
        <w:rPr>
          <w:rFonts w:ascii="Times New Roman" w:hAnsi="Times New Roman"/>
          <w:sz w:val="24"/>
          <w:szCs w:val="24"/>
          <w:lang w:val="en-GB"/>
        </w:rPr>
        <w:t>were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calculated on the w</w:t>
      </w:r>
      <w:r w:rsidR="00816F49" w:rsidRPr="00E468C2">
        <w:rPr>
          <w:rFonts w:ascii="Times New Roman" w:hAnsi="Times New Roman"/>
          <w:sz w:val="24"/>
          <w:szCs w:val="24"/>
          <w:lang w:val="en-GB"/>
        </w:rPr>
        <w:t>eights from 2015 to index base “</w:t>
      </w:r>
      <w:r w:rsidRPr="00E468C2">
        <w:rPr>
          <w:rFonts w:ascii="Times New Roman" w:hAnsi="Times New Roman"/>
          <w:sz w:val="24"/>
          <w:szCs w:val="24"/>
          <w:lang w:val="en-GB"/>
        </w:rPr>
        <w:t>2015 average = 100</w:t>
      </w:r>
      <w:r w:rsidR="00816F49" w:rsidRPr="00E468C2">
        <w:rPr>
          <w:rFonts w:ascii="Times New Roman" w:hAnsi="Times New Roman"/>
          <w:sz w:val="24"/>
          <w:szCs w:val="24"/>
          <w:lang w:val="en-US"/>
        </w:rPr>
        <w:t>”</w:t>
      </w:r>
      <w:r w:rsidRPr="00E468C2">
        <w:rPr>
          <w:rFonts w:ascii="Times New Roman" w:hAnsi="Times New Roman"/>
          <w:sz w:val="24"/>
          <w:szCs w:val="24"/>
          <w:lang w:val="en-US"/>
        </w:rPr>
        <w:t>.</w:t>
      </w:r>
    </w:p>
    <w:p w:rsidR="00BE3980" w:rsidRPr="00E468C2" w:rsidRDefault="00BE3980" w:rsidP="00BE3980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After revision in 2023</w:t>
      </w:r>
      <w:r w:rsidRPr="00E468C2">
        <w:rPr>
          <w:rFonts w:ascii="Times New Roman" w:hAnsi="Times New Roman"/>
          <w:sz w:val="24"/>
          <w:szCs w:val="24"/>
          <w:lang w:val="en-GB"/>
        </w:rPr>
        <w:t>, the ind</w:t>
      </w:r>
      <w:r w:rsidR="005476BC">
        <w:rPr>
          <w:rFonts w:ascii="Times New Roman" w:hAnsi="Times New Roman"/>
          <w:sz w:val="24"/>
          <w:szCs w:val="24"/>
          <w:lang w:val="en-GB"/>
        </w:rPr>
        <w:t>ices for the period 2024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to 202</w:t>
      </w:r>
      <w:r w:rsidR="005476BC">
        <w:rPr>
          <w:rFonts w:ascii="Times New Roman" w:hAnsi="Times New Roman"/>
          <w:sz w:val="24"/>
          <w:szCs w:val="24"/>
          <w:lang w:val="en-GB"/>
        </w:rPr>
        <w:t>7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76BC">
        <w:rPr>
          <w:rFonts w:ascii="Times New Roman" w:hAnsi="Times New Roman"/>
          <w:sz w:val="24"/>
          <w:szCs w:val="24"/>
          <w:lang w:val="en-GB"/>
        </w:rPr>
        <w:t>are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calculated on the w</w:t>
      </w:r>
      <w:r w:rsidR="005476BC">
        <w:rPr>
          <w:rFonts w:ascii="Times New Roman" w:hAnsi="Times New Roman"/>
          <w:sz w:val="24"/>
          <w:szCs w:val="24"/>
          <w:lang w:val="en-GB"/>
        </w:rPr>
        <w:t>eights from 2021</w:t>
      </w:r>
      <w:r w:rsidRPr="00E468C2">
        <w:rPr>
          <w:rFonts w:ascii="Times New Roman" w:hAnsi="Times New Roman"/>
          <w:sz w:val="24"/>
          <w:szCs w:val="24"/>
          <w:lang w:val="en-GB"/>
        </w:rPr>
        <w:t xml:space="preserve"> to index base “2015 average = 100</w:t>
      </w:r>
      <w:r w:rsidRPr="00E468C2">
        <w:rPr>
          <w:rFonts w:ascii="Times New Roman" w:hAnsi="Times New Roman"/>
          <w:sz w:val="24"/>
          <w:szCs w:val="24"/>
          <w:lang w:val="en-US"/>
        </w:rPr>
        <w:t>”.</w:t>
      </w:r>
    </w:p>
    <w:p w:rsidR="00BE3980" w:rsidRPr="00E468C2" w:rsidRDefault="00BE3980" w:rsidP="006D7F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7F03" w:rsidRPr="003816DF" w:rsidRDefault="006D7F03" w:rsidP="006D7F03">
      <w:pPr>
        <w:ind w:firstLine="708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117F3A" w:rsidRPr="003816DF" w:rsidRDefault="00C52EDD" w:rsidP="0003075C">
      <w:pPr>
        <w:pStyle w:val="Normlnweb"/>
        <w:jc w:val="both"/>
        <w:rPr>
          <w:color w:val="FF0000"/>
        </w:rPr>
      </w:pPr>
      <w:r w:rsidRPr="003816DF">
        <w:rPr>
          <w:color w:val="FF0000"/>
        </w:rPr>
        <w:br/>
      </w:r>
    </w:p>
    <w:sectPr w:rsidR="00117F3A" w:rsidRPr="003816DF" w:rsidSect="007256F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DD"/>
    <w:rsid w:val="00027DB0"/>
    <w:rsid w:val="0003075C"/>
    <w:rsid w:val="00035F85"/>
    <w:rsid w:val="00044150"/>
    <w:rsid w:val="0006050C"/>
    <w:rsid w:val="0006255C"/>
    <w:rsid w:val="00064DF9"/>
    <w:rsid w:val="00070ADA"/>
    <w:rsid w:val="000732AF"/>
    <w:rsid w:val="00093C4B"/>
    <w:rsid w:val="000A3786"/>
    <w:rsid w:val="000C30E5"/>
    <w:rsid w:val="000E6E13"/>
    <w:rsid w:val="00115256"/>
    <w:rsid w:val="00117F3A"/>
    <w:rsid w:val="00133811"/>
    <w:rsid w:val="001562BA"/>
    <w:rsid w:val="001D21C9"/>
    <w:rsid w:val="001F069D"/>
    <w:rsid w:val="001F093E"/>
    <w:rsid w:val="0020274D"/>
    <w:rsid w:val="00207885"/>
    <w:rsid w:val="002107A1"/>
    <w:rsid w:val="00225D8F"/>
    <w:rsid w:val="00226B04"/>
    <w:rsid w:val="00235811"/>
    <w:rsid w:val="00246136"/>
    <w:rsid w:val="002632BB"/>
    <w:rsid w:val="00280F5B"/>
    <w:rsid w:val="00291C65"/>
    <w:rsid w:val="0029581C"/>
    <w:rsid w:val="002B1C64"/>
    <w:rsid w:val="002C6739"/>
    <w:rsid w:val="002C6CF8"/>
    <w:rsid w:val="002C7D58"/>
    <w:rsid w:val="002E3D11"/>
    <w:rsid w:val="002E636A"/>
    <w:rsid w:val="0032166F"/>
    <w:rsid w:val="00336542"/>
    <w:rsid w:val="00350007"/>
    <w:rsid w:val="003521FC"/>
    <w:rsid w:val="0036076F"/>
    <w:rsid w:val="00370E8D"/>
    <w:rsid w:val="003816DF"/>
    <w:rsid w:val="003854C4"/>
    <w:rsid w:val="003A2BA2"/>
    <w:rsid w:val="003C6CF0"/>
    <w:rsid w:val="004340E5"/>
    <w:rsid w:val="00466177"/>
    <w:rsid w:val="004B32B5"/>
    <w:rsid w:val="004C72A6"/>
    <w:rsid w:val="004F6B08"/>
    <w:rsid w:val="00515314"/>
    <w:rsid w:val="005476BC"/>
    <w:rsid w:val="00547BCA"/>
    <w:rsid w:val="00581FB5"/>
    <w:rsid w:val="005A62FC"/>
    <w:rsid w:val="005B276F"/>
    <w:rsid w:val="005F2FFA"/>
    <w:rsid w:val="005F3595"/>
    <w:rsid w:val="0060169E"/>
    <w:rsid w:val="00602BFF"/>
    <w:rsid w:val="0060572A"/>
    <w:rsid w:val="00653C17"/>
    <w:rsid w:val="006550E5"/>
    <w:rsid w:val="00690824"/>
    <w:rsid w:val="00691A0B"/>
    <w:rsid w:val="006D3767"/>
    <w:rsid w:val="006D435D"/>
    <w:rsid w:val="006D6504"/>
    <w:rsid w:val="006D6E88"/>
    <w:rsid w:val="006D7F03"/>
    <w:rsid w:val="006E3456"/>
    <w:rsid w:val="006E37D7"/>
    <w:rsid w:val="007101B6"/>
    <w:rsid w:val="0072081D"/>
    <w:rsid w:val="007256F6"/>
    <w:rsid w:val="00730DBA"/>
    <w:rsid w:val="00735FE6"/>
    <w:rsid w:val="00737FA7"/>
    <w:rsid w:val="0076361D"/>
    <w:rsid w:val="0077134B"/>
    <w:rsid w:val="00772ADD"/>
    <w:rsid w:val="007E7DA3"/>
    <w:rsid w:val="008035F2"/>
    <w:rsid w:val="00805D45"/>
    <w:rsid w:val="00816F49"/>
    <w:rsid w:val="00823990"/>
    <w:rsid w:val="0087155E"/>
    <w:rsid w:val="00876BB3"/>
    <w:rsid w:val="0088033A"/>
    <w:rsid w:val="0089644C"/>
    <w:rsid w:val="008A4C6E"/>
    <w:rsid w:val="008C6253"/>
    <w:rsid w:val="008D3285"/>
    <w:rsid w:val="008F39F7"/>
    <w:rsid w:val="00905E0E"/>
    <w:rsid w:val="00912AA7"/>
    <w:rsid w:val="009206E6"/>
    <w:rsid w:val="00981FE8"/>
    <w:rsid w:val="009A6E47"/>
    <w:rsid w:val="009A7835"/>
    <w:rsid w:val="009B6F99"/>
    <w:rsid w:val="00A03AFD"/>
    <w:rsid w:val="00A106EF"/>
    <w:rsid w:val="00A20787"/>
    <w:rsid w:val="00A366A3"/>
    <w:rsid w:val="00A51691"/>
    <w:rsid w:val="00A94783"/>
    <w:rsid w:val="00AA2DF6"/>
    <w:rsid w:val="00AB127D"/>
    <w:rsid w:val="00AC139A"/>
    <w:rsid w:val="00AD2F50"/>
    <w:rsid w:val="00AF3D01"/>
    <w:rsid w:val="00B104ED"/>
    <w:rsid w:val="00B30FF5"/>
    <w:rsid w:val="00B42523"/>
    <w:rsid w:val="00B52CBC"/>
    <w:rsid w:val="00B70654"/>
    <w:rsid w:val="00B74BEB"/>
    <w:rsid w:val="00B806B3"/>
    <w:rsid w:val="00BA4604"/>
    <w:rsid w:val="00BB14CE"/>
    <w:rsid w:val="00BB2190"/>
    <w:rsid w:val="00BB377B"/>
    <w:rsid w:val="00BB5657"/>
    <w:rsid w:val="00BE3980"/>
    <w:rsid w:val="00BF1EB5"/>
    <w:rsid w:val="00C52EDD"/>
    <w:rsid w:val="00C64C53"/>
    <w:rsid w:val="00D0783D"/>
    <w:rsid w:val="00D50F1A"/>
    <w:rsid w:val="00D61404"/>
    <w:rsid w:val="00D754D2"/>
    <w:rsid w:val="00D76B39"/>
    <w:rsid w:val="00D95C46"/>
    <w:rsid w:val="00DD1442"/>
    <w:rsid w:val="00DE0F22"/>
    <w:rsid w:val="00DE4257"/>
    <w:rsid w:val="00DF37C2"/>
    <w:rsid w:val="00E2304D"/>
    <w:rsid w:val="00E45145"/>
    <w:rsid w:val="00E468C2"/>
    <w:rsid w:val="00E4769E"/>
    <w:rsid w:val="00E5691D"/>
    <w:rsid w:val="00E60530"/>
    <w:rsid w:val="00E62AFF"/>
    <w:rsid w:val="00E674C8"/>
    <w:rsid w:val="00E91303"/>
    <w:rsid w:val="00E92F34"/>
    <w:rsid w:val="00F17720"/>
    <w:rsid w:val="00F771FD"/>
    <w:rsid w:val="00FA4586"/>
    <w:rsid w:val="00FA714E"/>
    <w:rsid w:val="00FC5EF0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033D38-42DB-4EC0-A19C-DBE2E1C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F3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E47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3854C4"/>
    <w:pPr>
      <w:spacing w:line="240" w:lineRule="auto"/>
      <w:ind w:left="284"/>
    </w:pPr>
    <w:rPr>
      <w:rFonts w:ascii="Arial" w:hAnsi="Arial"/>
      <w:sz w:val="24"/>
    </w:rPr>
  </w:style>
  <w:style w:type="character" w:customStyle="1" w:styleId="TextChar">
    <w:name w:val="Text Char"/>
    <w:link w:val="Text"/>
    <w:rsid w:val="003854C4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2ED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B1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476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Zkladntext2">
    <w:name w:val="Body Text 2"/>
    <w:basedOn w:val="Normln"/>
    <w:link w:val="Zkladntext2Char"/>
    <w:semiHidden/>
    <w:rsid w:val="006D6E8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6D6E88"/>
    <w:rPr>
      <w:rFonts w:ascii="Arial" w:eastAsia="Times New Roman" w:hAnsi="Arial"/>
      <w:szCs w:val="24"/>
    </w:rPr>
  </w:style>
  <w:style w:type="character" w:customStyle="1" w:styleId="hps">
    <w:name w:val="hps"/>
    <w:rsid w:val="006D6E88"/>
  </w:style>
  <w:style w:type="character" w:customStyle="1" w:styleId="longtext">
    <w:name w:val="long_text"/>
    <w:rsid w:val="006D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30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8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okorny6296\Documents\Revize\Graf%20k%20porovn&#225;n&#237;%20vah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List1!$C$2</c:f>
              <c:strCache>
                <c:ptCount val="1"/>
                <c:pt idx="0">
                  <c:v>Constant weight 2015 (‰)</c:v>
                </c:pt>
              </c:strCache>
            </c:strRef>
          </c:tx>
          <c:invertIfNegative val="0"/>
          <c:cat>
            <c:strRef>
              <c:f>List1!$B$4:$B$25</c:f>
              <c:strCache>
                <c:ptCount val="22"/>
                <c:pt idx="0">
                  <c:v>L68</c:v>
                </c:pt>
                <c:pt idx="1">
                  <c:v>H49</c:v>
                </c:pt>
                <c:pt idx="2">
                  <c:v>J62</c:v>
                </c:pt>
                <c:pt idx="3">
                  <c:v>H52</c:v>
                </c:pt>
                <c:pt idx="4">
                  <c:v>M71</c:v>
                </c:pt>
                <c:pt idx="5">
                  <c:v>M73</c:v>
                </c:pt>
                <c:pt idx="6">
                  <c:v>J61</c:v>
                </c:pt>
                <c:pt idx="7">
                  <c:v>M69</c:v>
                </c:pt>
                <c:pt idx="8">
                  <c:v>K65 </c:v>
                </c:pt>
                <c:pt idx="9">
                  <c:v>M70</c:v>
                </c:pt>
                <c:pt idx="10">
                  <c:v>J63</c:v>
                </c:pt>
                <c:pt idx="11">
                  <c:v>N77</c:v>
                </c:pt>
                <c:pt idx="12">
                  <c:v>H53</c:v>
                </c:pt>
                <c:pt idx="13">
                  <c:v>N78</c:v>
                </c:pt>
                <c:pt idx="14">
                  <c:v>N81</c:v>
                </c:pt>
                <c:pt idx="15">
                  <c:v>N80</c:v>
                </c:pt>
                <c:pt idx="16">
                  <c:v>J59</c:v>
                </c:pt>
                <c:pt idx="17">
                  <c:v>J58</c:v>
                </c:pt>
                <c:pt idx="18">
                  <c:v>J60 </c:v>
                </c:pt>
                <c:pt idx="19">
                  <c:v>M74</c:v>
                </c:pt>
                <c:pt idx="20">
                  <c:v>N82</c:v>
                </c:pt>
                <c:pt idx="21">
                  <c:v>H50</c:v>
                </c:pt>
              </c:strCache>
            </c:strRef>
          </c:cat>
          <c:val>
            <c:numRef>
              <c:f>List1!$C$4:$C$25</c:f>
              <c:numCache>
                <c:formatCode>General</c:formatCode>
                <c:ptCount val="22"/>
                <c:pt idx="0">
                  <c:v>118.913</c:v>
                </c:pt>
                <c:pt idx="1">
                  <c:v>160.00399999999999</c:v>
                </c:pt>
                <c:pt idx="2">
                  <c:v>103.07</c:v>
                </c:pt>
                <c:pt idx="3">
                  <c:v>78.125</c:v>
                </c:pt>
                <c:pt idx="4">
                  <c:v>74.078000000000003</c:v>
                </c:pt>
                <c:pt idx="5">
                  <c:v>58.563000000000002</c:v>
                </c:pt>
                <c:pt idx="6">
                  <c:v>82.623000000000005</c:v>
                </c:pt>
                <c:pt idx="7">
                  <c:v>28.802</c:v>
                </c:pt>
                <c:pt idx="8">
                  <c:v>62.381</c:v>
                </c:pt>
                <c:pt idx="9">
                  <c:v>25.547999999999998</c:v>
                </c:pt>
                <c:pt idx="10">
                  <c:v>21.456</c:v>
                </c:pt>
                <c:pt idx="11">
                  <c:v>27.997</c:v>
                </c:pt>
                <c:pt idx="12">
                  <c:v>25.835000000000001</c:v>
                </c:pt>
                <c:pt idx="13">
                  <c:v>26.076000000000001</c:v>
                </c:pt>
                <c:pt idx="14">
                  <c:v>17.475000000000001</c:v>
                </c:pt>
                <c:pt idx="15">
                  <c:v>14.435</c:v>
                </c:pt>
                <c:pt idx="17">
                  <c:v>13.68</c:v>
                </c:pt>
                <c:pt idx="19">
                  <c:v>0.96599999999999997</c:v>
                </c:pt>
                <c:pt idx="20">
                  <c:v>3.5640000000000001</c:v>
                </c:pt>
                <c:pt idx="21">
                  <c:v>0.42499999999999999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A-469C-BF82-C6C338DA605C}"/>
            </c:ext>
          </c:extLst>
        </c:ser>
        <c:ser>
          <c:idx val="1"/>
          <c:order val="1"/>
          <c:tx>
            <c:strRef>
              <c:f>List1!$D$2</c:f>
              <c:strCache>
                <c:ptCount val="1"/>
                <c:pt idx="0">
                  <c:v>Constant weight 2021 (‰)</c:v>
                </c:pt>
              </c:strCache>
            </c:strRef>
          </c:tx>
          <c:invertIfNegative val="0"/>
          <c:cat>
            <c:strRef>
              <c:f>List1!$B$4:$B$25</c:f>
              <c:strCache>
                <c:ptCount val="22"/>
                <c:pt idx="0">
                  <c:v>L68</c:v>
                </c:pt>
                <c:pt idx="1">
                  <c:v>H49</c:v>
                </c:pt>
                <c:pt idx="2">
                  <c:v>J62</c:v>
                </c:pt>
                <c:pt idx="3">
                  <c:v>H52</c:v>
                </c:pt>
                <c:pt idx="4">
                  <c:v>M71</c:v>
                </c:pt>
                <c:pt idx="5">
                  <c:v>M73</c:v>
                </c:pt>
                <c:pt idx="6">
                  <c:v>J61</c:v>
                </c:pt>
                <c:pt idx="7">
                  <c:v>M69</c:v>
                </c:pt>
                <c:pt idx="8">
                  <c:v>K65 </c:v>
                </c:pt>
                <c:pt idx="9">
                  <c:v>M70</c:v>
                </c:pt>
                <c:pt idx="10">
                  <c:v>J63</c:v>
                </c:pt>
                <c:pt idx="11">
                  <c:v>N77</c:v>
                </c:pt>
                <c:pt idx="12">
                  <c:v>H53</c:v>
                </c:pt>
                <c:pt idx="13">
                  <c:v>N78</c:v>
                </c:pt>
                <c:pt idx="14">
                  <c:v>N81</c:v>
                </c:pt>
                <c:pt idx="15">
                  <c:v>N80</c:v>
                </c:pt>
                <c:pt idx="16">
                  <c:v>J59</c:v>
                </c:pt>
                <c:pt idx="17">
                  <c:v>J58</c:v>
                </c:pt>
                <c:pt idx="18">
                  <c:v>J60 </c:v>
                </c:pt>
                <c:pt idx="19">
                  <c:v>M74</c:v>
                </c:pt>
                <c:pt idx="20">
                  <c:v>N82</c:v>
                </c:pt>
                <c:pt idx="21">
                  <c:v>H50</c:v>
                </c:pt>
              </c:strCache>
            </c:strRef>
          </c:cat>
          <c:val>
            <c:numRef>
              <c:f>List1!$D$4:$D$25</c:f>
              <c:numCache>
                <c:formatCode>General</c:formatCode>
                <c:ptCount val="22"/>
                <c:pt idx="0">
                  <c:v>165.22800000000001</c:v>
                </c:pt>
                <c:pt idx="1">
                  <c:v>134.46700000000001</c:v>
                </c:pt>
                <c:pt idx="2">
                  <c:v>125.636</c:v>
                </c:pt>
                <c:pt idx="3">
                  <c:v>109.03100000000001</c:v>
                </c:pt>
                <c:pt idx="4">
                  <c:v>66.94</c:v>
                </c:pt>
                <c:pt idx="5">
                  <c:v>57.271999999999998</c:v>
                </c:pt>
                <c:pt idx="6">
                  <c:v>52.85</c:v>
                </c:pt>
                <c:pt idx="7">
                  <c:v>48.081000000000003</c:v>
                </c:pt>
                <c:pt idx="8">
                  <c:v>47.445</c:v>
                </c:pt>
                <c:pt idx="9">
                  <c:v>28.073</c:v>
                </c:pt>
                <c:pt idx="10">
                  <c:v>26.195</c:v>
                </c:pt>
                <c:pt idx="11">
                  <c:v>23.776</c:v>
                </c:pt>
                <c:pt idx="12">
                  <c:v>23.748000000000001</c:v>
                </c:pt>
                <c:pt idx="13">
                  <c:v>23.048999999999999</c:v>
                </c:pt>
                <c:pt idx="14">
                  <c:v>20.390999999999998</c:v>
                </c:pt>
                <c:pt idx="15">
                  <c:v>14.46</c:v>
                </c:pt>
                <c:pt idx="16">
                  <c:v>10.539</c:v>
                </c:pt>
                <c:pt idx="17">
                  <c:v>9.4559999999999995</c:v>
                </c:pt>
                <c:pt idx="18">
                  <c:v>8.7520000000000007</c:v>
                </c:pt>
                <c:pt idx="19">
                  <c:v>2.9649999999999999</c:v>
                </c:pt>
                <c:pt idx="20">
                  <c:v>1.361</c:v>
                </c:pt>
                <c:pt idx="21">
                  <c:v>0.28299999999999997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5A-469C-BF82-C6C338DA6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402112"/>
        <c:axId val="126214528"/>
        <c:axId val="0"/>
      </c:bar3DChart>
      <c:catAx>
        <c:axId val="12340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 anchor="b" anchorCtr="0"/>
          <a:lstStyle/>
          <a:p>
            <a:pPr>
              <a:defRPr/>
            </a:pPr>
            <a:endParaRPr lang="cs-CZ"/>
          </a:p>
        </c:txPr>
        <c:crossAx val="126214528"/>
        <c:crosses val="autoZero"/>
        <c:auto val="1"/>
        <c:lblAlgn val="ctr"/>
        <c:lblOffset val="100"/>
        <c:noMultiLvlLbl val="0"/>
      </c:catAx>
      <c:valAx>
        <c:axId val="126214528"/>
        <c:scaling>
          <c:orientation val="minMax"/>
        </c:scaling>
        <c:delete val="0"/>
        <c:axPos val="l"/>
        <c:majorGridlines/>
        <c:numFmt formatCode="0\‰" sourceLinked="0"/>
        <c:majorTickMark val="out"/>
        <c:minorTickMark val="none"/>
        <c:tickLblPos val="nextTo"/>
        <c:crossAx val="1234021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D2278-CB19-4E5E-B810-6986F6E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Sýkorová Hana</cp:lastModifiedBy>
  <cp:revision>2</cp:revision>
  <dcterms:created xsi:type="dcterms:W3CDTF">2024-02-06T13:14:00Z</dcterms:created>
  <dcterms:modified xsi:type="dcterms:W3CDTF">2024-02-06T13:14:00Z</dcterms:modified>
</cp:coreProperties>
</file>