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537CA" w14:textId="77777777" w:rsidR="00A46026" w:rsidRDefault="00A46026" w:rsidP="006B2D7C">
      <w:bookmarkStart w:id="0" w:name="_GoBack"/>
      <w:bookmarkEnd w:id="0"/>
    </w:p>
    <w:p w14:paraId="18AA108F" w14:textId="77777777" w:rsidR="00A46026" w:rsidRDefault="00A46026" w:rsidP="006B2D7C"/>
    <w:p w14:paraId="4F49FF10" w14:textId="77777777" w:rsidR="00FB4D7E" w:rsidRPr="00613F23" w:rsidRDefault="00A46026" w:rsidP="00613F23">
      <w:pPr>
        <w:jc w:val="center"/>
        <w:rPr>
          <w:b/>
        </w:rPr>
      </w:pPr>
      <w:r w:rsidRPr="00613F23">
        <w:rPr>
          <w:b/>
        </w:rPr>
        <w:t>ZPRÁVA O KVALITĚ</w:t>
      </w:r>
    </w:p>
    <w:p w14:paraId="64CADCBB" w14:textId="77777777" w:rsidR="00A46026" w:rsidRPr="00613F23" w:rsidRDefault="00A46026" w:rsidP="00613F23">
      <w:pPr>
        <w:jc w:val="center"/>
        <w:rPr>
          <w:b/>
        </w:rPr>
      </w:pPr>
      <w:r w:rsidRPr="00613F23">
        <w:rPr>
          <w:b/>
        </w:rPr>
        <w:t>Sčítání lidu, domů a bytů 2021</w:t>
      </w:r>
    </w:p>
    <w:p w14:paraId="5582DC8E" w14:textId="77777777" w:rsidR="00A46026" w:rsidRPr="00613F23" w:rsidRDefault="00A46026" w:rsidP="00613F23">
      <w:pPr>
        <w:jc w:val="center"/>
        <w:rPr>
          <w:b/>
        </w:rPr>
      </w:pPr>
    </w:p>
    <w:p w14:paraId="18541FA3" w14:textId="77777777" w:rsidR="00A46026" w:rsidRPr="00613F23" w:rsidRDefault="00A46026" w:rsidP="00613F23">
      <w:pPr>
        <w:jc w:val="center"/>
        <w:rPr>
          <w:b/>
        </w:rPr>
      </w:pPr>
    </w:p>
    <w:p w14:paraId="6E4E60D7" w14:textId="77777777" w:rsidR="00A46026" w:rsidRPr="00613F23" w:rsidRDefault="00A46026" w:rsidP="00613F23">
      <w:pPr>
        <w:jc w:val="center"/>
        <w:rPr>
          <w:b/>
        </w:rPr>
      </w:pPr>
    </w:p>
    <w:p w14:paraId="4FE613E3" w14:textId="77777777" w:rsidR="00A46026" w:rsidRPr="00613F23" w:rsidRDefault="00A46026" w:rsidP="00613F23">
      <w:pPr>
        <w:jc w:val="center"/>
        <w:rPr>
          <w:b/>
        </w:rPr>
      </w:pPr>
    </w:p>
    <w:p w14:paraId="4895C800" w14:textId="77777777" w:rsidR="00A46026" w:rsidRPr="00613F23" w:rsidRDefault="00A46026" w:rsidP="00613F23">
      <w:pPr>
        <w:jc w:val="center"/>
        <w:rPr>
          <w:b/>
        </w:rPr>
      </w:pPr>
    </w:p>
    <w:p w14:paraId="35268E5A" w14:textId="77777777" w:rsidR="00A46026" w:rsidRPr="00613F23" w:rsidRDefault="00A46026" w:rsidP="00613F23">
      <w:pPr>
        <w:jc w:val="center"/>
        <w:rPr>
          <w:b/>
        </w:rPr>
      </w:pPr>
    </w:p>
    <w:p w14:paraId="232FF12F" w14:textId="77777777" w:rsidR="00613F23" w:rsidRDefault="00A46026" w:rsidP="00613F23">
      <w:pPr>
        <w:jc w:val="center"/>
        <w:rPr>
          <w:b/>
        </w:rPr>
      </w:pPr>
      <w:r w:rsidRPr="00613F23">
        <w:rPr>
          <w:b/>
        </w:rPr>
        <w:t>Květen 2024</w:t>
      </w:r>
      <w:r w:rsidR="00613F23">
        <w:rPr>
          <w:b/>
        </w:rPr>
        <w:br w:type="page"/>
      </w:r>
    </w:p>
    <w:sdt>
      <w:sdtPr>
        <w:rPr>
          <w:rFonts w:ascii="Arial" w:eastAsiaTheme="minorHAnsi" w:hAnsi="Arial" w:cs="Arial"/>
          <w:color w:val="auto"/>
          <w:sz w:val="22"/>
          <w:szCs w:val="22"/>
          <w:lang w:eastAsia="en-US"/>
        </w:rPr>
        <w:id w:val="176931317"/>
        <w:docPartObj>
          <w:docPartGallery w:val="Table of Contents"/>
          <w:docPartUnique/>
        </w:docPartObj>
      </w:sdtPr>
      <w:sdtEndPr>
        <w:rPr>
          <w:b/>
          <w:bCs/>
        </w:rPr>
      </w:sdtEndPr>
      <w:sdtContent>
        <w:p w14:paraId="01444D6D" w14:textId="77777777" w:rsidR="00613F23" w:rsidRPr="003A245B" w:rsidRDefault="00613F23">
          <w:pPr>
            <w:pStyle w:val="Nadpisobsahu"/>
            <w:rPr>
              <w:rFonts w:ascii="Arial" w:hAnsi="Arial" w:cs="Arial"/>
              <w:b/>
              <w:color w:val="auto"/>
              <w:sz w:val="22"/>
              <w:szCs w:val="22"/>
            </w:rPr>
          </w:pPr>
          <w:r w:rsidRPr="003A245B">
            <w:rPr>
              <w:rFonts w:ascii="Arial" w:hAnsi="Arial" w:cs="Arial"/>
              <w:b/>
              <w:color w:val="auto"/>
              <w:sz w:val="22"/>
              <w:szCs w:val="22"/>
            </w:rPr>
            <w:t>Obsah</w:t>
          </w:r>
        </w:p>
        <w:p w14:paraId="345B0EAA" w14:textId="77777777" w:rsidR="00613F23" w:rsidRPr="00613F23" w:rsidRDefault="00613F23" w:rsidP="00613F23">
          <w:pPr>
            <w:rPr>
              <w:lang w:eastAsia="cs-CZ"/>
            </w:rPr>
          </w:pPr>
        </w:p>
        <w:p w14:paraId="244E4EDA" w14:textId="7843C510" w:rsidR="00613F23" w:rsidRPr="00613F23" w:rsidRDefault="00613F23">
          <w:pPr>
            <w:pStyle w:val="Obsah1"/>
            <w:tabs>
              <w:tab w:val="left" w:pos="440"/>
              <w:tab w:val="right" w:leader="dot" w:pos="9062"/>
            </w:tabs>
            <w:rPr>
              <w:noProof/>
            </w:rPr>
          </w:pPr>
          <w:r w:rsidRPr="00613F23">
            <w:fldChar w:fldCharType="begin"/>
          </w:r>
          <w:r w:rsidRPr="00613F23">
            <w:instrText xml:space="preserve"> TOC \o "1-3" \h \z \u </w:instrText>
          </w:r>
          <w:r w:rsidRPr="00613F23">
            <w:fldChar w:fldCharType="separate"/>
          </w:r>
          <w:hyperlink w:anchor="_Toc166756686" w:history="1">
            <w:r w:rsidRPr="00613F23">
              <w:rPr>
                <w:rStyle w:val="Hypertextovodkaz"/>
                <w:noProof/>
              </w:rPr>
              <w:t>1.</w:t>
            </w:r>
            <w:r w:rsidRPr="00613F23">
              <w:rPr>
                <w:noProof/>
              </w:rPr>
              <w:tab/>
            </w:r>
            <w:r w:rsidRPr="00613F23">
              <w:rPr>
                <w:rStyle w:val="Hypertextovodkaz"/>
                <w:noProof/>
              </w:rPr>
              <w:t>PŘEHLED</w:t>
            </w:r>
            <w:r w:rsidRPr="00613F23">
              <w:rPr>
                <w:noProof/>
                <w:webHidden/>
              </w:rPr>
              <w:tab/>
            </w:r>
            <w:r w:rsidRPr="00613F23">
              <w:rPr>
                <w:noProof/>
                <w:webHidden/>
              </w:rPr>
              <w:fldChar w:fldCharType="begin"/>
            </w:r>
            <w:r w:rsidRPr="00613F23">
              <w:rPr>
                <w:noProof/>
                <w:webHidden/>
              </w:rPr>
              <w:instrText xml:space="preserve"> PAGEREF _Toc166756686 \h </w:instrText>
            </w:r>
            <w:r w:rsidRPr="00613F23">
              <w:rPr>
                <w:noProof/>
                <w:webHidden/>
              </w:rPr>
            </w:r>
            <w:r w:rsidRPr="00613F23">
              <w:rPr>
                <w:noProof/>
                <w:webHidden/>
              </w:rPr>
              <w:fldChar w:fldCharType="separate"/>
            </w:r>
            <w:r w:rsidR="00177E98">
              <w:rPr>
                <w:noProof/>
                <w:webHidden/>
              </w:rPr>
              <w:t>4</w:t>
            </w:r>
            <w:r w:rsidRPr="00613F23">
              <w:rPr>
                <w:noProof/>
                <w:webHidden/>
              </w:rPr>
              <w:fldChar w:fldCharType="end"/>
            </w:r>
          </w:hyperlink>
        </w:p>
        <w:p w14:paraId="6B33BDEC" w14:textId="19A6E7E1" w:rsidR="00613F23" w:rsidRPr="00613F23" w:rsidRDefault="00B9200F">
          <w:pPr>
            <w:pStyle w:val="Obsah2"/>
            <w:tabs>
              <w:tab w:val="left" w:pos="880"/>
              <w:tab w:val="right" w:leader="dot" w:pos="9062"/>
            </w:tabs>
            <w:rPr>
              <w:noProof/>
            </w:rPr>
          </w:pPr>
          <w:hyperlink w:anchor="_Toc166756687" w:history="1">
            <w:r w:rsidR="00613F23" w:rsidRPr="00613F23">
              <w:rPr>
                <w:rStyle w:val="Hypertextovodkaz"/>
                <w:noProof/>
              </w:rPr>
              <w:t>1.1.</w:t>
            </w:r>
            <w:r w:rsidR="00613F23" w:rsidRPr="00613F23">
              <w:rPr>
                <w:noProof/>
              </w:rPr>
              <w:tab/>
            </w:r>
            <w:r w:rsidR="00613F23" w:rsidRPr="00613F23">
              <w:rPr>
                <w:rStyle w:val="Hypertextovodkaz"/>
                <w:noProof/>
              </w:rPr>
              <w:t>Právní rámec</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_Toc166756687 \h </w:instrText>
            </w:r>
            <w:r w:rsidR="00613F23" w:rsidRPr="00613F23">
              <w:rPr>
                <w:noProof/>
                <w:webHidden/>
              </w:rPr>
            </w:r>
            <w:r w:rsidR="00613F23" w:rsidRPr="00613F23">
              <w:rPr>
                <w:noProof/>
                <w:webHidden/>
              </w:rPr>
              <w:fldChar w:fldCharType="separate"/>
            </w:r>
            <w:r w:rsidR="00177E98">
              <w:rPr>
                <w:noProof/>
                <w:webHidden/>
              </w:rPr>
              <w:t>4</w:t>
            </w:r>
            <w:r w:rsidR="00613F23" w:rsidRPr="00613F23">
              <w:rPr>
                <w:noProof/>
                <w:webHidden/>
              </w:rPr>
              <w:fldChar w:fldCharType="end"/>
            </w:r>
          </w:hyperlink>
        </w:p>
        <w:p w14:paraId="3B09FC2F" w14:textId="75DD3D0A" w:rsidR="00613F23" w:rsidRPr="00613F23" w:rsidRDefault="00B9200F">
          <w:pPr>
            <w:pStyle w:val="Obsah3"/>
            <w:tabs>
              <w:tab w:val="left" w:pos="1320"/>
              <w:tab w:val="right" w:leader="dot" w:pos="9062"/>
            </w:tabs>
            <w:rPr>
              <w:noProof/>
            </w:rPr>
          </w:pPr>
          <w:hyperlink w:anchor="_Toc166756688" w:history="1">
            <w:r w:rsidR="00613F23" w:rsidRPr="00613F23">
              <w:rPr>
                <w:rStyle w:val="Hypertextovodkaz"/>
                <w:noProof/>
              </w:rPr>
              <w:t>1.1.1</w:t>
            </w:r>
            <w:r w:rsidR="00613F23" w:rsidRPr="00613F23">
              <w:rPr>
                <w:noProof/>
              </w:rPr>
              <w:tab/>
            </w:r>
            <w:r w:rsidR="00613F23" w:rsidRPr="00613F23">
              <w:rPr>
                <w:rStyle w:val="Hypertextovodkaz"/>
                <w:noProof/>
              </w:rPr>
              <w:t>Legislativa České republiky</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_Toc166756688 \h </w:instrText>
            </w:r>
            <w:r w:rsidR="00613F23" w:rsidRPr="00613F23">
              <w:rPr>
                <w:noProof/>
                <w:webHidden/>
              </w:rPr>
            </w:r>
            <w:r w:rsidR="00613F23" w:rsidRPr="00613F23">
              <w:rPr>
                <w:noProof/>
                <w:webHidden/>
              </w:rPr>
              <w:fldChar w:fldCharType="separate"/>
            </w:r>
            <w:r w:rsidR="00177E98">
              <w:rPr>
                <w:noProof/>
                <w:webHidden/>
              </w:rPr>
              <w:t>4</w:t>
            </w:r>
            <w:r w:rsidR="00613F23" w:rsidRPr="00613F23">
              <w:rPr>
                <w:noProof/>
                <w:webHidden/>
              </w:rPr>
              <w:fldChar w:fldCharType="end"/>
            </w:r>
          </w:hyperlink>
        </w:p>
        <w:p w14:paraId="091C7975" w14:textId="16A9916D" w:rsidR="00613F23" w:rsidRPr="00613F23" w:rsidRDefault="00B9200F">
          <w:pPr>
            <w:pStyle w:val="Obsah3"/>
            <w:tabs>
              <w:tab w:val="left" w:pos="1320"/>
              <w:tab w:val="right" w:leader="dot" w:pos="9062"/>
            </w:tabs>
            <w:rPr>
              <w:noProof/>
            </w:rPr>
          </w:pPr>
          <w:hyperlink w:anchor="_Toc166756689" w:history="1">
            <w:r w:rsidR="00613F23" w:rsidRPr="00613F23">
              <w:rPr>
                <w:rStyle w:val="Hypertextovodkaz"/>
                <w:noProof/>
              </w:rPr>
              <w:t>1.1.2</w:t>
            </w:r>
            <w:r w:rsidR="00613F23" w:rsidRPr="00613F23">
              <w:rPr>
                <w:noProof/>
              </w:rPr>
              <w:tab/>
            </w:r>
            <w:r w:rsidR="00613F23" w:rsidRPr="00613F23">
              <w:rPr>
                <w:rStyle w:val="Hypertextovodkaz"/>
                <w:noProof/>
              </w:rPr>
              <w:t>Legislativa Evropské Unie</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_Toc166756689 \h </w:instrText>
            </w:r>
            <w:r w:rsidR="00613F23" w:rsidRPr="00613F23">
              <w:rPr>
                <w:noProof/>
                <w:webHidden/>
              </w:rPr>
            </w:r>
            <w:r w:rsidR="00613F23" w:rsidRPr="00613F23">
              <w:rPr>
                <w:noProof/>
                <w:webHidden/>
              </w:rPr>
              <w:fldChar w:fldCharType="separate"/>
            </w:r>
            <w:r w:rsidR="00177E98">
              <w:rPr>
                <w:noProof/>
                <w:webHidden/>
              </w:rPr>
              <w:t>4</w:t>
            </w:r>
            <w:r w:rsidR="00613F23" w:rsidRPr="00613F23">
              <w:rPr>
                <w:noProof/>
                <w:webHidden/>
              </w:rPr>
              <w:fldChar w:fldCharType="end"/>
            </w:r>
          </w:hyperlink>
        </w:p>
        <w:p w14:paraId="246C43F0" w14:textId="2B17718B" w:rsidR="00613F23" w:rsidRPr="00613F23" w:rsidRDefault="00B9200F">
          <w:pPr>
            <w:pStyle w:val="Obsah2"/>
            <w:tabs>
              <w:tab w:val="left" w:pos="880"/>
              <w:tab w:val="right" w:leader="dot" w:pos="9062"/>
            </w:tabs>
            <w:rPr>
              <w:noProof/>
            </w:rPr>
          </w:pPr>
          <w:hyperlink w:anchor="_Toc166756690" w:history="1">
            <w:r w:rsidR="00613F23" w:rsidRPr="00613F23">
              <w:rPr>
                <w:rStyle w:val="Hypertextovodkaz"/>
                <w:noProof/>
              </w:rPr>
              <w:t>1.2.</w:t>
            </w:r>
            <w:r w:rsidR="00613F23" w:rsidRPr="00613F23">
              <w:rPr>
                <w:noProof/>
              </w:rPr>
              <w:tab/>
            </w:r>
            <w:r w:rsidR="00613F23" w:rsidRPr="00613F23">
              <w:rPr>
                <w:rStyle w:val="Hypertextovodkaz"/>
                <w:noProof/>
              </w:rPr>
              <w:t>Odpovědné orgány</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_Toc166756690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68771E22" w14:textId="37AC8C83" w:rsidR="00613F23" w:rsidRPr="00613F23" w:rsidRDefault="00B9200F">
          <w:pPr>
            <w:pStyle w:val="Obsah1"/>
            <w:tabs>
              <w:tab w:val="left" w:pos="440"/>
              <w:tab w:val="right" w:leader="dot" w:pos="9062"/>
            </w:tabs>
            <w:rPr>
              <w:noProof/>
            </w:rPr>
          </w:pPr>
          <w:hyperlink w:anchor="_Toc166756691" w:history="1">
            <w:r w:rsidR="00613F23" w:rsidRPr="00613F23">
              <w:rPr>
                <w:rStyle w:val="Hypertextovodkaz"/>
                <w:noProof/>
              </w:rPr>
              <w:t>2.</w:t>
            </w:r>
            <w:r w:rsidR="00613F23" w:rsidRPr="00613F23">
              <w:rPr>
                <w:noProof/>
              </w:rPr>
              <w:tab/>
            </w:r>
            <w:r w:rsidR="00613F23" w:rsidRPr="00613F23">
              <w:rPr>
                <w:rStyle w:val="Hypertextovodkaz"/>
                <w:noProof/>
              </w:rPr>
              <w:t>ZDROJE DAT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_Toc166756691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3CCBF749" w14:textId="5F0EBAE6" w:rsidR="00613F23" w:rsidRPr="00613F23" w:rsidRDefault="00B9200F">
          <w:pPr>
            <w:pStyle w:val="Obsah2"/>
            <w:tabs>
              <w:tab w:val="left" w:pos="880"/>
              <w:tab w:val="right" w:leader="dot" w:pos="9062"/>
            </w:tabs>
            <w:rPr>
              <w:noProof/>
            </w:rPr>
          </w:pPr>
          <w:hyperlink w:anchor="_Toc166756692" w:history="1">
            <w:r w:rsidR="00613F23" w:rsidRPr="00613F23">
              <w:rPr>
                <w:rStyle w:val="Hypertextovodkaz"/>
                <w:noProof/>
              </w:rPr>
              <w:t xml:space="preserve">2.1  </w:t>
            </w:r>
            <w:r w:rsidR="00613F23" w:rsidRPr="00613F23">
              <w:rPr>
                <w:noProof/>
              </w:rPr>
              <w:tab/>
            </w:r>
            <w:r w:rsidR="00613F23" w:rsidRPr="00613F23">
              <w:rPr>
                <w:rStyle w:val="Hypertextovodkaz"/>
                <w:noProof/>
              </w:rPr>
              <w:t>Klasifikace zdrojů dat podle čl. 4 odst. 1 nařízení (ES) č. 763/2008</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_Toc166756692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77DA8BCD" w14:textId="690FD7D9" w:rsidR="00613F23" w:rsidRPr="00613F23" w:rsidRDefault="00B9200F">
          <w:pPr>
            <w:pStyle w:val="Obsah2"/>
            <w:tabs>
              <w:tab w:val="left" w:pos="880"/>
              <w:tab w:val="right" w:leader="dot" w:pos="9062"/>
            </w:tabs>
            <w:rPr>
              <w:noProof/>
            </w:rPr>
          </w:pPr>
          <w:hyperlink w:anchor="_Toc166756693" w:history="1">
            <w:r w:rsidR="00613F23" w:rsidRPr="00613F23">
              <w:rPr>
                <w:rStyle w:val="Hypertextovodkaz"/>
                <w:noProof/>
              </w:rPr>
              <w:t>2.2</w:t>
            </w:r>
            <w:r w:rsidR="00613F23" w:rsidRPr="00613F23">
              <w:rPr>
                <w:noProof/>
              </w:rPr>
              <w:tab/>
            </w:r>
            <w:r w:rsidR="00613F23" w:rsidRPr="00613F23">
              <w:rPr>
                <w:rStyle w:val="Hypertextovodkaz"/>
                <w:noProof/>
              </w:rPr>
              <w:t>Seznam zdrojů dat použitých pro sčítání v roce 2021</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_Toc166756693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163220F9" w14:textId="2D7AE241" w:rsidR="00613F23" w:rsidRPr="00613F23" w:rsidRDefault="00B9200F">
          <w:pPr>
            <w:pStyle w:val="Obsah3"/>
            <w:tabs>
              <w:tab w:val="left" w:pos="1320"/>
              <w:tab w:val="right" w:leader="dot" w:pos="9062"/>
            </w:tabs>
            <w:rPr>
              <w:noProof/>
            </w:rPr>
          </w:pPr>
          <w:hyperlink w:anchor="_Toc166756694" w:history="1">
            <w:r w:rsidR="00613F23" w:rsidRPr="00613F23">
              <w:rPr>
                <w:rStyle w:val="Hypertextovodkaz"/>
                <w:noProof/>
              </w:rPr>
              <w:t xml:space="preserve">2.2.1 </w:t>
            </w:r>
            <w:r w:rsidR="00613F23" w:rsidRPr="00613F23">
              <w:rPr>
                <w:noProof/>
              </w:rPr>
              <w:tab/>
            </w:r>
            <w:r w:rsidR="00613F23" w:rsidRPr="00613F23">
              <w:rPr>
                <w:rStyle w:val="Hypertextovodkaz"/>
                <w:noProof/>
              </w:rPr>
              <w:t>Seznam zdrojů dat – data o osobách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_Toc166756694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1C27C0B5" w14:textId="18C19676" w:rsidR="00613F23" w:rsidRPr="00613F23" w:rsidRDefault="00B9200F">
          <w:pPr>
            <w:pStyle w:val="Obsah3"/>
            <w:tabs>
              <w:tab w:val="left" w:pos="1320"/>
              <w:tab w:val="right" w:leader="dot" w:pos="9062"/>
            </w:tabs>
            <w:rPr>
              <w:noProof/>
            </w:rPr>
          </w:pPr>
          <w:hyperlink w:anchor="_Toc166756695" w:history="1">
            <w:r w:rsidR="00613F23" w:rsidRPr="00613F23">
              <w:rPr>
                <w:rStyle w:val="Hypertextovodkaz"/>
                <w:noProof/>
              </w:rPr>
              <w:t xml:space="preserve">2.2.2 </w:t>
            </w:r>
            <w:r w:rsidR="00613F23" w:rsidRPr="00613F23">
              <w:rPr>
                <w:noProof/>
              </w:rPr>
              <w:tab/>
            </w:r>
            <w:r w:rsidR="00613F23" w:rsidRPr="00613F23">
              <w:rPr>
                <w:rStyle w:val="Hypertextovodkaz"/>
                <w:noProof/>
              </w:rPr>
              <w:t>Seznam zdrojů dat – data o domácnostech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_Toc166756695 \h </w:instrText>
            </w:r>
            <w:r w:rsidR="00613F23" w:rsidRPr="00613F23">
              <w:rPr>
                <w:noProof/>
                <w:webHidden/>
              </w:rPr>
            </w:r>
            <w:r w:rsidR="00613F23" w:rsidRPr="00613F23">
              <w:rPr>
                <w:noProof/>
                <w:webHidden/>
              </w:rPr>
              <w:fldChar w:fldCharType="separate"/>
            </w:r>
            <w:r w:rsidR="00177E98">
              <w:rPr>
                <w:noProof/>
                <w:webHidden/>
              </w:rPr>
              <w:t>5</w:t>
            </w:r>
            <w:r w:rsidR="00613F23" w:rsidRPr="00613F23">
              <w:rPr>
                <w:noProof/>
                <w:webHidden/>
              </w:rPr>
              <w:fldChar w:fldCharType="end"/>
            </w:r>
          </w:hyperlink>
        </w:p>
        <w:p w14:paraId="3C18A7D6" w14:textId="52153C82" w:rsidR="00613F23" w:rsidRPr="00613F23" w:rsidRDefault="00B9200F">
          <w:pPr>
            <w:pStyle w:val="Obsah3"/>
            <w:tabs>
              <w:tab w:val="left" w:pos="1320"/>
              <w:tab w:val="right" w:leader="dot" w:pos="9062"/>
            </w:tabs>
            <w:rPr>
              <w:noProof/>
            </w:rPr>
          </w:pPr>
          <w:hyperlink w:anchor="_Toc166756696" w:history="1">
            <w:r w:rsidR="00613F23" w:rsidRPr="00613F23">
              <w:rPr>
                <w:rStyle w:val="Hypertextovodkaz"/>
                <w:noProof/>
              </w:rPr>
              <w:t xml:space="preserve">2.2.3 </w:t>
            </w:r>
            <w:r w:rsidR="00613F23" w:rsidRPr="00613F23">
              <w:rPr>
                <w:noProof/>
              </w:rPr>
              <w:tab/>
            </w:r>
            <w:r w:rsidR="00613F23" w:rsidRPr="00613F23">
              <w:rPr>
                <w:rStyle w:val="Hypertextovodkaz"/>
                <w:noProof/>
              </w:rPr>
              <w:t>Seznam zdrojů dat – data o rodinných jádrech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_Toc166756696 \h </w:instrText>
            </w:r>
            <w:r w:rsidR="00613F23" w:rsidRPr="00613F23">
              <w:rPr>
                <w:noProof/>
                <w:webHidden/>
              </w:rPr>
            </w:r>
            <w:r w:rsidR="00613F23" w:rsidRPr="00613F23">
              <w:rPr>
                <w:noProof/>
                <w:webHidden/>
              </w:rPr>
              <w:fldChar w:fldCharType="separate"/>
            </w:r>
            <w:r w:rsidR="00177E98">
              <w:rPr>
                <w:noProof/>
                <w:webHidden/>
              </w:rPr>
              <w:t>6</w:t>
            </w:r>
            <w:r w:rsidR="00613F23" w:rsidRPr="00613F23">
              <w:rPr>
                <w:noProof/>
                <w:webHidden/>
              </w:rPr>
              <w:fldChar w:fldCharType="end"/>
            </w:r>
          </w:hyperlink>
        </w:p>
        <w:p w14:paraId="18EB8C8B" w14:textId="25893FD9" w:rsidR="00613F23" w:rsidRPr="00613F23" w:rsidRDefault="00B9200F">
          <w:pPr>
            <w:pStyle w:val="Obsah3"/>
            <w:tabs>
              <w:tab w:val="left" w:pos="1320"/>
              <w:tab w:val="right" w:leader="dot" w:pos="9062"/>
            </w:tabs>
            <w:rPr>
              <w:noProof/>
            </w:rPr>
          </w:pPr>
          <w:hyperlink w:anchor="_Toc166756697" w:history="1">
            <w:r w:rsidR="00613F23" w:rsidRPr="00613F23">
              <w:rPr>
                <w:rStyle w:val="Hypertextovodkaz"/>
                <w:noProof/>
              </w:rPr>
              <w:t xml:space="preserve">2.2.4 </w:t>
            </w:r>
            <w:r w:rsidR="00613F23" w:rsidRPr="00613F23">
              <w:rPr>
                <w:noProof/>
              </w:rPr>
              <w:tab/>
            </w:r>
            <w:r w:rsidR="00613F23" w:rsidRPr="00613F23">
              <w:rPr>
                <w:rStyle w:val="Hypertextovodkaz"/>
                <w:noProof/>
              </w:rPr>
              <w:t>Seznam zdrojů dat – data o obytných prostorách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_Toc166756697 \h </w:instrText>
            </w:r>
            <w:r w:rsidR="00613F23" w:rsidRPr="00613F23">
              <w:rPr>
                <w:noProof/>
                <w:webHidden/>
              </w:rPr>
            </w:r>
            <w:r w:rsidR="00613F23" w:rsidRPr="00613F23">
              <w:rPr>
                <w:noProof/>
                <w:webHidden/>
              </w:rPr>
              <w:fldChar w:fldCharType="separate"/>
            </w:r>
            <w:r w:rsidR="00177E98">
              <w:rPr>
                <w:noProof/>
                <w:webHidden/>
              </w:rPr>
              <w:t>6</w:t>
            </w:r>
            <w:r w:rsidR="00613F23" w:rsidRPr="00613F23">
              <w:rPr>
                <w:noProof/>
                <w:webHidden/>
              </w:rPr>
              <w:fldChar w:fldCharType="end"/>
            </w:r>
          </w:hyperlink>
        </w:p>
        <w:p w14:paraId="1F7B7522" w14:textId="1059C9E8" w:rsidR="00613F23" w:rsidRPr="00613F23" w:rsidRDefault="00B9200F">
          <w:pPr>
            <w:pStyle w:val="Obsah3"/>
            <w:tabs>
              <w:tab w:val="left" w:pos="1320"/>
              <w:tab w:val="right" w:leader="dot" w:pos="9062"/>
            </w:tabs>
            <w:rPr>
              <w:noProof/>
            </w:rPr>
          </w:pPr>
          <w:hyperlink w:anchor="_Toc166756698" w:history="1">
            <w:r w:rsidR="00613F23" w:rsidRPr="00613F23">
              <w:rPr>
                <w:rStyle w:val="Hypertextovodkaz"/>
                <w:noProof/>
              </w:rPr>
              <w:t xml:space="preserve">2.2.5 </w:t>
            </w:r>
            <w:r w:rsidR="00613F23" w:rsidRPr="00613F23">
              <w:rPr>
                <w:noProof/>
              </w:rPr>
              <w:tab/>
            </w:r>
            <w:r w:rsidR="00613F23" w:rsidRPr="00613F23">
              <w:rPr>
                <w:rStyle w:val="Hypertextovodkaz"/>
                <w:noProof/>
              </w:rPr>
              <w:t>Seznam zdrojů dat – data o obytných domech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_Toc166756698 \h </w:instrText>
            </w:r>
            <w:r w:rsidR="00613F23" w:rsidRPr="00613F23">
              <w:rPr>
                <w:noProof/>
                <w:webHidden/>
              </w:rPr>
            </w:r>
            <w:r w:rsidR="00613F23" w:rsidRPr="00613F23">
              <w:rPr>
                <w:noProof/>
                <w:webHidden/>
              </w:rPr>
              <w:fldChar w:fldCharType="separate"/>
            </w:r>
            <w:r w:rsidR="00177E98">
              <w:rPr>
                <w:noProof/>
                <w:webHidden/>
              </w:rPr>
              <w:t>6</w:t>
            </w:r>
            <w:r w:rsidR="00613F23" w:rsidRPr="00613F23">
              <w:rPr>
                <w:noProof/>
                <w:webHidden/>
              </w:rPr>
              <w:fldChar w:fldCharType="end"/>
            </w:r>
          </w:hyperlink>
        </w:p>
        <w:p w14:paraId="5E495B83" w14:textId="00B3650C" w:rsidR="00613F23" w:rsidRPr="00613F23" w:rsidRDefault="00B9200F">
          <w:pPr>
            <w:pStyle w:val="Obsah2"/>
            <w:tabs>
              <w:tab w:val="left" w:pos="880"/>
              <w:tab w:val="right" w:leader="dot" w:pos="9062"/>
            </w:tabs>
            <w:rPr>
              <w:noProof/>
            </w:rPr>
          </w:pPr>
          <w:hyperlink w:anchor="_Toc166756699" w:history="1">
            <w:r w:rsidR="00613F23" w:rsidRPr="00613F23">
              <w:rPr>
                <w:rStyle w:val="Hypertextovodkaz"/>
                <w:noProof/>
              </w:rPr>
              <w:t xml:space="preserve">2.3 </w:t>
            </w:r>
            <w:r w:rsidR="00613F23" w:rsidRPr="00613F23">
              <w:rPr>
                <w:noProof/>
              </w:rPr>
              <w:tab/>
            </w:r>
            <w:r w:rsidR="00613F23" w:rsidRPr="00613F23">
              <w:rPr>
                <w:rStyle w:val="Hypertextovodkaz"/>
                <w:noProof/>
              </w:rPr>
              <w:t>Matice „zdroje dat x témata“</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_Toc166756699 \h </w:instrText>
            </w:r>
            <w:r w:rsidR="00613F23" w:rsidRPr="00613F23">
              <w:rPr>
                <w:noProof/>
                <w:webHidden/>
              </w:rPr>
            </w:r>
            <w:r w:rsidR="00613F23" w:rsidRPr="00613F23">
              <w:rPr>
                <w:noProof/>
                <w:webHidden/>
              </w:rPr>
              <w:fldChar w:fldCharType="separate"/>
            </w:r>
            <w:r w:rsidR="00177E98">
              <w:rPr>
                <w:noProof/>
                <w:webHidden/>
              </w:rPr>
              <w:t>7</w:t>
            </w:r>
            <w:r w:rsidR="00613F23" w:rsidRPr="00613F23">
              <w:rPr>
                <w:noProof/>
                <w:webHidden/>
              </w:rPr>
              <w:fldChar w:fldCharType="end"/>
            </w:r>
          </w:hyperlink>
        </w:p>
        <w:p w14:paraId="3F489957" w14:textId="77805AB0" w:rsidR="00613F23" w:rsidRPr="00613F23" w:rsidRDefault="00B9200F">
          <w:pPr>
            <w:pStyle w:val="Obsah2"/>
            <w:tabs>
              <w:tab w:val="left" w:pos="880"/>
              <w:tab w:val="right" w:leader="dot" w:pos="9062"/>
            </w:tabs>
            <w:rPr>
              <w:noProof/>
            </w:rPr>
          </w:pPr>
          <w:hyperlink w:anchor="_Toc166756700" w:history="1">
            <w:r w:rsidR="00613F23" w:rsidRPr="00613F23">
              <w:rPr>
                <w:rStyle w:val="Hypertextovodkaz"/>
                <w:noProof/>
              </w:rPr>
              <w:t>2.4</w:t>
            </w:r>
            <w:r w:rsidR="00613F23" w:rsidRPr="00613F23">
              <w:rPr>
                <w:noProof/>
              </w:rPr>
              <w:tab/>
            </w:r>
            <w:r w:rsidR="00613F23" w:rsidRPr="00613F23">
              <w:rPr>
                <w:rStyle w:val="Hypertextovodkaz"/>
                <w:noProof/>
              </w:rPr>
              <w:t>Přiměřenost zdrojů dat: rozsah, v jakém splňují základní rysy (čl. 4 odst. 4 nařízení (ES) č. 763/2008)</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_Toc166756700 \h </w:instrText>
            </w:r>
            <w:r w:rsidR="00613F23" w:rsidRPr="00613F23">
              <w:rPr>
                <w:noProof/>
                <w:webHidden/>
              </w:rPr>
            </w:r>
            <w:r w:rsidR="00613F23" w:rsidRPr="00613F23">
              <w:rPr>
                <w:noProof/>
                <w:webHidden/>
              </w:rPr>
              <w:fldChar w:fldCharType="separate"/>
            </w:r>
            <w:r w:rsidR="00177E98">
              <w:rPr>
                <w:noProof/>
                <w:webHidden/>
              </w:rPr>
              <w:t>10</w:t>
            </w:r>
            <w:r w:rsidR="00613F23" w:rsidRPr="00613F23">
              <w:rPr>
                <w:noProof/>
                <w:webHidden/>
              </w:rPr>
              <w:fldChar w:fldCharType="end"/>
            </w:r>
          </w:hyperlink>
        </w:p>
        <w:p w14:paraId="5F2F75E5" w14:textId="1C4CC610" w:rsidR="00613F23" w:rsidRPr="00613F23" w:rsidRDefault="00B9200F">
          <w:pPr>
            <w:pStyle w:val="Obsah3"/>
            <w:tabs>
              <w:tab w:val="left" w:pos="1320"/>
              <w:tab w:val="right" w:leader="dot" w:pos="9062"/>
            </w:tabs>
            <w:rPr>
              <w:noProof/>
            </w:rPr>
          </w:pPr>
          <w:hyperlink w:anchor="_Toc166756701" w:history="1">
            <w:r w:rsidR="00613F23" w:rsidRPr="00613F23">
              <w:rPr>
                <w:rStyle w:val="Hypertextovodkaz"/>
                <w:noProof/>
              </w:rPr>
              <w:t>2.4.1</w:t>
            </w:r>
            <w:r w:rsidR="00613F23" w:rsidRPr="00613F23">
              <w:rPr>
                <w:noProof/>
              </w:rPr>
              <w:tab/>
            </w:r>
            <w:r w:rsidR="00613F23" w:rsidRPr="00613F23">
              <w:rPr>
                <w:rStyle w:val="Hypertextovodkaz"/>
                <w:noProof/>
              </w:rPr>
              <w:t>Individuální zjišťování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_Toc166756701 \h </w:instrText>
            </w:r>
            <w:r w:rsidR="00613F23" w:rsidRPr="00613F23">
              <w:rPr>
                <w:noProof/>
                <w:webHidden/>
              </w:rPr>
            </w:r>
            <w:r w:rsidR="00613F23" w:rsidRPr="00613F23">
              <w:rPr>
                <w:noProof/>
                <w:webHidden/>
              </w:rPr>
              <w:fldChar w:fldCharType="separate"/>
            </w:r>
            <w:r w:rsidR="00177E98">
              <w:rPr>
                <w:noProof/>
                <w:webHidden/>
              </w:rPr>
              <w:t>10</w:t>
            </w:r>
            <w:r w:rsidR="00613F23" w:rsidRPr="00613F23">
              <w:rPr>
                <w:noProof/>
                <w:webHidden/>
              </w:rPr>
              <w:fldChar w:fldCharType="end"/>
            </w:r>
          </w:hyperlink>
        </w:p>
        <w:p w14:paraId="3ACAC37C" w14:textId="53B9CE46" w:rsidR="00613F23" w:rsidRPr="00613F23" w:rsidRDefault="00B9200F">
          <w:pPr>
            <w:pStyle w:val="Obsah3"/>
            <w:tabs>
              <w:tab w:val="left" w:pos="1320"/>
              <w:tab w:val="right" w:leader="dot" w:pos="9062"/>
            </w:tabs>
            <w:rPr>
              <w:noProof/>
            </w:rPr>
          </w:pPr>
          <w:hyperlink w:anchor="_Toc166756702" w:history="1">
            <w:r w:rsidR="00613F23" w:rsidRPr="00613F23">
              <w:rPr>
                <w:rStyle w:val="Hypertextovodkaz"/>
                <w:noProof/>
              </w:rPr>
              <w:t>2.4.2</w:t>
            </w:r>
            <w:r w:rsidR="00613F23" w:rsidRPr="00613F23">
              <w:rPr>
                <w:noProof/>
              </w:rPr>
              <w:tab/>
            </w:r>
            <w:r w:rsidR="00613F23" w:rsidRPr="00613F23">
              <w:rPr>
                <w:rStyle w:val="Hypertextovodkaz"/>
                <w:noProof/>
              </w:rPr>
              <w:t>Souběžnost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_Toc166756702 \h </w:instrText>
            </w:r>
            <w:r w:rsidR="00613F23" w:rsidRPr="00613F23">
              <w:rPr>
                <w:noProof/>
                <w:webHidden/>
              </w:rPr>
            </w:r>
            <w:r w:rsidR="00613F23" w:rsidRPr="00613F23">
              <w:rPr>
                <w:noProof/>
                <w:webHidden/>
              </w:rPr>
              <w:fldChar w:fldCharType="separate"/>
            </w:r>
            <w:r w:rsidR="00177E98">
              <w:rPr>
                <w:noProof/>
                <w:webHidden/>
              </w:rPr>
              <w:t>10</w:t>
            </w:r>
            <w:r w:rsidR="00613F23" w:rsidRPr="00613F23">
              <w:rPr>
                <w:noProof/>
                <w:webHidden/>
              </w:rPr>
              <w:fldChar w:fldCharType="end"/>
            </w:r>
          </w:hyperlink>
        </w:p>
        <w:p w14:paraId="0FBA381A" w14:textId="348D4B68" w:rsidR="00613F23" w:rsidRPr="00613F23" w:rsidRDefault="00B9200F">
          <w:pPr>
            <w:pStyle w:val="Obsah3"/>
            <w:tabs>
              <w:tab w:val="right" w:leader="dot" w:pos="9062"/>
            </w:tabs>
            <w:rPr>
              <w:noProof/>
            </w:rPr>
          </w:pPr>
          <w:hyperlink w:anchor="_Toc166756703" w:history="1">
            <w:r w:rsidR="00613F23" w:rsidRPr="00613F23">
              <w:rPr>
                <w:rStyle w:val="Hypertextovodkaz"/>
                <w:noProof/>
              </w:rPr>
              <w:t>2.4.3 Všeobecnost na vymezeném území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_Toc166756703 \h </w:instrText>
            </w:r>
            <w:r w:rsidR="00613F23" w:rsidRPr="00613F23">
              <w:rPr>
                <w:noProof/>
                <w:webHidden/>
              </w:rPr>
            </w:r>
            <w:r w:rsidR="00613F23" w:rsidRPr="00613F23">
              <w:rPr>
                <w:noProof/>
                <w:webHidden/>
              </w:rPr>
              <w:fldChar w:fldCharType="separate"/>
            </w:r>
            <w:r w:rsidR="00177E98">
              <w:rPr>
                <w:noProof/>
                <w:webHidden/>
              </w:rPr>
              <w:t>10</w:t>
            </w:r>
            <w:r w:rsidR="00613F23" w:rsidRPr="00613F23">
              <w:rPr>
                <w:noProof/>
                <w:webHidden/>
              </w:rPr>
              <w:fldChar w:fldCharType="end"/>
            </w:r>
          </w:hyperlink>
        </w:p>
        <w:p w14:paraId="7606FEEE" w14:textId="21560175" w:rsidR="00613F23" w:rsidRPr="00613F23" w:rsidRDefault="00B9200F">
          <w:pPr>
            <w:pStyle w:val="Obsah3"/>
            <w:tabs>
              <w:tab w:val="left" w:pos="1320"/>
              <w:tab w:val="right" w:leader="dot" w:pos="9062"/>
            </w:tabs>
            <w:rPr>
              <w:noProof/>
            </w:rPr>
          </w:pPr>
          <w:hyperlink w:anchor="_Toc166756704" w:history="1">
            <w:r w:rsidR="00613F23" w:rsidRPr="00613F23">
              <w:rPr>
                <w:rStyle w:val="Hypertextovodkaz"/>
                <w:noProof/>
              </w:rPr>
              <w:t>2.4.4</w:t>
            </w:r>
            <w:r w:rsidR="00613F23" w:rsidRPr="00613F23">
              <w:rPr>
                <w:noProof/>
              </w:rPr>
              <w:tab/>
            </w:r>
            <w:r w:rsidR="00613F23" w:rsidRPr="00613F23">
              <w:rPr>
                <w:rStyle w:val="Hypertextovodkaz"/>
                <w:noProof/>
              </w:rPr>
              <w:t>Dostupnost údajů z malých oblastí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_Toc166756704 \h </w:instrText>
            </w:r>
            <w:r w:rsidR="00613F23" w:rsidRPr="00613F23">
              <w:rPr>
                <w:noProof/>
                <w:webHidden/>
              </w:rPr>
            </w:r>
            <w:r w:rsidR="00613F23" w:rsidRPr="00613F23">
              <w:rPr>
                <w:noProof/>
                <w:webHidden/>
              </w:rPr>
              <w:fldChar w:fldCharType="separate"/>
            </w:r>
            <w:r w:rsidR="00177E98">
              <w:rPr>
                <w:noProof/>
                <w:webHidden/>
              </w:rPr>
              <w:t>10</w:t>
            </w:r>
            <w:r w:rsidR="00613F23" w:rsidRPr="00613F23">
              <w:rPr>
                <w:noProof/>
                <w:webHidden/>
              </w:rPr>
              <w:fldChar w:fldCharType="end"/>
            </w:r>
          </w:hyperlink>
        </w:p>
        <w:p w14:paraId="056EE73A" w14:textId="286005BE" w:rsidR="00613F23" w:rsidRPr="00613F23" w:rsidRDefault="00B9200F">
          <w:pPr>
            <w:pStyle w:val="Obsah3"/>
            <w:tabs>
              <w:tab w:val="left" w:pos="1320"/>
              <w:tab w:val="right" w:leader="dot" w:pos="9062"/>
            </w:tabs>
            <w:rPr>
              <w:noProof/>
            </w:rPr>
          </w:pPr>
          <w:hyperlink w:anchor="_Toc166756705" w:history="1">
            <w:r w:rsidR="00613F23" w:rsidRPr="00613F23">
              <w:rPr>
                <w:rStyle w:val="Hypertextovodkaz"/>
                <w:noProof/>
              </w:rPr>
              <w:t>2.4.5</w:t>
            </w:r>
            <w:r w:rsidR="00613F23" w:rsidRPr="00613F23">
              <w:rPr>
                <w:noProof/>
              </w:rPr>
              <w:tab/>
            </w:r>
            <w:r w:rsidR="00613F23" w:rsidRPr="00613F23">
              <w:rPr>
                <w:rStyle w:val="Hypertextovodkaz"/>
                <w:noProof/>
              </w:rPr>
              <w:t>Stanovená pravidelnost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_Toc166756705 \h </w:instrText>
            </w:r>
            <w:r w:rsidR="00613F23" w:rsidRPr="00613F23">
              <w:rPr>
                <w:noProof/>
                <w:webHidden/>
              </w:rPr>
            </w:r>
            <w:r w:rsidR="00613F23" w:rsidRPr="00613F23">
              <w:rPr>
                <w:noProof/>
                <w:webHidden/>
              </w:rPr>
              <w:fldChar w:fldCharType="separate"/>
            </w:r>
            <w:r w:rsidR="00177E98">
              <w:rPr>
                <w:noProof/>
                <w:webHidden/>
              </w:rPr>
              <w:t>11</w:t>
            </w:r>
            <w:r w:rsidR="00613F23" w:rsidRPr="00613F23">
              <w:rPr>
                <w:noProof/>
                <w:webHidden/>
              </w:rPr>
              <w:fldChar w:fldCharType="end"/>
            </w:r>
          </w:hyperlink>
        </w:p>
        <w:p w14:paraId="0AA94BCE" w14:textId="46B958AD" w:rsidR="00613F23" w:rsidRPr="00613F23" w:rsidRDefault="00B9200F">
          <w:pPr>
            <w:pStyle w:val="Obsah1"/>
            <w:tabs>
              <w:tab w:val="left" w:pos="440"/>
              <w:tab w:val="right" w:leader="dot" w:pos="9062"/>
            </w:tabs>
            <w:rPr>
              <w:noProof/>
            </w:rPr>
          </w:pPr>
          <w:hyperlink w:anchor="_Toc166756706" w:history="1">
            <w:r w:rsidR="00613F23" w:rsidRPr="00613F23">
              <w:rPr>
                <w:rStyle w:val="Hypertextovodkaz"/>
                <w:noProof/>
              </w:rPr>
              <w:t>3.</w:t>
            </w:r>
            <w:r w:rsidR="00613F23" w:rsidRPr="00613F23">
              <w:rPr>
                <w:noProof/>
              </w:rPr>
              <w:tab/>
            </w:r>
            <w:r w:rsidR="00613F23" w:rsidRPr="00613F23">
              <w:rPr>
                <w:rStyle w:val="Hypertextovodkaz"/>
                <w:noProof/>
              </w:rPr>
              <w:t>CYKLUS SČÍTÁNÍ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_Toc166756706 \h </w:instrText>
            </w:r>
            <w:r w:rsidR="00613F23" w:rsidRPr="00613F23">
              <w:rPr>
                <w:noProof/>
                <w:webHidden/>
              </w:rPr>
            </w:r>
            <w:r w:rsidR="00613F23" w:rsidRPr="00613F23">
              <w:rPr>
                <w:noProof/>
                <w:webHidden/>
              </w:rPr>
              <w:fldChar w:fldCharType="separate"/>
            </w:r>
            <w:r w:rsidR="00177E98">
              <w:rPr>
                <w:noProof/>
                <w:webHidden/>
              </w:rPr>
              <w:t>11</w:t>
            </w:r>
            <w:r w:rsidR="00613F23" w:rsidRPr="00613F23">
              <w:rPr>
                <w:noProof/>
                <w:webHidden/>
              </w:rPr>
              <w:fldChar w:fldCharType="end"/>
            </w:r>
          </w:hyperlink>
        </w:p>
        <w:p w14:paraId="1BCDC600" w14:textId="4F569B7E" w:rsidR="00613F23" w:rsidRPr="00613F23" w:rsidRDefault="00B9200F">
          <w:pPr>
            <w:pStyle w:val="Obsah2"/>
            <w:tabs>
              <w:tab w:val="left" w:pos="880"/>
              <w:tab w:val="right" w:leader="dot" w:pos="9062"/>
            </w:tabs>
            <w:rPr>
              <w:noProof/>
            </w:rPr>
          </w:pPr>
          <w:hyperlink w:anchor="_Toc166756707" w:history="1">
            <w:r w:rsidR="00613F23" w:rsidRPr="00613F23">
              <w:rPr>
                <w:rStyle w:val="Hypertextovodkaz"/>
                <w:noProof/>
              </w:rPr>
              <w:t>3.1</w:t>
            </w:r>
            <w:r w:rsidR="00613F23" w:rsidRPr="00613F23">
              <w:rPr>
                <w:noProof/>
              </w:rPr>
              <w:tab/>
            </w:r>
            <w:r w:rsidR="00613F23" w:rsidRPr="00613F23">
              <w:rPr>
                <w:rStyle w:val="Hypertextovodkaz"/>
                <w:noProof/>
              </w:rPr>
              <w:t>Referenční datum</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_Toc166756707 \h </w:instrText>
            </w:r>
            <w:r w:rsidR="00613F23" w:rsidRPr="00613F23">
              <w:rPr>
                <w:noProof/>
                <w:webHidden/>
              </w:rPr>
            </w:r>
            <w:r w:rsidR="00613F23" w:rsidRPr="00613F23">
              <w:rPr>
                <w:noProof/>
                <w:webHidden/>
              </w:rPr>
              <w:fldChar w:fldCharType="separate"/>
            </w:r>
            <w:r w:rsidR="00177E98">
              <w:rPr>
                <w:noProof/>
                <w:webHidden/>
              </w:rPr>
              <w:t>11</w:t>
            </w:r>
            <w:r w:rsidR="00613F23" w:rsidRPr="00613F23">
              <w:rPr>
                <w:noProof/>
                <w:webHidden/>
              </w:rPr>
              <w:fldChar w:fldCharType="end"/>
            </w:r>
          </w:hyperlink>
        </w:p>
        <w:p w14:paraId="4031AF43" w14:textId="18AA3E4B" w:rsidR="00613F23" w:rsidRPr="00613F23" w:rsidRDefault="00B9200F">
          <w:pPr>
            <w:pStyle w:val="Obsah2"/>
            <w:tabs>
              <w:tab w:val="left" w:pos="880"/>
              <w:tab w:val="right" w:leader="dot" w:pos="9062"/>
            </w:tabs>
            <w:rPr>
              <w:noProof/>
            </w:rPr>
          </w:pPr>
          <w:hyperlink w:anchor="_Toc166756708" w:history="1">
            <w:r w:rsidR="00613F23" w:rsidRPr="00613F23">
              <w:rPr>
                <w:rStyle w:val="Hypertextovodkaz"/>
                <w:noProof/>
              </w:rPr>
              <w:t>3.2</w:t>
            </w:r>
            <w:r w:rsidR="00613F23" w:rsidRPr="00613F23">
              <w:rPr>
                <w:noProof/>
              </w:rPr>
              <w:tab/>
            </w:r>
            <w:r w:rsidR="00613F23" w:rsidRPr="00613F23">
              <w:rPr>
                <w:rStyle w:val="Hypertextovodkaz"/>
                <w:noProof/>
              </w:rPr>
              <w:t>Příprava a provedení sběru dat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_Toc166756708 \h </w:instrText>
            </w:r>
            <w:r w:rsidR="00613F23" w:rsidRPr="00613F23">
              <w:rPr>
                <w:noProof/>
                <w:webHidden/>
              </w:rPr>
            </w:r>
            <w:r w:rsidR="00613F23" w:rsidRPr="00613F23">
              <w:rPr>
                <w:noProof/>
                <w:webHidden/>
              </w:rPr>
              <w:fldChar w:fldCharType="separate"/>
            </w:r>
            <w:r w:rsidR="00177E98">
              <w:rPr>
                <w:noProof/>
                <w:webHidden/>
              </w:rPr>
              <w:t>11</w:t>
            </w:r>
            <w:r w:rsidR="00613F23" w:rsidRPr="00613F23">
              <w:rPr>
                <w:noProof/>
                <w:webHidden/>
              </w:rPr>
              <w:fldChar w:fldCharType="end"/>
            </w:r>
          </w:hyperlink>
        </w:p>
        <w:p w14:paraId="4D1D7F32" w14:textId="691BB3CC" w:rsidR="00613F23" w:rsidRPr="00613F23" w:rsidRDefault="00B9200F">
          <w:pPr>
            <w:pStyle w:val="Obsah3"/>
            <w:tabs>
              <w:tab w:val="left" w:pos="1320"/>
              <w:tab w:val="right" w:leader="dot" w:pos="9062"/>
            </w:tabs>
            <w:rPr>
              <w:noProof/>
            </w:rPr>
          </w:pPr>
          <w:hyperlink w:anchor="_Toc166756709" w:history="1">
            <w:r w:rsidR="00613F23" w:rsidRPr="00613F23">
              <w:rPr>
                <w:rStyle w:val="Hypertextovodkaz"/>
                <w:noProof/>
              </w:rPr>
              <w:t xml:space="preserve">3.2.1 </w:t>
            </w:r>
            <w:r w:rsidR="00613F23" w:rsidRPr="00613F23">
              <w:rPr>
                <w:noProof/>
              </w:rPr>
              <w:tab/>
            </w:r>
            <w:r w:rsidR="00613F23" w:rsidRPr="00613F23">
              <w:rPr>
                <w:rStyle w:val="Hypertextovodkaz"/>
                <w:noProof/>
              </w:rPr>
              <w:t>Údaje založené na dotaznících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_Toc166756709 \h </w:instrText>
            </w:r>
            <w:r w:rsidR="00613F23" w:rsidRPr="00613F23">
              <w:rPr>
                <w:noProof/>
                <w:webHidden/>
              </w:rPr>
            </w:r>
            <w:r w:rsidR="00613F23" w:rsidRPr="00613F23">
              <w:rPr>
                <w:noProof/>
                <w:webHidden/>
              </w:rPr>
              <w:fldChar w:fldCharType="separate"/>
            </w:r>
            <w:r w:rsidR="00177E98">
              <w:rPr>
                <w:noProof/>
                <w:webHidden/>
              </w:rPr>
              <w:t>11</w:t>
            </w:r>
            <w:r w:rsidR="00613F23" w:rsidRPr="00613F23">
              <w:rPr>
                <w:noProof/>
                <w:webHidden/>
              </w:rPr>
              <w:fldChar w:fldCharType="end"/>
            </w:r>
          </w:hyperlink>
        </w:p>
        <w:p w14:paraId="7FA5838B" w14:textId="760A84E8" w:rsidR="00613F23" w:rsidRPr="00613F23" w:rsidRDefault="00B9200F">
          <w:pPr>
            <w:pStyle w:val="Obsah3"/>
            <w:tabs>
              <w:tab w:val="left" w:pos="1320"/>
              <w:tab w:val="right" w:leader="dot" w:pos="9062"/>
            </w:tabs>
            <w:rPr>
              <w:noProof/>
            </w:rPr>
          </w:pPr>
          <w:hyperlink w:anchor="_Toc166756710" w:history="1">
            <w:r w:rsidR="00613F23" w:rsidRPr="00613F23">
              <w:rPr>
                <w:rStyle w:val="Hypertextovodkaz"/>
                <w:noProof/>
              </w:rPr>
              <w:t xml:space="preserve">3.2.2 </w:t>
            </w:r>
            <w:r w:rsidR="00613F23" w:rsidRPr="00613F23">
              <w:rPr>
                <w:noProof/>
              </w:rPr>
              <w:tab/>
            </w:r>
            <w:r w:rsidR="00613F23" w:rsidRPr="00613F23">
              <w:rPr>
                <w:rStyle w:val="Hypertextovodkaz"/>
                <w:noProof/>
              </w:rPr>
              <w:t>Údaje založené na registrech</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_Toc166756710 \h </w:instrText>
            </w:r>
            <w:r w:rsidR="00613F23" w:rsidRPr="00613F23">
              <w:rPr>
                <w:noProof/>
                <w:webHidden/>
              </w:rPr>
            </w:r>
            <w:r w:rsidR="00613F23" w:rsidRPr="00613F23">
              <w:rPr>
                <w:noProof/>
                <w:webHidden/>
              </w:rPr>
              <w:fldChar w:fldCharType="separate"/>
            </w:r>
            <w:r w:rsidR="00177E98">
              <w:rPr>
                <w:noProof/>
                <w:webHidden/>
              </w:rPr>
              <w:t>14</w:t>
            </w:r>
            <w:r w:rsidR="00613F23" w:rsidRPr="00613F23">
              <w:rPr>
                <w:noProof/>
                <w:webHidden/>
              </w:rPr>
              <w:fldChar w:fldCharType="end"/>
            </w:r>
          </w:hyperlink>
        </w:p>
        <w:p w14:paraId="0BB4584C" w14:textId="05A4B63A" w:rsidR="00613F23" w:rsidRPr="00613F23" w:rsidRDefault="00B9200F">
          <w:pPr>
            <w:pStyle w:val="Obsah3"/>
            <w:tabs>
              <w:tab w:val="right" w:leader="dot" w:pos="9062"/>
            </w:tabs>
            <w:rPr>
              <w:noProof/>
            </w:rPr>
          </w:pPr>
          <w:hyperlink w:anchor="_Toc166756711" w:history="1">
            <w:r w:rsidR="00613F23" w:rsidRPr="00613F23">
              <w:rPr>
                <w:rStyle w:val="Hypertextovodkaz"/>
                <w:noProof/>
              </w:rPr>
              <w:t>3.2.3 Údaje získané kombinací metod</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_Toc166756711 \h </w:instrText>
            </w:r>
            <w:r w:rsidR="00613F23" w:rsidRPr="00613F23">
              <w:rPr>
                <w:noProof/>
                <w:webHidden/>
              </w:rPr>
            </w:r>
            <w:r w:rsidR="00613F23" w:rsidRPr="00613F23">
              <w:rPr>
                <w:noProof/>
                <w:webHidden/>
              </w:rPr>
              <w:fldChar w:fldCharType="separate"/>
            </w:r>
            <w:r w:rsidR="00177E98">
              <w:rPr>
                <w:noProof/>
                <w:webHidden/>
              </w:rPr>
              <w:t>15</w:t>
            </w:r>
            <w:r w:rsidR="00613F23" w:rsidRPr="00613F23">
              <w:rPr>
                <w:noProof/>
                <w:webHidden/>
              </w:rPr>
              <w:fldChar w:fldCharType="end"/>
            </w:r>
          </w:hyperlink>
        </w:p>
        <w:p w14:paraId="20AC0532" w14:textId="251C642B" w:rsidR="00613F23" w:rsidRPr="00613F23" w:rsidRDefault="00B9200F">
          <w:pPr>
            <w:pStyle w:val="Obsah2"/>
            <w:tabs>
              <w:tab w:val="left" w:pos="880"/>
              <w:tab w:val="right" w:leader="dot" w:pos="9062"/>
            </w:tabs>
            <w:rPr>
              <w:noProof/>
            </w:rPr>
          </w:pPr>
          <w:hyperlink w:anchor="_Toc166756712" w:history="1">
            <w:r w:rsidR="00613F23" w:rsidRPr="00613F23">
              <w:rPr>
                <w:rStyle w:val="Hypertextovodkaz"/>
                <w:noProof/>
              </w:rPr>
              <w:t>3.3</w:t>
            </w:r>
            <w:r w:rsidR="00613F23" w:rsidRPr="00613F23">
              <w:rPr>
                <w:noProof/>
              </w:rPr>
              <w:tab/>
            </w:r>
            <w:r w:rsidR="00613F23" w:rsidRPr="00613F23">
              <w:rPr>
                <w:rStyle w:val="Hypertextovodkaz"/>
                <w:noProof/>
              </w:rPr>
              <w:t>Zpracování a vyhodnocení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_Toc166756712 \h </w:instrText>
            </w:r>
            <w:r w:rsidR="00613F23" w:rsidRPr="00613F23">
              <w:rPr>
                <w:noProof/>
                <w:webHidden/>
              </w:rPr>
            </w:r>
            <w:r w:rsidR="00613F23" w:rsidRPr="00613F23">
              <w:rPr>
                <w:noProof/>
                <w:webHidden/>
              </w:rPr>
              <w:fldChar w:fldCharType="separate"/>
            </w:r>
            <w:r w:rsidR="00177E98">
              <w:rPr>
                <w:noProof/>
                <w:webHidden/>
              </w:rPr>
              <w:t>17</w:t>
            </w:r>
            <w:r w:rsidR="00613F23" w:rsidRPr="00613F23">
              <w:rPr>
                <w:noProof/>
                <w:webHidden/>
              </w:rPr>
              <w:fldChar w:fldCharType="end"/>
            </w:r>
          </w:hyperlink>
        </w:p>
        <w:p w14:paraId="025021BD" w14:textId="7CD9DC3B" w:rsidR="00613F23" w:rsidRPr="00613F23" w:rsidRDefault="00B9200F">
          <w:pPr>
            <w:pStyle w:val="Obsah3"/>
            <w:tabs>
              <w:tab w:val="left" w:pos="1320"/>
              <w:tab w:val="right" w:leader="dot" w:pos="9062"/>
            </w:tabs>
            <w:rPr>
              <w:noProof/>
            </w:rPr>
          </w:pPr>
          <w:hyperlink w:anchor="_Toc166756713" w:history="1">
            <w:r w:rsidR="00613F23" w:rsidRPr="00613F23">
              <w:rPr>
                <w:rStyle w:val="Hypertextovodkaz"/>
                <w:noProof/>
              </w:rPr>
              <w:t>3.3.1</w:t>
            </w:r>
            <w:r w:rsidR="00613F23" w:rsidRPr="00613F23">
              <w:rPr>
                <w:noProof/>
              </w:rPr>
              <w:tab/>
            </w:r>
            <w:r w:rsidR="00613F23" w:rsidRPr="00613F23">
              <w:rPr>
                <w:rStyle w:val="Hypertextovodkaz"/>
                <w:noProof/>
              </w:rPr>
              <w:t>Zpracování dat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_Toc166756713 \h </w:instrText>
            </w:r>
            <w:r w:rsidR="00613F23" w:rsidRPr="00613F23">
              <w:rPr>
                <w:noProof/>
                <w:webHidden/>
              </w:rPr>
            </w:r>
            <w:r w:rsidR="00613F23" w:rsidRPr="00613F23">
              <w:rPr>
                <w:noProof/>
                <w:webHidden/>
              </w:rPr>
              <w:fldChar w:fldCharType="separate"/>
            </w:r>
            <w:r w:rsidR="00177E98">
              <w:rPr>
                <w:noProof/>
                <w:webHidden/>
              </w:rPr>
              <w:t>17</w:t>
            </w:r>
            <w:r w:rsidR="00613F23" w:rsidRPr="00613F23">
              <w:rPr>
                <w:noProof/>
                <w:webHidden/>
              </w:rPr>
              <w:fldChar w:fldCharType="end"/>
            </w:r>
          </w:hyperlink>
        </w:p>
        <w:p w14:paraId="572B0994" w14:textId="2FE1927D" w:rsidR="00613F23" w:rsidRPr="00613F23" w:rsidRDefault="00B9200F">
          <w:pPr>
            <w:pStyle w:val="Obsah3"/>
            <w:tabs>
              <w:tab w:val="left" w:pos="1320"/>
              <w:tab w:val="right" w:leader="dot" w:pos="9062"/>
            </w:tabs>
            <w:rPr>
              <w:noProof/>
            </w:rPr>
          </w:pPr>
          <w:hyperlink w:anchor="_Toc166756714" w:history="1">
            <w:r w:rsidR="00613F23" w:rsidRPr="00613F23">
              <w:rPr>
                <w:rStyle w:val="Hypertextovodkaz"/>
                <w:noProof/>
              </w:rPr>
              <w:t>3.3.2</w:t>
            </w:r>
            <w:r w:rsidR="00613F23" w:rsidRPr="00613F23">
              <w:rPr>
                <w:noProof/>
              </w:rPr>
              <w:tab/>
            </w:r>
            <w:r w:rsidR="00613F23" w:rsidRPr="00613F23">
              <w:rPr>
                <w:rStyle w:val="Hypertextovodkaz"/>
                <w:noProof/>
              </w:rPr>
              <w:t>Posouzení pokrytí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_Toc166756714 \h </w:instrText>
            </w:r>
            <w:r w:rsidR="00613F23" w:rsidRPr="00613F23">
              <w:rPr>
                <w:noProof/>
                <w:webHidden/>
              </w:rPr>
            </w:r>
            <w:r w:rsidR="00613F23" w:rsidRPr="00613F23">
              <w:rPr>
                <w:noProof/>
                <w:webHidden/>
              </w:rPr>
              <w:fldChar w:fldCharType="separate"/>
            </w:r>
            <w:r w:rsidR="00177E98">
              <w:rPr>
                <w:noProof/>
                <w:webHidden/>
              </w:rPr>
              <w:t>18</w:t>
            </w:r>
            <w:r w:rsidR="00613F23" w:rsidRPr="00613F23">
              <w:rPr>
                <w:noProof/>
                <w:webHidden/>
              </w:rPr>
              <w:fldChar w:fldCharType="end"/>
            </w:r>
          </w:hyperlink>
        </w:p>
        <w:p w14:paraId="291B5C45" w14:textId="1B13C137" w:rsidR="00613F23" w:rsidRPr="00613F23" w:rsidRDefault="00B9200F">
          <w:pPr>
            <w:pStyle w:val="Obsah2"/>
            <w:tabs>
              <w:tab w:val="left" w:pos="880"/>
              <w:tab w:val="right" w:leader="dot" w:pos="9062"/>
            </w:tabs>
            <w:rPr>
              <w:noProof/>
            </w:rPr>
          </w:pPr>
          <w:hyperlink w:anchor="_Toc166756715" w:history="1">
            <w:r w:rsidR="00613F23" w:rsidRPr="00613F23">
              <w:rPr>
                <w:rStyle w:val="Hypertextovodkaz"/>
                <w:noProof/>
              </w:rPr>
              <w:t>3.4</w:t>
            </w:r>
            <w:r w:rsidR="00613F23" w:rsidRPr="00613F23">
              <w:rPr>
                <w:noProof/>
              </w:rPr>
              <w:tab/>
            </w:r>
            <w:r w:rsidR="00613F23" w:rsidRPr="00613F23">
              <w:rPr>
                <w:rStyle w:val="Hypertextovodkaz"/>
                <w:noProof/>
              </w:rPr>
              <w:t>Šíření</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_Toc166756715 \h </w:instrText>
            </w:r>
            <w:r w:rsidR="00613F23" w:rsidRPr="00613F23">
              <w:rPr>
                <w:noProof/>
                <w:webHidden/>
              </w:rPr>
            </w:r>
            <w:r w:rsidR="00613F23" w:rsidRPr="00613F23">
              <w:rPr>
                <w:noProof/>
                <w:webHidden/>
              </w:rPr>
              <w:fldChar w:fldCharType="separate"/>
            </w:r>
            <w:r w:rsidR="00177E98">
              <w:rPr>
                <w:noProof/>
                <w:webHidden/>
              </w:rPr>
              <w:t>19</w:t>
            </w:r>
            <w:r w:rsidR="00613F23" w:rsidRPr="00613F23">
              <w:rPr>
                <w:noProof/>
                <w:webHidden/>
              </w:rPr>
              <w:fldChar w:fldCharType="end"/>
            </w:r>
          </w:hyperlink>
        </w:p>
        <w:p w14:paraId="19AF83F5" w14:textId="233B522B" w:rsidR="00613F23" w:rsidRPr="00613F23" w:rsidRDefault="00B9200F">
          <w:pPr>
            <w:pStyle w:val="Obsah2"/>
            <w:tabs>
              <w:tab w:val="left" w:pos="880"/>
              <w:tab w:val="right" w:leader="dot" w:pos="9062"/>
            </w:tabs>
            <w:rPr>
              <w:noProof/>
            </w:rPr>
          </w:pPr>
          <w:hyperlink w:anchor="_Toc166756716" w:history="1">
            <w:r w:rsidR="00613F23" w:rsidRPr="00613F23">
              <w:rPr>
                <w:rStyle w:val="Hypertextovodkaz"/>
                <w:noProof/>
              </w:rPr>
              <w:t>3.5</w:t>
            </w:r>
            <w:r w:rsidR="00613F23" w:rsidRPr="00613F23">
              <w:rPr>
                <w:noProof/>
              </w:rPr>
              <w:tab/>
            </w:r>
            <w:r w:rsidR="00613F23" w:rsidRPr="00613F23">
              <w:rPr>
                <w:rStyle w:val="Hypertextovodkaz"/>
                <w:noProof/>
              </w:rPr>
              <w:t>Opatření k zajištění nákladové efektivnosti</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_Toc166756716 \h </w:instrText>
            </w:r>
            <w:r w:rsidR="00613F23" w:rsidRPr="00613F23">
              <w:rPr>
                <w:noProof/>
                <w:webHidden/>
              </w:rPr>
            </w:r>
            <w:r w:rsidR="00613F23" w:rsidRPr="00613F23">
              <w:rPr>
                <w:noProof/>
                <w:webHidden/>
              </w:rPr>
              <w:fldChar w:fldCharType="separate"/>
            </w:r>
            <w:r w:rsidR="00177E98">
              <w:rPr>
                <w:noProof/>
                <w:webHidden/>
              </w:rPr>
              <w:t>20</w:t>
            </w:r>
            <w:r w:rsidR="00613F23" w:rsidRPr="00613F23">
              <w:rPr>
                <w:noProof/>
                <w:webHidden/>
              </w:rPr>
              <w:fldChar w:fldCharType="end"/>
            </w:r>
          </w:hyperlink>
        </w:p>
        <w:p w14:paraId="7D660D04" w14:textId="39D60B93" w:rsidR="00613F23" w:rsidRPr="00613F23" w:rsidRDefault="00B9200F">
          <w:pPr>
            <w:pStyle w:val="Obsah1"/>
            <w:tabs>
              <w:tab w:val="left" w:pos="440"/>
              <w:tab w:val="right" w:leader="dot" w:pos="9062"/>
            </w:tabs>
            <w:rPr>
              <w:noProof/>
            </w:rPr>
          </w:pPr>
          <w:hyperlink w:anchor="_Toc166756717" w:history="1">
            <w:r w:rsidR="00613F23" w:rsidRPr="00613F23">
              <w:rPr>
                <w:rStyle w:val="Hypertextovodkaz"/>
                <w:noProof/>
              </w:rPr>
              <w:t>4.</w:t>
            </w:r>
            <w:r w:rsidR="00613F23" w:rsidRPr="00613F23">
              <w:rPr>
                <w:noProof/>
              </w:rPr>
              <w:tab/>
            </w:r>
            <w:r w:rsidR="00613F23" w:rsidRPr="00613F23">
              <w:rPr>
                <w:rStyle w:val="Hypertextovodkaz"/>
                <w:noProof/>
              </w:rPr>
              <w:t>HODNOCENÍ KVALITY DAT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_Toc166756717 \h </w:instrText>
            </w:r>
            <w:r w:rsidR="00613F23" w:rsidRPr="00613F23">
              <w:rPr>
                <w:noProof/>
                <w:webHidden/>
              </w:rPr>
            </w:r>
            <w:r w:rsidR="00613F23" w:rsidRPr="00613F23">
              <w:rPr>
                <w:noProof/>
                <w:webHidden/>
              </w:rPr>
              <w:fldChar w:fldCharType="separate"/>
            </w:r>
            <w:r w:rsidR="00177E98">
              <w:rPr>
                <w:noProof/>
                <w:webHidden/>
              </w:rPr>
              <w:t>20</w:t>
            </w:r>
            <w:r w:rsidR="00613F23" w:rsidRPr="00613F23">
              <w:rPr>
                <w:noProof/>
                <w:webHidden/>
              </w:rPr>
              <w:fldChar w:fldCharType="end"/>
            </w:r>
          </w:hyperlink>
        </w:p>
        <w:p w14:paraId="4F0E4970" w14:textId="3416ABB6" w:rsidR="00613F23" w:rsidRPr="00613F23" w:rsidRDefault="00B9200F">
          <w:pPr>
            <w:pStyle w:val="Obsah2"/>
            <w:tabs>
              <w:tab w:val="left" w:pos="880"/>
              <w:tab w:val="right" w:leader="dot" w:pos="9062"/>
            </w:tabs>
            <w:rPr>
              <w:noProof/>
            </w:rPr>
          </w:pPr>
          <w:hyperlink w:anchor="_Toc166756718" w:history="1">
            <w:r w:rsidR="00613F23" w:rsidRPr="00613F23">
              <w:rPr>
                <w:rStyle w:val="Hypertextovodkaz"/>
                <w:noProof/>
              </w:rPr>
              <w:t>4.1</w:t>
            </w:r>
            <w:r w:rsidR="00613F23" w:rsidRPr="00613F23">
              <w:rPr>
                <w:noProof/>
              </w:rPr>
              <w:tab/>
            </w:r>
            <w:r w:rsidR="00613F23" w:rsidRPr="00613F23">
              <w:rPr>
                <w:rStyle w:val="Hypertextovodkaz"/>
                <w:noProof/>
              </w:rPr>
              <w:t>Srovnatelnost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_Toc166756718 \h </w:instrText>
            </w:r>
            <w:r w:rsidR="00613F23" w:rsidRPr="00613F23">
              <w:rPr>
                <w:noProof/>
                <w:webHidden/>
              </w:rPr>
            </w:r>
            <w:r w:rsidR="00613F23" w:rsidRPr="00613F23">
              <w:rPr>
                <w:noProof/>
                <w:webHidden/>
              </w:rPr>
              <w:fldChar w:fldCharType="separate"/>
            </w:r>
            <w:r w:rsidR="00177E98">
              <w:rPr>
                <w:noProof/>
                <w:webHidden/>
              </w:rPr>
              <w:t>20</w:t>
            </w:r>
            <w:r w:rsidR="00613F23" w:rsidRPr="00613F23">
              <w:rPr>
                <w:noProof/>
                <w:webHidden/>
              </w:rPr>
              <w:fldChar w:fldCharType="end"/>
            </w:r>
          </w:hyperlink>
        </w:p>
        <w:p w14:paraId="7224389C" w14:textId="76DD27F5" w:rsidR="00613F23" w:rsidRPr="00613F23" w:rsidRDefault="00B9200F">
          <w:pPr>
            <w:pStyle w:val="Obsah2"/>
            <w:tabs>
              <w:tab w:val="left" w:pos="880"/>
              <w:tab w:val="right" w:leader="dot" w:pos="9062"/>
            </w:tabs>
            <w:rPr>
              <w:noProof/>
            </w:rPr>
          </w:pPr>
          <w:hyperlink w:anchor="_Toc166756719" w:history="1">
            <w:r w:rsidR="00613F23" w:rsidRPr="00613F23">
              <w:rPr>
                <w:rStyle w:val="Hypertextovodkaz"/>
                <w:noProof/>
              </w:rPr>
              <w:t>4.2</w:t>
            </w:r>
            <w:r w:rsidR="00613F23" w:rsidRPr="00613F23">
              <w:rPr>
                <w:noProof/>
              </w:rPr>
              <w:tab/>
            </w:r>
            <w:r w:rsidR="00613F23" w:rsidRPr="00613F23">
              <w:rPr>
                <w:rStyle w:val="Hypertextovodkaz"/>
                <w:noProof/>
              </w:rPr>
              <w:t>Včasnost a dochvilnost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_Toc166756719 \h </w:instrText>
            </w:r>
            <w:r w:rsidR="00613F23" w:rsidRPr="00613F23">
              <w:rPr>
                <w:noProof/>
                <w:webHidden/>
              </w:rPr>
            </w:r>
            <w:r w:rsidR="00613F23" w:rsidRPr="00613F23">
              <w:rPr>
                <w:noProof/>
                <w:webHidden/>
              </w:rPr>
              <w:fldChar w:fldCharType="separate"/>
            </w:r>
            <w:r w:rsidR="00177E98">
              <w:rPr>
                <w:noProof/>
                <w:webHidden/>
              </w:rPr>
              <w:t>21</w:t>
            </w:r>
            <w:r w:rsidR="00613F23" w:rsidRPr="00613F23">
              <w:rPr>
                <w:noProof/>
                <w:webHidden/>
              </w:rPr>
              <w:fldChar w:fldCharType="end"/>
            </w:r>
          </w:hyperlink>
        </w:p>
        <w:p w14:paraId="729C9A3A" w14:textId="2CD8DEF9" w:rsidR="00613F23" w:rsidRPr="00613F23" w:rsidRDefault="00B9200F">
          <w:pPr>
            <w:pStyle w:val="Obsah2"/>
            <w:tabs>
              <w:tab w:val="left" w:pos="880"/>
              <w:tab w:val="right" w:leader="dot" w:pos="9062"/>
            </w:tabs>
            <w:rPr>
              <w:noProof/>
            </w:rPr>
          </w:pPr>
          <w:hyperlink w:anchor="_Toc166756720" w:history="1">
            <w:r w:rsidR="00613F23" w:rsidRPr="00613F23">
              <w:rPr>
                <w:rStyle w:val="Hypertextovodkaz"/>
                <w:noProof/>
              </w:rPr>
              <w:t>4.3</w:t>
            </w:r>
            <w:r w:rsidR="00613F23" w:rsidRPr="00613F23">
              <w:rPr>
                <w:noProof/>
              </w:rPr>
              <w:tab/>
            </w:r>
            <w:r w:rsidR="00613F23" w:rsidRPr="00613F23">
              <w:rPr>
                <w:rStyle w:val="Hypertextovodkaz"/>
                <w:noProof/>
              </w:rPr>
              <w:t>Soudržnost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_Toc166756720 \h </w:instrText>
            </w:r>
            <w:r w:rsidR="00613F23" w:rsidRPr="00613F23">
              <w:rPr>
                <w:noProof/>
                <w:webHidden/>
              </w:rPr>
            </w:r>
            <w:r w:rsidR="00613F23" w:rsidRPr="00613F23">
              <w:rPr>
                <w:noProof/>
                <w:webHidden/>
              </w:rPr>
              <w:fldChar w:fldCharType="separate"/>
            </w:r>
            <w:r w:rsidR="00177E98">
              <w:rPr>
                <w:noProof/>
                <w:webHidden/>
              </w:rPr>
              <w:t>21</w:t>
            </w:r>
            <w:r w:rsidR="00613F23" w:rsidRPr="00613F23">
              <w:rPr>
                <w:noProof/>
                <w:webHidden/>
              </w:rPr>
              <w:fldChar w:fldCharType="end"/>
            </w:r>
          </w:hyperlink>
        </w:p>
        <w:p w14:paraId="7CD59016" w14:textId="53733BA0" w:rsidR="00613F23" w:rsidRPr="00613F23" w:rsidRDefault="00B9200F">
          <w:pPr>
            <w:pStyle w:val="Obsah2"/>
            <w:tabs>
              <w:tab w:val="left" w:pos="880"/>
              <w:tab w:val="right" w:leader="dot" w:pos="9062"/>
            </w:tabs>
            <w:rPr>
              <w:noProof/>
            </w:rPr>
          </w:pPr>
          <w:hyperlink w:anchor="_Toc166756721" w:history="1">
            <w:r w:rsidR="00613F23" w:rsidRPr="00613F23">
              <w:rPr>
                <w:rStyle w:val="Hypertextovodkaz"/>
                <w:noProof/>
              </w:rPr>
              <w:t>4.4</w:t>
            </w:r>
            <w:r w:rsidR="00613F23" w:rsidRPr="00613F23">
              <w:rPr>
                <w:noProof/>
              </w:rPr>
              <w:tab/>
            </w:r>
            <w:r w:rsidR="00613F23" w:rsidRPr="00613F23">
              <w:rPr>
                <w:rStyle w:val="Hypertextovodkaz"/>
                <w:noProof/>
              </w:rPr>
              <w:t>Pokrytí a přesnost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_Toc166756721 \h </w:instrText>
            </w:r>
            <w:r w:rsidR="00613F23" w:rsidRPr="00613F23">
              <w:rPr>
                <w:noProof/>
                <w:webHidden/>
              </w:rPr>
            </w:r>
            <w:r w:rsidR="00613F23" w:rsidRPr="00613F23">
              <w:rPr>
                <w:noProof/>
                <w:webHidden/>
              </w:rPr>
              <w:fldChar w:fldCharType="separate"/>
            </w:r>
            <w:r w:rsidR="00177E98">
              <w:rPr>
                <w:noProof/>
                <w:webHidden/>
              </w:rPr>
              <w:t>22</w:t>
            </w:r>
            <w:r w:rsidR="00613F23" w:rsidRPr="00613F23">
              <w:rPr>
                <w:noProof/>
                <w:webHidden/>
              </w:rPr>
              <w:fldChar w:fldCharType="end"/>
            </w:r>
          </w:hyperlink>
        </w:p>
        <w:p w14:paraId="2805A749" w14:textId="6BAFA239" w:rsidR="00613F23" w:rsidRPr="00613F23" w:rsidRDefault="00B9200F">
          <w:pPr>
            <w:pStyle w:val="Obsah2"/>
            <w:tabs>
              <w:tab w:val="left" w:pos="880"/>
              <w:tab w:val="right" w:leader="dot" w:pos="9062"/>
            </w:tabs>
            <w:rPr>
              <w:noProof/>
            </w:rPr>
          </w:pPr>
          <w:hyperlink w:anchor="_Toc166756722" w:history="1">
            <w:r w:rsidR="00613F23" w:rsidRPr="00613F23">
              <w:rPr>
                <w:rStyle w:val="Hypertextovodkaz"/>
                <w:noProof/>
              </w:rPr>
              <w:t>4.5</w:t>
            </w:r>
            <w:r w:rsidR="00613F23" w:rsidRPr="00613F23">
              <w:rPr>
                <w:noProof/>
              </w:rPr>
              <w:tab/>
            </w:r>
            <w:r w:rsidR="00613F23" w:rsidRPr="00613F23">
              <w:rPr>
                <w:rStyle w:val="Hypertextovodkaz"/>
                <w:noProof/>
              </w:rPr>
              <w:t>Úplnost</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_Toc166756722 \h </w:instrText>
            </w:r>
            <w:r w:rsidR="00613F23" w:rsidRPr="00613F23">
              <w:rPr>
                <w:noProof/>
                <w:webHidden/>
              </w:rPr>
            </w:r>
            <w:r w:rsidR="00613F23" w:rsidRPr="00613F23">
              <w:rPr>
                <w:noProof/>
                <w:webHidden/>
              </w:rPr>
              <w:fldChar w:fldCharType="separate"/>
            </w:r>
            <w:r w:rsidR="00177E98">
              <w:rPr>
                <w:noProof/>
                <w:webHidden/>
              </w:rPr>
              <w:t>23</w:t>
            </w:r>
            <w:r w:rsidR="00613F23" w:rsidRPr="00613F23">
              <w:rPr>
                <w:noProof/>
                <w:webHidden/>
              </w:rPr>
              <w:fldChar w:fldCharType="end"/>
            </w:r>
          </w:hyperlink>
        </w:p>
        <w:p w14:paraId="7BEF68C4" w14:textId="797117BF" w:rsidR="00613F23" w:rsidRPr="00613F23" w:rsidRDefault="00B9200F">
          <w:pPr>
            <w:pStyle w:val="Obsah2"/>
            <w:tabs>
              <w:tab w:val="left" w:pos="880"/>
              <w:tab w:val="right" w:leader="dot" w:pos="9062"/>
            </w:tabs>
            <w:rPr>
              <w:noProof/>
            </w:rPr>
          </w:pPr>
          <w:hyperlink w:anchor="_Toc166756723" w:history="1">
            <w:r w:rsidR="00613F23" w:rsidRPr="00613F23">
              <w:rPr>
                <w:rStyle w:val="Hypertextovodkaz"/>
                <w:noProof/>
              </w:rPr>
              <w:t>4.6</w:t>
            </w:r>
            <w:r w:rsidR="00613F23" w:rsidRPr="00613F23">
              <w:rPr>
                <w:noProof/>
              </w:rPr>
              <w:tab/>
            </w:r>
            <w:r w:rsidR="00613F23" w:rsidRPr="00613F23">
              <w:rPr>
                <w:rStyle w:val="Hypertextovodkaz"/>
                <w:noProof/>
              </w:rPr>
              <w:t>Relevance</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_Toc166756723 \h </w:instrText>
            </w:r>
            <w:r w:rsidR="00613F23" w:rsidRPr="00613F23">
              <w:rPr>
                <w:noProof/>
                <w:webHidden/>
              </w:rPr>
            </w:r>
            <w:r w:rsidR="00613F23" w:rsidRPr="00613F23">
              <w:rPr>
                <w:noProof/>
                <w:webHidden/>
              </w:rPr>
              <w:fldChar w:fldCharType="separate"/>
            </w:r>
            <w:r w:rsidR="00177E98">
              <w:rPr>
                <w:noProof/>
                <w:webHidden/>
              </w:rPr>
              <w:t>23</w:t>
            </w:r>
            <w:r w:rsidR="00613F23" w:rsidRPr="00613F23">
              <w:rPr>
                <w:noProof/>
                <w:webHidden/>
              </w:rPr>
              <w:fldChar w:fldCharType="end"/>
            </w:r>
          </w:hyperlink>
        </w:p>
        <w:p w14:paraId="2A9331D2" w14:textId="52E9E293" w:rsidR="00613F23" w:rsidRPr="00613F23" w:rsidRDefault="00B9200F">
          <w:pPr>
            <w:pStyle w:val="Obsah1"/>
            <w:tabs>
              <w:tab w:val="left" w:pos="440"/>
              <w:tab w:val="right" w:leader="dot" w:pos="9062"/>
            </w:tabs>
            <w:rPr>
              <w:noProof/>
            </w:rPr>
          </w:pPr>
          <w:hyperlink w:anchor="_Toc166756724" w:history="1">
            <w:r w:rsidR="00613F23" w:rsidRPr="00613F23">
              <w:rPr>
                <w:rStyle w:val="Hypertextovodkaz"/>
                <w:noProof/>
              </w:rPr>
              <w:t>5.</w:t>
            </w:r>
            <w:r w:rsidR="00613F23" w:rsidRPr="00613F23">
              <w:rPr>
                <w:noProof/>
              </w:rPr>
              <w:tab/>
            </w:r>
            <w:r w:rsidR="00613F23" w:rsidRPr="00613F23">
              <w:rPr>
                <w:rStyle w:val="Hypertextovodkaz"/>
                <w:noProof/>
              </w:rPr>
              <w:t>VĚCNÁ KVALITA</w:t>
            </w:r>
            <w:r w:rsidR="00613F23" w:rsidRPr="00613F23">
              <w:rPr>
                <w:noProof/>
                <w:webHidden/>
              </w:rPr>
              <w:tab/>
            </w:r>
            <w:r w:rsidR="00613F23" w:rsidRPr="00613F23">
              <w:rPr>
                <w:noProof/>
                <w:webHidden/>
              </w:rPr>
              <w:fldChar w:fldCharType="begin"/>
            </w:r>
            <w:r w:rsidR="00613F23" w:rsidRPr="00613F23">
              <w:rPr>
                <w:noProof/>
                <w:webHidden/>
              </w:rPr>
              <w:instrText xml:space="preserve"> PAGEREF _Toc166756724 \h </w:instrText>
            </w:r>
            <w:r w:rsidR="00613F23" w:rsidRPr="00613F23">
              <w:rPr>
                <w:noProof/>
                <w:webHidden/>
              </w:rPr>
            </w:r>
            <w:r w:rsidR="00613F23" w:rsidRPr="00613F23">
              <w:rPr>
                <w:noProof/>
                <w:webHidden/>
              </w:rPr>
              <w:fldChar w:fldCharType="separate"/>
            </w:r>
            <w:r w:rsidR="00177E98">
              <w:rPr>
                <w:noProof/>
                <w:webHidden/>
              </w:rPr>
              <w:t>23</w:t>
            </w:r>
            <w:r w:rsidR="00613F23" w:rsidRPr="00613F23">
              <w:rPr>
                <w:noProof/>
                <w:webHidden/>
              </w:rPr>
              <w:fldChar w:fldCharType="end"/>
            </w:r>
          </w:hyperlink>
        </w:p>
        <w:p w14:paraId="6BEB20A0" w14:textId="77777777" w:rsidR="00613F23" w:rsidRPr="00613F23" w:rsidRDefault="00613F23">
          <w:r w:rsidRPr="00613F23">
            <w:rPr>
              <w:b/>
              <w:bCs/>
            </w:rPr>
            <w:fldChar w:fldCharType="end"/>
          </w:r>
        </w:p>
      </w:sdtContent>
    </w:sdt>
    <w:p w14:paraId="364F8413" w14:textId="77777777" w:rsidR="00A46026" w:rsidRPr="00613F23" w:rsidRDefault="00A46026" w:rsidP="00613F23">
      <w:pPr>
        <w:jc w:val="center"/>
        <w:rPr>
          <w:b/>
        </w:rPr>
        <w:sectPr w:rsidR="00A46026" w:rsidRPr="00613F23" w:rsidSect="00613F23">
          <w:pgSz w:w="11906" w:h="16838"/>
          <w:pgMar w:top="1417" w:right="1417" w:bottom="1417" w:left="1417" w:header="708" w:footer="708" w:gutter="0"/>
          <w:cols w:space="708"/>
          <w:titlePg/>
          <w:docGrid w:linePitch="360"/>
        </w:sectPr>
      </w:pPr>
    </w:p>
    <w:p w14:paraId="238AA0C0" w14:textId="77777777" w:rsidR="00592B23" w:rsidRDefault="00592B23" w:rsidP="006B2D7C">
      <w:pPr>
        <w:pStyle w:val="Nadpis1"/>
      </w:pPr>
      <w:bookmarkStart w:id="1" w:name="_Toc166756686"/>
      <w:r w:rsidRPr="006B2D7C">
        <w:lastRenderedPageBreak/>
        <w:t>PŘEHLED</w:t>
      </w:r>
      <w:bookmarkEnd w:id="1"/>
    </w:p>
    <w:p w14:paraId="1845A30B" w14:textId="2C580A90" w:rsidR="00592B23" w:rsidRDefault="00592B23" w:rsidP="006B2D7C">
      <w:r w:rsidRPr="00592B23">
        <w:t xml:space="preserve">Sčítání lidu je složitý, nákladný a důležitý projekt. Proto je třeba </w:t>
      </w:r>
      <w:r w:rsidR="00236E59">
        <w:t>vyhodnotit</w:t>
      </w:r>
      <w:r w:rsidR="00236E59" w:rsidRPr="00592B23">
        <w:t xml:space="preserve"> </w:t>
      </w:r>
      <w:r w:rsidRPr="00592B23">
        <w:t>jeho kvalitu a omezení. Český statistický úřad se zaměřuje na dvě dimenze kvality: statistickou kvalitu a faktickou kvalitu. Požadavky na statistickou kvalitu jsou definovány v nařízení (EU) 2017/881</w:t>
      </w:r>
      <w:r w:rsidR="00F62908">
        <w:t>. Obsah a struktura zprávy o kvalitě jsou definovány v příloze tohoto nařízení. Předkládána zpráva má stejnou struktura jako je popsána v nařízení.</w:t>
      </w:r>
      <w:r w:rsidRPr="00592B23">
        <w:t>. Popis věcné kvality tvoří samostatnou kapitolu této zprávy. Tabulky obsažené v hyperkrychli kvality popisující přesnost jsou přílohou této zprávy.</w:t>
      </w:r>
    </w:p>
    <w:p w14:paraId="428CA6CD" w14:textId="77777777" w:rsidR="00592B23" w:rsidRPr="003B02FE" w:rsidRDefault="003B02FE" w:rsidP="006B2D7C">
      <w:pPr>
        <w:pStyle w:val="Nadpis2"/>
      </w:pPr>
      <w:bookmarkStart w:id="2" w:name="_Toc166756687"/>
      <w:r>
        <w:t>Právní rámec</w:t>
      </w:r>
      <w:bookmarkEnd w:id="2"/>
    </w:p>
    <w:p w14:paraId="28E7DD17" w14:textId="77777777" w:rsidR="003B02FE" w:rsidRPr="003B02FE" w:rsidRDefault="003B02FE" w:rsidP="006B2D7C">
      <w:pPr>
        <w:pStyle w:val="Nadpis3"/>
      </w:pPr>
      <w:bookmarkStart w:id="3" w:name="_Toc166756688"/>
      <w:r w:rsidRPr="003B02FE">
        <w:t>1.1.1</w:t>
      </w:r>
      <w:r w:rsidRPr="003B02FE">
        <w:tab/>
      </w:r>
      <w:r w:rsidRPr="006B2D7C">
        <w:t>Legislativa</w:t>
      </w:r>
      <w:r>
        <w:t xml:space="preserve"> České republiky</w:t>
      </w:r>
      <w:bookmarkEnd w:id="3"/>
    </w:p>
    <w:p w14:paraId="6219944B" w14:textId="77777777" w:rsidR="00B5656C" w:rsidRDefault="00F4508F" w:rsidP="006B2D7C">
      <w:r w:rsidRPr="00F4508F">
        <w:rPr>
          <w:b/>
        </w:rPr>
        <w:t>Zákon č. 89/1995 Sb.</w:t>
      </w:r>
      <w:r w:rsidRPr="00F4508F">
        <w:t xml:space="preserve"> (o státní statistické službě): základní zákon zřizující ČSÚ, vymezující jeho agendu a další aspekty státní statistické služby.</w:t>
      </w:r>
    </w:p>
    <w:p w14:paraId="0A5AF264" w14:textId="77777777" w:rsidR="0045419E" w:rsidRPr="0045419E" w:rsidRDefault="0045419E" w:rsidP="006B2D7C">
      <w:r w:rsidRPr="0045419E">
        <w:rPr>
          <w:b/>
        </w:rPr>
        <w:t>Zákon č. 332/2020 Sb</w:t>
      </w:r>
      <w:r>
        <w:rPr>
          <w:b/>
        </w:rPr>
        <w:t>.</w:t>
      </w:r>
      <w:r w:rsidRPr="0045419E">
        <w:t xml:space="preserve"> (o sčítání lidu, domů a bytů v roce 2021): Zákon stanoví referenční datum, povinnosti orgánů veřejné správy (ČSÚ, ministerstev... viz 6.1.1 ) týkající se sčítání v roce 2021, roli České pošty, vymezuje obsah sčítacích formulářů, definuje osoby povinné účastnit se sčítání atd.</w:t>
      </w:r>
    </w:p>
    <w:p w14:paraId="5E11A471" w14:textId="77777777" w:rsidR="0045419E" w:rsidRDefault="0045419E" w:rsidP="006B2D7C">
      <w:r w:rsidRPr="0045419E">
        <w:t>Dohody s vlastníky registrů o poskytování administrativních záznamů ČSÚ relevantních pro sčítání (účel, obsah, termíny,</w:t>
      </w:r>
      <w:r>
        <w:t xml:space="preserve"> opatření na ochranu údajů...).</w:t>
      </w:r>
    </w:p>
    <w:p w14:paraId="65DE7324" w14:textId="77777777" w:rsidR="0045419E" w:rsidRDefault="0045419E" w:rsidP="006B2D7C"/>
    <w:p w14:paraId="21F42218" w14:textId="77777777" w:rsidR="0045419E" w:rsidRDefault="0045419E" w:rsidP="006B2D7C">
      <w:pPr>
        <w:pStyle w:val="Nadpis3"/>
      </w:pPr>
      <w:bookmarkStart w:id="4" w:name="_Toc166756689"/>
      <w:r w:rsidRPr="0045419E">
        <w:t>1.1.2</w:t>
      </w:r>
      <w:r w:rsidRPr="0045419E">
        <w:tab/>
        <w:t>Legislativa Evropské Unie</w:t>
      </w:r>
      <w:bookmarkEnd w:id="4"/>
    </w:p>
    <w:p w14:paraId="2DCCA96B" w14:textId="77777777" w:rsidR="0045419E" w:rsidRDefault="0045419E" w:rsidP="006B2D7C">
      <w:r w:rsidRPr="0045419E">
        <w:t>Zákon o sčítání lidu je plně v souladu s pravidly pro provádění a vyhodnocování evropských sčítání lidu, která se řídí předpisy platnými v celé Evropské unii (EU) a závaznými pro všechny členské státy EU. Jsou to především</w:t>
      </w:r>
      <w:r>
        <w:t>:</w:t>
      </w:r>
    </w:p>
    <w:p w14:paraId="1F8C3847" w14:textId="77777777" w:rsidR="0045419E" w:rsidRDefault="0042125B" w:rsidP="006B2D7C">
      <w:pPr>
        <w:pStyle w:val="Odstavecseseznamem"/>
        <w:numPr>
          <w:ilvl w:val="0"/>
          <w:numId w:val="8"/>
        </w:numPr>
      </w:pPr>
      <w:r w:rsidRPr="0042125B">
        <w:rPr>
          <w:b/>
        </w:rPr>
        <w:t>Nařízení Evropského parlamentu a Rady (ES) č. 763/2008</w:t>
      </w:r>
      <w:r w:rsidRPr="0042125B">
        <w:t xml:space="preserve"> ze dne 9. července 2008 o sčítání lidu, domů a bytů včetně pravidel pro jeho provádění. Toto nařízení stanoví společná pravidla pro desetileté poskytování komplexních údajů o obyvatelstvu a bydlení.</w:t>
      </w:r>
    </w:p>
    <w:p w14:paraId="6157BD6E" w14:textId="77777777" w:rsidR="008D373C" w:rsidRDefault="008D373C" w:rsidP="006B2D7C">
      <w:pPr>
        <w:pStyle w:val="Odstavecseseznamem"/>
      </w:pPr>
    </w:p>
    <w:p w14:paraId="7E0B034B" w14:textId="77777777" w:rsidR="008D373C" w:rsidRDefault="008D373C" w:rsidP="006B2D7C">
      <w:pPr>
        <w:pStyle w:val="Odstavecseseznamem"/>
        <w:numPr>
          <w:ilvl w:val="0"/>
          <w:numId w:val="8"/>
        </w:numPr>
      </w:pPr>
      <w:r w:rsidRPr="008D373C">
        <w:rPr>
          <w:b/>
        </w:rPr>
        <w:t>Prováděcí nařízení Komise (EU) 2017/543</w:t>
      </w:r>
      <w:r w:rsidRPr="008D373C">
        <w:t xml:space="preserve"> ze dne 22. března 2017, kterým se stanoví prováděcí pravidla k nařízení Evropského parlamentu a Rady (ES) č. 763/2008 o sčítání lidu, domů a bytů, pokud jde o technické specifikace témat a jejich členění</w:t>
      </w:r>
      <w:r>
        <w:t>.</w:t>
      </w:r>
    </w:p>
    <w:p w14:paraId="078A4864" w14:textId="77777777" w:rsidR="008D373C" w:rsidRDefault="008D373C" w:rsidP="006B2D7C">
      <w:pPr>
        <w:pStyle w:val="Odstavecseseznamem"/>
      </w:pPr>
    </w:p>
    <w:p w14:paraId="5F07C66B" w14:textId="77777777" w:rsidR="008D373C" w:rsidRDefault="008D373C" w:rsidP="006B2D7C">
      <w:pPr>
        <w:pStyle w:val="Odstavecseseznamem"/>
        <w:numPr>
          <w:ilvl w:val="0"/>
          <w:numId w:val="8"/>
        </w:numPr>
      </w:pPr>
      <w:r w:rsidRPr="008D373C">
        <w:rPr>
          <w:b/>
        </w:rPr>
        <w:t>Nařízení Komise (EU) 2017/712</w:t>
      </w:r>
      <w:r w:rsidRPr="008D373C">
        <w:t xml:space="preserve"> ze dne 20. dubna 2017, kterým se stanoví referenční rok a program statistických údajů a metadat pro sčítání lidu, domů a bytů podle nařízení Evropského parlamentu a Rady (ES) č. 763/2008.</w:t>
      </w:r>
    </w:p>
    <w:p w14:paraId="4853E983" w14:textId="77777777" w:rsidR="000F6202" w:rsidRDefault="000F6202" w:rsidP="006B2D7C">
      <w:pPr>
        <w:pStyle w:val="Odstavecseseznamem"/>
      </w:pPr>
    </w:p>
    <w:p w14:paraId="56321CFB" w14:textId="77777777" w:rsidR="000F6202" w:rsidRDefault="000F6202" w:rsidP="006B2D7C">
      <w:pPr>
        <w:pStyle w:val="Odstavecseseznamem"/>
        <w:numPr>
          <w:ilvl w:val="0"/>
          <w:numId w:val="8"/>
        </w:numPr>
      </w:pPr>
      <w:r w:rsidRPr="000F6202">
        <w:rPr>
          <w:b/>
        </w:rPr>
        <w:t>Prováděcí nařízení Komise (EU) 2017/881</w:t>
      </w:r>
      <w:r w:rsidRPr="000F6202">
        <w:t xml:space="preserve"> ze dne 23. května 2017, kterým se provádí nařízení Evropského parlamentu a Rady (ES) č. 763/2008 o sčítání lidu, domů a bytů, pokud jde o způsoby a strukturu zpráv o kvalitě a technický formát pro předávání údajů, a kterým se mění nařízení (EU) č. 1151/2010.</w:t>
      </w:r>
    </w:p>
    <w:p w14:paraId="5B8EB395" w14:textId="77777777" w:rsidR="000F6202" w:rsidRPr="000F6202" w:rsidRDefault="000F6202" w:rsidP="006B2D7C">
      <w:pPr>
        <w:pStyle w:val="Odstavecseseznamem"/>
      </w:pPr>
    </w:p>
    <w:p w14:paraId="0C8C3246" w14:textId="77777777" w:rsidR="000F6202" w:rsidRDefault="000F6202" w:rsidP="006B2D7C">
      <w:pPr>
        <w:pStyle w:val="Odstavecseseznamem"/>
        <w:numPr>
          <w:ilvl w:val="0"/>
          <w:numId w:val="8"/>
        </w:numPr>
      </w:pPr>
      <w:r w:rsidRPr="000F6202">
        <w:rPr>
          <w:b/>
        </w:rPr>
        <w:t>Prováděcí nařízení Komise (EU) 2018/1799</w:t>
      </w:r>
      <w:r w:rsidRPr="000F6202">
        <w:t xml:space="preserve"> ze dne 21. listopadu 2018 </w:t>
      </w:r>
      <w:r w:rsidRPr="000F6202">
        <w:rPr>
          <w:shd w:val="clear" w:color="auto" w:fill="FFFFFF"/>
        </w:rPr>
        <w:t>o zavedení přechodné přímé statistické akce pro šíření vybraných témat sčítání lidu, domů a bytů v roce 2021 geokódovaných v souřadnicové síti s buňkou o ploše 1 km2</w:t>
      </w:r>
    </w:p>
    <w:p w14:paraId="7971646B" w14:textId="77777777" w:rsidR="000F6202" w:rsidRPr="000F6202" w:rsidRDefault="000F6202" w:rsidP="006B2D7C">
      <w:pPr>
        <w:pStyle w:val="Odstavecseseznamem"/>
      </w:pPr>
    </w:p>
    <w:p w14:paraId="0E265788" w14:textId="77777777" w:rsidR="008D373C" w:rsidRDefault="000F6202" w:rsidP="006B2D7C">
      <w:pPr>
        <w:pStyle w:val="Odstavecseseznamem"/>
        <w:numPr>
          <w:ilvl w:val="0"/>
          <w:numId w:val="8"/>
        </w:numPr>
      </w:pPr>
      <w:r w:rsidRPr="000F6202">
        <w:rPr>
          <w:b/>
        </w:rPr>
        <w:t>Nařízení Evropského parlamentu a Rady (EU) 2015/759</w:t>
      </w:r>
      <w:r w:rsidRPr="000F6202">
        <w:t xml:space="preserve"> ze dne 29. dubna 2015, kterým se mění nařízení (ES) č. 223/2009 o evropské statistice.</w:t>
      </w:r>
    </w:p>
    <w:p w14:paraId="6FF8BD37" w14:textId="77777777" w:rsidR="000F6202" w:rsidRDefault="000F6202" w:rsidP="006B2D7C"/>
    <w:p w14:paraId="347FEBC1" w14:textId="77777777" w:rsidR="00592B23" w:rsidRDefault="006B2D7C" w:rsidP="006B2D7C">
      <w:pPr>
        <w:pStyle w:val="Nadpis2"/>
      </w:pPr>
      <w:bookmarkStart w:id="5" w:name="_Toc166756690"/>
      <w:r>
        <w:t>Odpovědné orgány</w:t>
      </w:r>
      <w:bookmarkEnd w:id="5"/>
    </w:p>
    <w:p w14:paraId="2A841FDC" w14:textId="77777777" w:rsidR="006B2D7C" w:rsidRPr="006B2D7C" w:rsidRDefault="006B2D7C" w:rsidP="006B2D7C">
      <w:r w:rsidRPr="006B2D7C">
        <w:t xml:space="preserve">ČSÚ organizoval a koordinoval celý projekt sčítání (legislativa, příprava, sběr dat, zpracování, šíření výsledků). </w:t>
      </w:r>
    </w:p>
    <w:p w14:paraId="29C6FF1C" w14:textId="77777777" w:rsidR="006B2D7C" w:rsidRPr="006B2D7C" w:rsidRDefault="006B2D7C" w:rsidP="006B2D7C">
      <w:r w:rsidRPr="006B2D7C">
        <w:t>Tisk, distribuci a sběr papírových formulářů zajišťovala Česká pošta (ČP).</w:t>
      </w:r>
    </w:p>
    <w:p w14:paraId="523593E3" w14:textId="77777777" w:rsidR="006B2D7C" w:rsidRPr="006B2D7C" w:rsidRDefault="006B2D7C" w:rsidP="006B2D7C">
      <w:r w:rsidRPr="006B2D7C">
        <w:t>Centrum sdílených služeb (SPCSS) zajišťovalo IT infrastrukturu pro online sčítání a zpracování dat.</w:t>
      </w:r>
    </w:p>
    <w:p w14:paraId="6C774693" w14:textId="4899FBEC" w:rsidR="006B2D7C" w:rsidRPr="006B2D7C" w:rsidRDefault="006B2D7C" w:rsidP="006B2D7C">
      <w:r w:rsidRPr="006B2D7C">
        <w:t xml:space="preserve">Vybraná ministerstva zajišťovala distribuci a sběr sčítacích formulářů v konkrétních institucích (např. věznice, vojenské </w:t>
      </w:r>
      <w:r w:rsidR="00285E55">
        <w:t>objekty</w:t>
      </w:r>
      <w:r w:rsidRPr="006B2D7C">
        <w:t>...).</w:t>
      </w:r>
    </w:p>
    <w:p w14:paraId="36DB70CF" w14:textId="77777777" w:rsidR="006B2D7C" w:rsidRDefault="006B2D7C" w:rsidP="006B2D7C">
      <w:r w:rsidRPr="006B2D7C">
        <w:t>Obce - drobné činnosti při přípravě sčítání (např. revize údajů o budovách a adresách v registru budov).</w:t>
      </w:r>
    </w:p>
    <w:p w14:paraId="1B839556" w14:textId="77777777" w:rsidR="00D93FD0" w:rsidRDefault="00D93FD0" w:rsidP="006B2D7C"/>
    <w:p w14:paraId="2204B972" w14:textId="77777777" w:rsidR="00D93FD0" w:rsidRDefault="00D93FD0" w:rsidP="00D93FD0">
      <w:pPr>
        <w:pStyle w:val="Nadpis1"/>
      </w:pPr>
      <w:bookmarkStart w:id="6" w:name="_Toc166756691"/>
      <w:r>
        <w:t>ZDROJE DAT</w:t>
      </w:r>
      <w:bookmarkEnd w:id="6"/>
    </w:p>
    <w:p w14:paraId="2A4AFC8B" w14:textId="77777777" w:rsidR="00D93FD0" w:rsidRDefault="00D93FD0" w:rsidP="00D93FD0">
      <w:pPr>
        <w:pStyle w:val="Nadpis2"/>
        <w:numPr>
          <w:ilvl w:val="0"/>
          <w:numId w:val="0"/>
        </w:numPr>
        <w:ind w:left="709" w:hanging="709"/>
      </w:pPr>
      <w:bookmarkStart w:id="7" w:name="_Toc166756692"/>
      <w:r w:rsidRPr="00DE7BB6">
        <w:t>2.1</w:t>
      </w:r>
      <w:r>
        <w:t xml:space="preserve">  </w:t>
      </w:r>
      <w:r>
        <w:tab/>
        <w:t>Klasifikace zdrojů dat podle čl. 4 odst. 1 nařízení (ES) č. 763/2008</w:t>
      </w:r>
      <w:bookmarkEnd w:id="7"/>
    </w:p>
    <w:p w14:paraId="19C727D5" w14:textId="77777777" w:rsidR="00D93FD0" w:rsidRDefault="007C7620" w:rsidP="007C7620">
      <w:r w:rsidRPr="007C7620">
        <w:lastRenderedPageBreak/>
        <w:t>Sčítání lidu, domů a bytů v roce 2021 proběhlo kombinovan</w:t>
      </w:r>
      <w:r>
        <w:t>ou metodou</w:t>
      </w:r>
      <w:r w:rsidRPr="007C7620">
        <w:t xml:space="preserve"> </w:t>
      </w:r>
      <w:r>
        <w:t xml:space="preserve">využívající data získaná z </w:t>
      </w:r>
      <w:r w:rsidRPr="007C7620">
        <w:t xml:space="preserve">registrů a </w:t>
      </w:r>
      <w:r>
        <w:t>data získaná z </w:t>
      </w:r>
      <w:r w:rsidRPr="007C7620">
        <w:t>klasické</w:t>
      </w:r>
      <w:r>
        <w:t>ho terénního</w:t>
      </w:r>
      <w:r w:rsidRPr="007C7620">
        <w:t xml:space="preserve"> sčítání lidu. Primárními zdroji byly sčítací formuláře získané při celoplošném sčítání, které byly kombinovány s administrativními zdroji dat</w:t>
      </w:r>
      <w:r>
        <w:t>.</w:t>
      </w:r>
    </w:p>
    <w:p w14:paraId="084FC6DC" w14:textId="77777777" w:rsidR="00DE7BB6" w:rsidRDefault="00DE7BB6" w:rsidP="00AF3311">
      <w:pPr>
        <w:pStyle w:val="Nadpis2"/>
        <w:numPr>
          <w:ilvl w:val="0"/>
          <w:numId w:val="0"/>
        </w:numPr>
        <w:ind w:left="709" w:hanging="709"/>
      </w:pPr>
      <w:bookmarkStart w:id="8" w:name="_Toc166756693"/>
      <w:r>
        <w:t>2.2</w:t>
      </w:r>
      <w:r w:rsidR="00AF3311">
        <w:tab/>
        <w:t>Seznam zdrojů dat použitých pro sčítání v roce 2021</w:t>
      </w:r>
      <w:bookmarkEnd w:id="8"/>
    </w:p>
    <w:p w14:paraId="778CAD67" w14:textId="3D80FC5F" w:rsidR="00AF3311" w:rsidRPr="00334B46" w:rsidRDefault="00026A62" w:rsidP="00AF3311">
      <w:r>
        <w:t>Sčítací f</w:t>
      </w:r>
      <w:r w:rsidR="001A0B46" w:rsidRPr="001A0B46">
        <w:t xml:space="preserve">ormuláře a </w:t>
      </w:r>
      <w:r w:rsidR="001A0B46">
        <w:t>administrativní</w:t>
      </w:r>
      <w:r w:rsidR="001A0B46" w:rsidRPr="001A0B46">
        <w:t xml:space="preserve"> zdroj</w:t>
      </w:r>
      <w:r w:rsidR="001A0B46">
        <w:t>e</w:t>
      </w:r>
      <w:r w:rsidR="001A0B46" w:rsidRPr="001A0B46">
        <w:t xml:space="preserve"> </w:t>
      </w:r>
      <w:r w:rsidR="001A0B46">
        <w:t>dat:</w:t>
      </w:r>
      <w:r w:rsidR="001A0B46" w:rsidRPr="001A0B46">
        <w:t xml:space="preserve"> Registr obyvatel (vč</w:t>
      </w:r>
      <w:r w:rsidR="003E479C">
        <w:t xml:space="preserve">etně jeho agendových systémů), Integrovaný informační systém správy </w:t>
      </w:r>
      <w:r w:rsidR="001A0B46" w:rsidRPr="001A0B46">
        <w:t>sociálního zabezpečení</w:t>
      </w:r>
      <w:r w:rsidR="008231DB">
        <w:t xml:space="preserve"> (IISSZ)</w:t>
      </w:r>
      <w:r w:rsidR="003E479C">
        <w:t xml:space="preserve"> včetně jeho subsystémů (poživatelé důchodů, pojistné vztahy, peněžité pomoci v mateřství)</w:t>
      </w:r>
      <w:r w:rsidR="001A0B46" w:rsidRPr="001A0B46">
        <w:t xml:space="preserve">, </w:t>
      </w:r>
      <w:r w:rsidR="003E479C">
        <w:t>Registr d</w:t>
      </w:r>
      <w:r w:rsidR="001A0B46" w:rsidRPr="001A0B46">
        <w:t>aňový</w:t>
      </w:r>
      <w:r w:rsidR="003E479C">
        <w:t>ch subjektů</w:t>
      </w:r>
      <w:r w:rsidR="001A0B46" w:rsidRPr="001A0B46">
        <w:t xml:space="preserve"> </w:t>
      </w:r>
      <w:r w:rsidR="003E479C">
        <w:t>(informace z přiznání k dani z příjmu fyzických osob)</w:t>
      </w:r>
      <w:r w:rsidR="001A0B46" w:rsidRPr="001A0B46">
        <w:t xml:space="preserve">, Registr ekonomických subjektů, </w:t>
      </w:r>
      <w:r w:rsidR="003E479C">
        <w:t>informační systém MPSV a ÚP (informační systém OK</w:t>
      </w:r>
      <w:r w:rsidR="008231DB">
        <w:t xml:space="preserve"> </w:t>
      </w:r>
      <w:r w:rsidR="003E479C">
        <w:t>práce</w:t>
      </w:r>
      <w:r w:rsidR="008231DB">
        <w:t xml:space="preserve"> – </w:t>
      </w:r>
      <w:r w:rsidR="008231DB" w:rsidRPr="008231DB">
        <w:t>uchazeči a zájemci o zaměstnání</w:t>
      </w:r>
      <w:r w:rsidR="00843F43">
        <w:t>,</w:t>
      </w:r>
      <w:r w:rsidR="00236E59">
        <w:t xml:space="preserve"> </w:t>
      </w:r>
      <w:r w:rsidR="00843F43">
        <w:t xml:space="preserve">systém OK </w:t>
      </w:r>
      <w:r w:rsidR="00051088">
        <w:t>centrum</w:t>
      </w:r>
      <w:r w:rsidR="00843F43">
        <w:t xml:space="preserve"> – rodičovské příspěvky</w:t>
      </w:r>
      <w:r w:rsidR="003E479C">
        <w:t>)</w:t>
      </w:r>
      <w:r w:rsidR="001A0B46" w:rsidRPr="001A0B46">
        <w:t xml:space="preserve">, </w:t>
      </w:r>
      <w:r w:rsidR="003E479C">
        <w:t>Regi</w:t>
      </w:r>
      <w:r w:rsidR="00843F43">
        <w:t>str sčítacích obvodů a budov</w:t>
      </w:r>
      <w:r w:rsidR="001A0B46" w:rsidRPr="001A0B46">
        <w:t xml:space="preserve">, </w:t>
      </w:r>
      <w:r w:rsidR="00843F43">
        <w:t>Centrální r</w:t>
      </w:r>
      <w:r>
        <w:t>egistr pojištěn</w:t>
      </w:r>
      <w:r w:rsidR="00843F43">
        <w:t>ců</w:t>
      </w:r>
      <w:r w:rsidR="008231DB">
        <w:t xml:space="preserve"> (zdravotní pojištění)</w:t>
      </w:r>
      <w:r>
        <w:t xml:space="preserve">, </w:t>
      </w:r>
      <w:r w:rsidR="00843F43">
        <w:t>matriky regionálního školství a sdružené informace matrik studentů SIMS</w:t>
      </w:r>
      <w:r w:rsidR="00334B46">
        <w:t>, Katastr nemovitostí a Registr územní identifikace, adres a nemovitostí (RUIAN)</w:t>
      </w:r>
      <w:r w:rsidR="00051088">
        <w:t>.</w:t>
      </w:r>
    </w:p>
    <w:p w14:paraId="6AE52D32" w14:textId="77777777" w:rsidR="00351A74" w:rsidRDefault="00351A74" w:rsidP="00351A74">
      <w:pPr>
        <w:pStyle w:val="Nadpis3"/>
        <w:ind w:left="709" w:hanging="709"/>
      </w:pPr>
      <w:bookmarkStart w:id="9" w:name="_Toc166756694"/>
      <w:r>
        <w:t xml:space="preserve">2.2.1 </w:t>
      </w:r>
      <w:r>
        <w:tab/>
        <w:t>Seznam zdrojů dat – data o osobách</w:t>
      </w:r>
      <w:bookmarkEnd w:id="9"/>
    </w:p>
    <w:p w14:paraId="7503BCD7" w14:textId="77777777" w:rsidR="00351A74" w:rsidRDefault="00351A74" w:rsidP="00351A74">
      <w:pPr>
        <w:pStyle w:val="Odstavecseseznamem"/>
        <w:numPr>
          <w:ilvl w:val="0"/>
          <w:numId w:val="9"/>
        </w:numPr>
        <w:ind w:left="426" w:hanging="426"/>
      </w:pPr>
      <w:r>
        <w:t>Sčítací formuláře</w:t>
      </w:r>
    </w:p>
    <w:p w14:paraId="2B7070AE" w14:textId="77777777" w:rsidR="00351A74" w:rsidRDefault="00351A74" w:rsidP="00351A74">
      <w:pPr>
        <w:pStyle w:val="Odstavecseseznamem"/>
        <w:numPr>
          <w:ilvl w:val="0"/>
          <w:numId w:val="9"/>
        </w:numPr>
        <w:ind w:left="426" w:hanging="426"/>
      </w:pPr>
      <w:r w:rsidRPr="001A0B46">
        <w:t>Registr obyvatel (včetně jeho agendových systémů)</w:t>
      </w:r>
    </w:p>
    <w:p w14:paraId="139F7E55" w14:textId="77777777" w:rsidR="002A4BCB" w:rsidRDefault="002A4BCB" w:rsidP="00351A74">
      <w:pPr>
        <w:pStyle w:val="Odstavecseseznamem"/>
        <w:numPr>
          <w:ilvl w:val="0"/>
          <w:numId w:val="9"/>
        </w:numPr>
        <w:ind w:left="426" w:hanging="426"/>
      </w:pPr>
      <w:r>
        <w:t xml:space="preserve">Integrovaný informační systém správy </w:t>
      </w:r>
      <w:r w:rsidRPr="001A0B46">
        <w:t>sociálního zabezpečení</w:t>
      </w:r>
      <w:r>
        <w:t xml:space="preserve"> </w:t>
      </w:r>
    </w:p>
    <w:p w14:paraId="68BE426A" w14:textId="77777777" w:rsidR="002A4BCB" w:rsidRDefault="002A4BCB" w:rsidP="00351A74">
      <w:pPr>
        <w:pStyle w:val="Odstavecseseznamem"/>
        <w:numPr>
          <w:ilvl w:val="0"/>
          <w:numId w:val="9"/>
        </w:numPr>
        <w:ind w:left="426" w:hanging="426"/>
      </w:pPr>
      <w:r>
        <w:t>Registr d</w:t>
      </w:r>
      <w:r w:rsidRPr="001A0B46">
        <w:t>aňový</w:t>
      </w:r>
      <w:r>
        <w:t>ch subjektů</w:t>
      </w:r>
      <w:r w:rsidRPr="001A0B46">
        <w:t xml:space="preserve"> </w:t>
      </w:r>
    </w:p>
    <w:p w14:paraId="6606DDE8" w14:textId="77777777" w:rsidR="00351A74" w:rsidRDefault="00351A74" w:rsidP="00351A74">
      <w:pPr>
        <w:pStyle w:val="Odstavecseseznamem"/>
        <w:numPr>
          <w:ilvl w:val="0"/>
          <w:numId w:val="9"/>
        </w:numPr>
        <w:ind w:left="426" w:hanging="426"/>
      </w:pPr>
      <w:r w:rsidRPr="001A0B46">
        <w:t>Registr ekonomických subjektů</w:t>
      </w:r>
    </w:p>
    <w:p w14:paraId="307C01B9" w14:textId="77777777" w:rsidR="00351A74" w:rsidRDefault="002A4BCB" w:rsidP="00351A74">
      <w:pPr>
        <w:pStyle w:val="Odstavecseseznamem"/>
        <w:numPr>
          <w:ilvl w:val="0"/>
          <w:numId w:val="9"/>
        </w:numPr>
        <w:ind w:left="426" w:hanging="426"/>
      </w:pPr>
      <w:r>
        <w:t>Informační systém MPSV a ÚP</w:t>
      </w:r>
    </w:p>
    <w:p w14:paraId="205AD406" w14:textId="2B711438" w:rsidR="00351A74" w:rsidRDefault="00B0028C" w:rsidP="00236E59">
      <w:pPr>
        <w:pStyle w:val="Odstavecseseznamem"/>
        <w:numPr>
          <w:ilvl w:val="0"/>
          <w:numId w:val="9"/>
        </w:numPr>
        <w:ind w:left="425" w:hanging="425"/>
      </w:pPr>
      <w:r>
        <w:t>Matriky regionálního školství a sdružené informace matrik studentů</w:t>
      </w:r>
    </w:p>
    <w:p w14:paraId="2C2180C3" w14:textId="09F9C5D5" w:rsidR="00051088" w:rsidRDefault="00051088" w:rsidP="00236E59">
      <w:pPr>
        <w:pStyle w:val="Odstavecseseznamem"/>
        <w:numPr>
          <w:ilvl w:val="0"/>
          <w:numId w:val="9"/>
        </w:numPr>
        <w:ind w:left="425" w:hanging="425"/>
      </w:pPr>
      <w:r w:rsidRPr="00051088">
        <w:t>Centrální registr pojištěnců</w:t>
      </w:r>
    </w:p>
    <w:p w14:paraId="5784BE66" w14:textId="77777777" w:rsidR="00351A74" w:rsidRDefault="00351A74" w:rsidP="00351A74">
      <w:pPr>
        <w:pStyle w:val="Nadpis3"/>
        <w:ind w:left="709" w:hanging="709"/>
      </w:pPr>
      <w:bookmarkStart w:id="10" w:name="_Toc166756695"/>
      <w:r>
        <w:t xml:space="preserve">2.2.2 </w:t>
      </w:r>
      <w:r>
        <w:tab/>
        <w:t>Seznam zdrojů dat – data o domácnostech</w:t>
      </w:r>
      <w:bookmarkEnd w:id="10"/>
    </w:p>
    <w:p w14:paraId="1A892F31" w14:textId="77777777" w:rsidR="00351A74" w:rsidRDefault="00351A74" w:rsidP="00351A74">
      <w:pPr>
        <w:pStyle w:val="Odstavecseseznamem"/>
        <w:numPr>
          <w:ilvl w:val="0"/>
          <w:numId w:val="10"/>
        </w:numPr>
        <w:ind w:left="426" w:hanging="426"/>
      </w:pPr>
      <w:r>
        <w:t>Sčítací formuláře</w:t>
      </w:r>
    </w:p>
    <w:p w14:paraId="1BE42001" w14:textId="2CBBA973" w:rsidR="00351A74" w:rsidRDefault="00351A74" w:rsidP="00236E59">
      <w:pPr>
        <w:pStyle w:val="Odstavecseseznamem"/>
        <w:numPr>
          <w:ilvl w:val="0"/>
          <w:numId w:val="10"/>
        </w:numPr>
        <w:ind w:left="425" w:hanging="425"/>
      </w:pPr>
      <w:r>
        <w:t>Registr obyvatel</w:t>
      </w:r>
      <w:r w:rsidR="00051088">
        <w:t xml:space="preserve"> </w:t>
      </w:r>
      <w:r w:rsidR="00051088" w:rsidRPr="00051088">
        <w:t>(včetně jeho agendových systémů)</w:t>
      </w:r>
    </w:p>
    <w:p w14:paraId="19AC787E" w14:textId="77777777" w:rsidR="00351A74" w:rsidRDefault="00351A74" w:rsidP="00351A74">
      <w:pPr>
        <w:pStyle w:val="Nadpis3"/>
        <w:ind w:left="709" w:hanging="709"/>
      </w:pPr>
      <w:bookmarkStart w:id="11" w:name="_Toc166756696"/>
      <w:r>
        <w:t xml:space="preserve">2.2.3 </w:t>
      </w:r>
      <w:r>
        <w:tab/>
        <w:t>Seznam zdrojů dat – data o rodinných jádrech</w:t>
      </w:r>
      <w:bookmarkEnd w:id="11"/>
    </w:p>
    <w:p w14:paraId="0897411C" w14:textId="77777777" w:rsidR="00351A74" w:rsidRDefault="00351A74" w:rsidP="00351A74">
      <w:pPr>
        <w:pStyle w:val="Odstavecseseznamem"/>
        <w:numPr>
          <w:ilvl w:val="0"/>
          <w:numId w:val="11"/>
        </w:numPr>
        <w:ind w:left="426" w:hanging="426"/>
      </w:pPr>
      <w:r>
        <w:t>Sčítací formuláře</w:t>
      </w:r>
    </w:p>
    <w:p w14:paraId="2DA97FA7" w14:textId="77777777" w:rsidR="00351A74" w:rsidRDefault="00351A74" w:rsidP="00351A74">
      <w:pPr>
        <w:pStyle w:val="Odstavecseseznamem"/>
        <w:numPr>
          <w:ilvl w:val="0"/>
          <w:numId w:val="11"/>
        </w:numPr>
        <w:ind w:left="426" w:hanging="426"/>
      </w:pPr>
      <w:r w:rsidRPr="001A0B46">
        <w:t>Registr obyvatel (včetně jeho agendových systémů)</w:t>
      </w:r>
    </w:p>
    <w:p w14:paraId="5A92F126" w14:textId="77777777" w:rsidR="00E77677" w:rsidRDefault="00E77677" w:rsidP="00E77677">
      <w:pPr>
        <w:pStyle w:val="Nadpis3"/>
        <w:ind w:left="851" w:hanging="851"/>
      </w:pPr>
      <w:bookmarkStart w:id="12" w:name="_Toc166756697"/>
      <w:r>
        <w:lastRenderedPageBreak/>
        <w:t xml:space="preserve">2.2.4 </w:t>
      </w:r>
      <w:r>
        <w:tab/>
        <w:t xml:space="preserve">Seznam zdrojů dat </w:t>
      </w:r>
      <w:r w:rsidR="0002601D">
        <w:t>–</w:t>
      </w:r>
      <w:r>
        <w:t xml:space="preserve"> </w:t>
      </w:r>
      <w:r w:rsidR="0002601D">
        <w:t>data o obytných prostorách</w:t>
      </w:r>
      <w:bookmarkEnd w:id="12"/>
    </w:p>
    <w:p w14:paraId="523A2395" w14:textId="77777777" w:rsidR="0002601D" w:rsidRDefault="0002601D" w:rsidP="0002601D">
      <w:pPr>
        <w:pStyle w:val="Odstavecseseznamem"/>
        <w:numPr>
          <w:ilvl w:val="0"/>
          <w:numId w:val="10"/>
        </w:numPr>
        <w:ind w:left="426" w:hanging="426"/>
      </w:pPr>
      <w:r>
        <w:t>Sčítací formuláře</w:t>
      </w:r>
    </w:p>
    <w:p w14:paraId="1B73F0BC" w14:textId="77777777" w:rsidR="0002601D" w:rsidRDefault="0002601D" w:rsidP="0002601D">
      <w:pPr>
        <w:pStyle w:val="Odstavecseseznamem"/>
        <w:numPr>
          <w:ilvl w:val="0"/>
          <w:numId w:val="10"/>
        </w:numPr>
        <w:ind w:left="426" w:hanging="426"/>
      </w:pPr>
      <w:r w:rsidRPr="001A0B46">
        <w:t>Registr obyvatel (včetně jeho agendových systémů)</w:t>
      </w:r>
    </w:p>
    <w:p w14:paraId="49E71B76" w14:textId="77777777" w:rsidR="00334B46" w:rsidRDefault="00334B46" w:rsidP="0002601D">
      <w:pPr>
        <w:pStyle w:val="Odstavecseseznamem"/>
        <w:numPr>
          <w:ilvl w:val="0"/>
          <w:numId w:val="10"/>
        </w:numPr>
        <w:ind w:left="426" w:hanging="426"/>
      </w:pPr>
      <w:r>
        <w:t>Katastr nemovitostí a RUIAN</w:t>
      </w:r>
    </w:p>
    <w:p w14:paraId="42155C6D" w14:textId="77777777" w:rsidR="0002601D" w:rsidRDefault="0002601D" w:rsidP="0002601D">
      <w:pPr>
        <w:pStyle w:val="Odstavecseseznamem"/>
        <w:numPr>
          <w:ilvl w:val="0"/>
          <w:numId w:val="10"/>
        </w:numPr>
        <w:ind w:left="426" w:hanging="426"/>
      </w:pPr>
      <w:r w:rsidRPr="001A0B46">
        <w:t>Registr sčítacích obvodů a budov</w:t>
      </w:r>
    </w:p>
    <w:p w14:paraId="4887A447" w14:textId="181826E1" w:rsidR="005D1A31" w:rsidRDefault="005D1A31" w:rsidP="005D1A31">
      <w:pPr>
        <w:pStyle w:val="Nadpis3"/>
        <w:ind w:left="851" w:hanging="851"/>
      </w:pPr>
      <w:bookmarkStart w:id="13" w:name="_Toc166756698"/>
      <w:r>
        <w:t xml:space="preserve">2.2.5 </w:t>
      </w:r>
      <w:r>
        <w:tab/>
        <w:t xml:space="preserve">Seznam zdrojů dat – data o </w:t>
      </w:r>
      <w:bookmarkEnd w:id="13"/>
      <w:r w:rsidR="00236E59">
        <w:t>obydlených bytech</w:t>
      </w:r>
    </w:p>
    <w:p w14:paraId="16B61A1A" w14:textId="77777777" w:rsidR="002A494A" w:rsidRDefault="002A494A" w:rsidP="002A494A">
      <w:pPr>
        <w:pStyle w:val="Odstavecseseznamem"/>
        <w:numPr>
          <w:ilvl w:val="0"/>
          <w:numId w:val="10"/>
        </w:numPr>
        <w:ind w:left="426" w:hanging="426"/>
      </w:pPr>
      <w:r>
        <w:t>Sčítací formuláře</w:t>
      </w:r>
    </w:p>
    <w:p w14:paraId="631416E8" w14:textId="77777777" w:rsidR="002A494A" w:rsidRDefault="002A494A" w:rsidP="002A494A">
      <w:pPr>
        <w:pStyle w:val="Odstavecseseznamem"/>
        <w:numPr>
          <w:ilvl w:val="0"/>
          <w:numId w:val="10"/>
        </w:numPr>
        <w:ind w:left="426" w:hanging="426"/>
      </w:pPr>
      <w:r w:rsidRPr="001A0B46">
        <w:t>Registr obyvatel (včetně jeho agendových systémů)</w:t>
      </w:r>
    </w:p>
    <w:p w14:paraId="14BFBCB8" w14:textId="77777777" w:rsidR="00334B46" w:rsidRDefault="00334B46" w:rsidP="00334B46">
      <w:pPr>
        <w:pStyle w:val="Odstavecseseznamem"/>
        <w:numPr>
          <w:ilvl w:val="0"/>
          <w:numId w:val="10"/>
        </w:numPr>
        <w:ind w:left="426" w:hanging="426"/>
      </w:pPr>
      <w:r>
        <w:t>Katastr nemovitostí a RUIAN</w:t>
      </w:r>
    </w:p>
    <w:p w14:paraId="1AB78AAE" w14:textId="77777777" w:rsidR="002A494A" w:rsidRDefault="002A494A" w:rsidP="002A494A">
      <w:pPr>
        <w:pStyle w:val="Odstavecseseznamem"/>
        <w:numPr>
          <w:ilvl w:val="0"/>
          <w:numId w:val="10"/>
        </w:numPr>
        <w:ind w:left="426" w:hanging="426"/>
      </w:pPr>
      <w:r w:rsidRPr="001A0B46">
        <w:t>Registr sčítacích obvodů a budov</w:t>
      </w:r>
    </w:p>
    <w:p w14:paraId="0E4FF2A8" w14:textId="71984892" w:rsidR="004427AE" w:rsidRDefault="002A494A" w:rsidP="0002601D">
      <w:pPr>
        <w:sectPr w:rsidR="004427AE">
          <w:pgSz w:w="11906" w:h="16838"/>
          <w:pgMar w:top="1417" w:right="1417" w:bottom="1417" w:left="1417" w:header="708" w:footer="708" w:gutter="0"/>
          <w:cols w:space="708"/>
          <w:docGrid w:linePitch="360"/>
        </w:sectPr>
      </w:pPr>
      <w:r w:rsidRPr="002A494A">
        <w:t>Při celoplošném sčítání pomocí sčítacích formulářů byly zjišťovány pouze ty údaje, které nebyly uvedeny v administrativních zdrojích dat</w:t>
      </w:r>
      <w:r w:rsidR="008850D8">
        <w:t xml:space="preserve"> za všechny osoby, domácnosti a domy, a také údaje potřebné pro jejich identifikaci</w:t>
      </w:r>
      <w:r w:rsidRPr="002A494A">
        <w:t xml:space="preserve"> Sčítací formuláře byly </w:t>
      </w:r>
      <w:r w:rsidR="00C97A0D">
        <w:t xml:space="preserve">distribuovány a </w:t>
      </w:r>
      <w:r w:rsidRPr="002A494A">
        <w:t xml:space="preserve">sbírány jak online, tak </w:t>
      </w:r>
      <w:r w:rsidR="00C97A0D">
        <w:t xml:space="preserve">prostřednictvím </w:t>
      </w:r>
      <w:r w:rsidR="003C5970">
        <w:t xml:space="preserve">sčítacích komisařů v terénu a na sběrných místech. </w:t>
      </w:r>
      <w:r w:rsidRPr="002A494A">
        <w:t xml:space="preserve"> </w:t>
      </w:r>
    </w:p>
    <w:p w14:paraId="2C1CC869" w14:textId="77777777" w:rsidR="00351A74" w:rsidRDefault="00351A74" w:rsidP="00351A74">
      <w:pPr>
        <w:pStyle w:val="Nadpis2"/>
        <w:numPr>
          <w:ilvl w:val="0"/>
          <w:numId w:val="0"/>
        </w:numPr>
        <w:ind w:left="709" w:hanging="709"/>
      </w:pPr>
      <w:bookmarkStart w:id="14" w:name="_Toc166756699"/>
      <w:r>
        <w:lastRenderedPageBreak/>
        <w:t>2.3</w:t>
      </w:r>
      <w:r w:rsidRPr="00351A74">
        <w:t xml:space="preserve"> </w:t>
      </w:r>
      <w:r>
        <w:tab/>
        <w:t>Matice „zdroje dat x témata“</w:t>
      </w:r>
      <w:bookmarkEnd w:id="14"/>
    </w:p>
    <w:p w14:paraId="67413284" w14:textId="77777777" w:rsidR="009F7BC6" w:rsidRDefault="009F7BC6" w:rsidP="00AF3311">
      <w:r w:rsidRPr="009F7BC6">
        <w:t xml:space="preserve">Tato matice uvádí, které administrativní zdroje dat byly použity k získání údajů o tématu.  </w:t>
      </w:r>
    </w:p>
    <w:tbl>
      <w:tblPr>
        <w:tblW w:w="13886" w:type="dxa"/>
        <w:tblLayout w:type="fixed"/>
        <w:tblCellMar>
          <w:left w:w="70" w:type="dxa"/>
          <w:right w:w="70" w:type="dxa"/>
        </w:tblCellMar>
        <w:tblLook w:val="04A0" w:firstRow="1" w:lastRow="0" w:firstColumn="1" w:lastColumn="0" w:noHBand="0" w:noVBand="1"/>
      </w:tblPr>
      <w:tblGrid>
        <w:gridCol w:w="1838"/>
        <w:gridCol w:w="992"/>
        <w:gridCol w:w="1134"/>
        <w:gridCol w:w="950"/>
        <w:gridCol w:w="893"/>
        <w:gridCol w:w="992"/>
        <w:gridCol w:w="992"/>
        <w:gridCol w:w="1134"/>
        <w:gridCol w:w="850"/>
        <w:gridCol w:w="1134"/>
        <w:gridCol w:w="1134"/>
        <w:gridCol w:w="851"/>
        <w:gridCol w:w="992"/>
      </w:tblGrid>
      <w:tr w:rsidR="00B85A79" w:rsidRPr="009F7BC6" w14:paraId="051B68DF" w14:textId="77777777" w:rsidTr="00B85A79">
        <w:trPr>
          <w:cantSplit/>
          <w:trHeight w:val="2896"/>
        </w:trPr>
        <w:tc>
          <w:tcPr>
            <w:tcW w:w="1838" w:type="dxa"/>
            <w:tcBorders>
              <w:top w:val="single" w:sz="4" w:space="0" w:color="auto"/>
              <w:left w:val="single" w:sz="4" w:space="0" w:color="auto"/>
              <w:bottom w:val="single" w:sz="4" w:space="0" w:color="auto"/>
              <w:right w:val="single" w:sz="4" w:space="0" w:color="auto"/>
            </w:tcBorders>
            <w:shd w:val="clear" w:color="000000" w:fill="E2EFDA"/>
            <w:noWrap/>
            <w:textDirection w:val="tbRl"/>
            <w:vAlign w:val="center"/>
            <w:hideMark/>
          </w:tcPr>
          <w:p w14:paraId="4B3BF201" w14:textId="77777777" w:rsidR="00B85A79" w:rsidRPr="009F7BC6" w:rsidRDefault="00B85A79" w:rsidP="003A7426">
            <w:pPr>
              <w:spacing w:after="0" w:line="240" w:lineRule="auto"/>
              <w:ind w:left="113" w:right="113"/>
              <w:jc w:val="left"/>
              <w:rPr>
                <w:rFonts w:eastAsia="Times New Roman" w:cstheme="minorHAnsi"/>
                <w:b/>
                <w:bCs/>
              </w:rPr>
            </w:pPr>
            <w:r w:rsidRPr="009F7BC6">
              <w:rPr>
                <w:rFonts w:eastAsia="Times New Roman" w:cstheme="minorHAnsi"/>
                <w:b/>
                <w:bCs/>
              </w:rPr>
              <w:t>Registr</w:t>
            </w:r>
          </w:p>
        </w:tc>
        <w:tc>
          <w:tcPr>
            <w:tcW w:w="992"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55BFFA76" w14:textId="77777777" w:rsidR="00B85A79" w:rsidRPr="009F7BC6" w:rsidRDefault="00B85A79" w:rsidP="003A7426">
            <w:pPr>
              <w:spacing w:after="0" w:line="240" w:lineRule="auto"/>
              <w:ind w:left="113" w:right="113"/>
              <w:jc w:val="left"/>
              <w:rPr>
                <w:rFonts w:eastAsia="Times New Roman" w:cstheme="minorHAnsi"/>
                <w:b/>
                <w:bCs/>
              </w:rPr>
            </w:pPr>
            <w:r w:rsidRPr="009F7BC6">
              <w:rPr>
                <w:rFonts w:eastAsia="Times New Roman" w:cstheme="minorHAnsi"/>
                <w:b/>
                <w:bCs/>
              </w:rPr>
              <w:t>Registr obyvatel</w:t>
            </w:r>
          </w:p>
        </w:tc>
        <w:tc>
          <w:tcPr>
            <w:tcW w:w="1134"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40F86280" w14:textId="7A250A23" w:rsidR="00B85A79" w:rsidRPr="009F7BC6" w:rsidRDefault="00B85A79" w:rsidP="008231DB">
            <w:pPr>
              <w:spacing w:after="0" w:line="240" w:lineRule="auto"/>
              <w:ind w:left="113" w:right="113"/>
              <w:jc w:val="left"/>
              <w:rPr>
                <w:rFonts w:eastAsia="Times New Roman" w:cstheme="minorHAnsi"/>
                <w:b/>
                <w:bCs/>
              </w:rPr>
            </w:pPr>
            <w:r w:rsidRPr="008231DB">
              <w:rPr>
                <w:rFonts w:eastAsia="Times New Roman" w:cstheme="minorHAnsi"/>
                <w:b/>
                <w:bCs/>
              </w:rPr>
              <w:t>IISSZ</w:t>
            </w:r>
            <w:r>
              <w:rPr>
                <w:rFonts w:eastAsia="Times New Roman" w:cstheme="minorHAnsi"/>
                <w:b/>
                <w:bCs/>
              </w:rPr>
              <w:t xml:space="preserve"> – subsystém poživatelé důchodů </w:t>
            </w:r>
          </w:p>
        </w:tc>
        <w:tc>
          <w:tcPr>
            <w:tcW w:w="950" w:type="dxa"/>
            <w:tcBorders>
              <w:top w:val="single" w:sz="4" w:space="0" w:color="auto"/>
              <w:left w:val="single" w:sz="4" w:space="0" w:color="auto"/>
              <w:bottom w:val="single" w:sz="4" w:space="0" w:color="auto"/>
              <w:right w:val="single" w:sz="4" w:space="0" w:color="auto"/>
            </w:tcBorders>
            <w:shd w:val="clear" w:color="000000" w:fill="E2EFDA"/>
            <w:noWrap/>
            <w:textDirection w:val="tbRl"/>
            <w:vAlign w:val="center"/>
            <w:hideMark/>
          </w:tcPr>
          <w:p w14:paraId="13E795FB" w14:textId="7A02DFB7" w:rsidR="00B85A79" w:rsidRPr="009F7BC6" w:rsidRDefault="00B85A79" w:rsidP="003A7426">
            <w:pPr>
              <w:spacing w:after="0" w:line="240" w:lineRule="auto"/>
              <w:ind w:left="113" w:right="113"/>
              <w:jc w:val="left"/>
              <w:rPr>
                <w:rFonts w:eastAsia="Times New Roman" w:cstheme="minorHAnsi"/>
                <w:b/>
                <w:bCs/>
              </w:rPr>
            </w:pPr>
            <w:r w:rsidRPr="008231DB">
              <w:rPr>
                <w:rFonts w:eastAsia="Times New Roman" w:cstheme="minorHAnsi"/>
                <w:b/>
                <w:bCs/>
              </w:rPr>
              <w:t>Registr daňových subjektů</w:t>
            </w:r>
          </w:p>
        </w:tc>
        <w:tc>
          <w:tcPr>
            <w:tcW w:w="893"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36716A9E" w14:textId="77777777" w:rsidR="00B85A79" w:rsidRPr="009F7BC6" w:rsidRDefault="00B85A79" w:rsidP="003A7426">
            <w:pPr>
              <w:spacing w:after="0" w:line="240" w:lineRule="auto"/>
              <w:ind w:left="113" w:right="113"/>
              <w:jc w:val="left"/>
              <w:rPr>
                <w:rFonts w:eastAsia="Times New Roman" w:cstheme="minorHAnsi"/>
                <w:b/>
                <w:bCs/>
              </w:rPr>
            </w:pPr>
            <w:r>
              <w:rPr>
                <w:rFonts w:eastAsia="Times New Roman" w:cstheme="minorHAnsi"/>
                <w:b/>
                <w:bCs/>
              </w:rPr>
              <w:t>Registr ekonomických subjektů</w:t>
            </w:r>
          </w:p>
        </w:tc>
        <w:tc>
          <w:tcPr>
            <w:tcW w:w="992"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3813FE39" w14:textId="4415E615" w:rsidR="00B85A79" w:rsidRPr="009F7BC6" w:rsidRDefault="00B85A79" w:rsidP="003A7426">
            <w:pPr>
              <w:spacing w:after="0" w:line="240" w:lineRule="auto"/>
              <w:ind w:left="113" w:right="113"/>
              <w:jc w:val="left"/>
              <w:rPr>
                <w:rFonts w:eastAsia="Times New Roman" w:cstheme="minorHAnsi"/>
                <w:b/>
                <w:bCs/>
              </w:rPr>
            </w:pPr>
            <w:r w:rsidRPr="008231DB">
              <w:rPr>
                <w:rFonts w:eastAsia="Times New Roman" w:cstheme="minorHAnsi"/>
                <w:b/>
                <w:bCs/>
              </w:rPr>
              <w:t>IISSZ</w:t>
            </w:r>
            <w:r>
              <w:rPr>
                <w:rFonts w:eastAsia="Times New Roman" w:cstheme="minorHAnsi"/>
                <w:b/>
                <w:bCs/>
              </w:rPr>
              <w:t xml:space="preserve"> – pojistné vztahy</w:t>
            </w:r>
          </w:p>
        </w:tc>
        <w:tc>
          <w:tcPr>
            <w:tcW w:w="992"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720CADD7" w14:textId="0791BFBF" w:rsidR="00B85A79" w:rsidRPr="009F7BC6" w:rsidRDefault="00B85A79" w:rsidP="003A7426">
            <w:pPr>
              <w:spacing w:after="0" w:line="240" w:lineRule="auto"/>
              <w:ind w:left="113" w:right="113"/>
              <w:jc w:val="left"/>
              <w:rPr>
                <w:rFonts w:eastAsia="Times New Roman" w:cstheme="minorHAnsi"/>
                <w:b/>
                <w:bCs/>
              </w:rPr>
            </w:pPr>
            <w:r>
              <w:rPr>
                <w:rFonts w:eastAsia="Times New Roman" w:cstheme="minorHAnsi"/>
                <w:b/>
                <w:bCs/>
              </w:rPr>
              <w:t>I</w:t>
            </w:r>
            <w:r w:rsidRPr="008231DB">
              <w:rPr>
                <w:rFonts w:eastAsia="Times New Roman" w:cstheme="minorHAnsi"/>
                <w:b/>
                <w:bCs/>
              </w:rPr>
              <w:t>nformační systém OK práce</w:t>
            </w:r>
          </w:p>
        </w:tc>
        <w:tc>
          <w:tcPr>
            <w:tcW w:w="1134"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6B7608D7" w14:textId="77777777" w:rsidR="00B85A79" w:rsidRPr="009F7BC6" w:rsidRDefault="00B85A79" w:rsidP="003A7426">
            <w:pPr>
              <w:spacing w:after="0" w:line="240" w:lineRule="auto"/>
              <w:ind w:left="113" w:right="113"/>
              <w:jc w:val="left"/>
              <w:rPr>
                <w:rFonts w:eastAsia="Times New Roman" w:cstheme="minorHAnsi"/>
                <w:b/>
                <w:bCs/>
              </w:rPr>
            </w:pPr>
            <w:r>
              <w:rPr>
                <w:rFonts w:eastAsia="Times New Roman" w:cstheme="minorHAnsi"/>
                <w:b/>
                <w:bCs/>
              </w:rPr>
              <w:t>Katastr nemovitostí a RUIAN</w:t>
            </w:r>
          </w:p>
        </w:tc>
        <w:tc>
          <w:tcPr>
            <w:tcW w:w="850"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28317913" w14:textId="7EAC7066" w:rsidR="00B85A79" w:rsidRPr="009F7BC6" w:rsidRDefault="00B85A79" w:rsidP="00E04641">
            <w:pPr>
              <w:spacing w:after="0" w:line="240" w:lineRule="auto"/>
              <w:ind w:left="113" w:right="113"/>
              <w:jc w:val="left"/>
              <w:rPr>
                <w:rFonts w:eastAsia="Times New Roman" w:cstheme="minorHAnsi"/>
                <w:b/>
                <w:bCs/>
              </w:rPr>
            </w:pPr>
            <w:r w:rsidRPr="008231DB">
              <w:rPr>
                <w:rFonts w:eastAsia="Times New Roman" w:cstheme="minorHAnsi"/>
                <w:b/>
                <w:bCs/>
              </w:rPr>
              <w:t>Centrální registr pojištěnců</w:t>
            </w:r>
          </w:p>
        </w:tc>
        <w:tc>
          <w:tcPr>
            <w:tcW w:w="1134"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0CFE96E3" w14:textId="78280EAC" w:rsidR="00B85A79" w:rsidRPr="009F7BC6" w:rsidRDefault="00B85A79" w:rsidP="00E04641">
            <w:pPr>
              <w:spacing w:after="0" w:line="240" w:lineRule="auto"/>
              <w:ind w:left="113" w:right="113"/>
              <w:jc w:val="left"/>
              <w:rPr>
                <w:rFonts w:eastAsia="Times New Roman" w:cstheme="minorHAnsi"/>
                <w:b/>
                <w:bCs/>
              </w:rPr>
            </w:pPr>
            <w:r>
              <w:rPr>
                <w:rFonts w:eastAsia="Times New Roman" w:cstheme="minorHAnsi"/>
                <w:b/>
                <w:bCs/>
              </w:rPr>
              <w:t>M</w:t>
            </w:r>
            <w:r w:rsidRPr="008231DB">
              <w:rPr>
                <w:rFonts w:eastAsia="Times New Roman" w:cstheme="minorHAnsi"/>
                <w:b/>
                <w:bCs/>
              </w:rPr>
              <w:t>atriky regionálního školství a sdružené informace matrik studentů SIMS</w:t>
            </w:r>
          </w:p>
        </w:tc>
        <w:tc>
          <w:tcPr>
            <w:tcW w:w="1134"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1DEF32CC" w14:textId="75ABCB33" w:rsidR="00B85A79" w:rsidRPr="009F7BC6" w:rsidRDefault="00B85A79" w:rsidP="008231DB">
            <w:pPr>
              <w:spacing w:after="0" w:line="240" w:lineRule="auto"/>
              <w:ind w:left="113" w:right="113"/>
              <w:jc w:val="left"/>
              <w:rPr>
                <w:rFonts w:eastAsia="Times New Roman" w:cstheme="minorHAnsi"/>
                <w:b/>
                <w:bCs/>
              </w:rPr>
            </w:pPr>
            <w:r w:rsidRPr="008231DB">
              <w:rPr>
                <w:rFonts w:eastAsia="Times New Roman" w:cstheme="minorHAnsi"/>
                <w:b/>
                <w:bCs/>
              </w:rPr>
              <w:t xml:space="preserve">IISSZ – subsystém </w:t>
            </w:r>
            <w:r>
              <w:rPr>
                <w:rFonts w:eastAsia="Times New Roman" w:cstheme="minorHAnsi"/>
                <w:b/>
                <w:bCs/>
              </w:rPr>
              <w:t xml:space="preserve">peněžité pomoci v </w:t>
            </w:r>
            <w:r w:rsidRPr="008231DB">
              <w:rPr>
                <w:rFonts w:eastAsia="Times New Roman" w:cstheme="minorHAnsi"/>
                <w:b/>
                <w:bCs/>
              </w:rPr>
              <w:t>mateřství</w:t>
            </w:r>
          </w:p>
        </w:tc>
        <w:tc>
          <w:tcPr>
            <w:tcW w:w="851"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7C7C75A7" w14:textId="2EF897BC" w:rsidR="00B85A79" w:rsidRPr="009F7BC6" w:rsidRDefault="00B85A79" w:rsidP="00E04641">
            <w:pPr>
              <w:spacing w:after="0" w:line="240" w:lineRule="auto"/>
              <w:ind w:left="113" w:right="113"/>
              <w:jc w:val="left"/>
              <w:rPr>
                <w:rFonts w:eastAsia="Times New Roman" w:cstheme="minorHAnsi"/>
                <w:b/>
                <w:bCs/>
              </w:rPr>
            </w:pPr>
            <w:r w:rsidRPr="00423509">
              <w:rPr>
                <w:rFonts w:eastAsia="Times New Roman" w:cstheme="minorHAnsi"/>
                <w:b/>
                <w:bCs/>
              </w:rPr>
              <w:t>Informační systém OK</w:t>
            </w:r>
            <w:r>
              <w:rPr>
                <w:rFonts w:eastAsia="Times New Roman" w:cstheme="minorHAnsi"/>
                <w:b/>
                <w:bCs/>
              </w:rPr>
              <w:t xml:space="preserve"> centrum </w:t>
            </w:r>
          </w:p>
        </w:tc>
        <w:tc>
          <w:tcPr>
            <w:tcW w:w="992" w:type="dxa"/>
            <w:tcBorders>
              <w:top w:val="single" w:sz="4" w:space="0" w:color="auto"/>
              <w:left w:val="single" w:sz="4" w:space="0" w:color="auto"/>
              <w:bottom w:val="single" w:sz="4" w:space="0" w:color="auto"/>
              <w:right w:val="single" w:sz="4" w:space="0" w:color="auto"/>
            </w:tcBorders>
            <w:shd w:val="clear" w:color="000000" w:fill="E2EFDA"/>
            <w:textDirection w:val="tbRl"/>
            <w:vAlign w:val="center"/>
            <w:hideMark/>
          </w:tcPr>
          <w:p w14:paraId="4DBA74B0" w14:textId="11E1D53A" w:rsidR="00B85A79" w:rsidRPr="009F7BC6" w:rsidRDefault="00B85A79" w:rsidP="00E04641">
            <w:pPr>
              <w:spacing w:after="0" w:line="240" w:lineRule="auto"/>
              <w:ind w:left="113" w:right="113"/>
              <w:jc w:val="left"/>
              <w:rPr>
                <w:rFonts w:eastAsia="Times New Roman" w:cstheme="minorHAnsi"/>
                <w:b/>
                <w:bCs/>
              </w:rPr>
            </w:pPr>
            <w:r>
              <w:rPr>
                <w:rFonts w:eastAsia="Times New Roman" w:cstheme="minorHAnsi"/>
                <w:b/>
                <w:bCs/>
              </w:rPr>
              <w:t>Registr sčítacích obvodů a budov</w:t>
            </w:r>
            <w:r w:rsidRPr="009F7BC6">
              <w:rPr>
                <w:rFonts w:eastAsia="Times New Roman" w:cstheme="minorHAnsi"/>
                <w:b/>
                <w:bCs/>
              </w:rPr>
              <w:t xml:space="preserve"> </w:t>
            </w:r>
          </w:p>
        </w:tc>
      </w:tr>
      <w:tr w:rsidR="00B85A79" w:rsidRPr="009F7BC6" w14:paraId="75A39018" w14:textId="77777777" w:rsidTr="00B85A79">
        <w:tblPrEx>
          <w:tblCellMar>
            <w:left w:w="51" w:type="dxa"/>
            <w:right w:w="51" w:type="dxa"/>
          </w:tblCellMar>
        </w:tblPrEx>
        <w:trPr>
          <w:trHeight w:val="409"/>
        </w:trPr>
        <w:tc>
          <w:tcPr>
            <w:tcW w:w="1838" w:type="dxa"/>
            <w:tcBorders>
              <w:top w:val="single" w:sz="2" w:space="0" w:color="auto"/>
              <w:left w:val="single" w:sz="2" w:space="0" w:color="auto"/>
              <w:bottom w:val="single" w:sz="2" w:space="0" w:color="auto"/>
              <w:right w:val="single" w:sz="2" w:space="0" w:color="auto"/>
            </w:tcBorders>
            <w:shd w:val="clear" w:color="000000" w:fill="FFFFFF"/>
            <w:noWrap/>
            <w:vAlign w:val="bottom"/>
            <w:hideMark/>
          </w:tcPr>
          <w:p w14:paraId="0792D9D4"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Místo obvyklého pobytu</w:t>
            </w:r>
          </w:p>
        </w:tc>
        <w:tc>
          <w:tcPr>
            <w:tcW w:w="992" w:type="dxa"/>
            <w:tcBorders>
              <w:top w:val="single" w:sz="2" w:space="0" w:color="auto"/>
              <w:left w:val="nil"/>
              <w:bottom w:val="single" w:sz="2" w:space="0" w:color="auto"/>
              <w:right w:val="single" w:sz="2" w:space="0" w:color="auto"/>
            </w:tcBorders>
            <w:shd w:val="clear" w:color="000000" w:fill="FFFFFF"/>
            <w:noWrap/>
            <w:vAlign w:val="center"/>
            <w:hideMark/>
          </w:tcPr>
          <w:p w14:paraId="27BB50F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2" w:space="0" w:color="auto"/>
              <w:left w:val="nil"/>
              <w:bottom w:val="single" w:sz="2" w:space="0" w:color="auto"/>
              <w:right w:val="single" w:sz="2" w:space="0" w:color="auto"/>
            </w:tcBorders>
            <w:shd w:val="clear" w:color="000000" w:fill="FFFFFF"/>
            <w:noWrap/>
            <w:vAlign w:val="center"/>
            <w:hideMark/>
          </w:tcPr>
          <w:p w14:paraId="581CE67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2" w:space="0" w:color="auto"/>
              <w:left w:val="nil"/>
              <w:bottom w:val="single" w:sz="2" w:space="0" w:color="auto"/>
              <w:right w:val="single" w:sz="2" w:space="0" w:color="auto"/>
            </w:tcBorders>
            <w:shd w:val="clear" w:color="000000" w:fill="FFFFFF"/>
            <w:noWrap/>
            <w:vAlign w:val="center"/>
            <w:hideMark/>
          </w:tcPr>
          <w:p w14:paraId="67C371C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2" w:space="0" w:color="auto"/>
              <w:left w:val="nil"/>
              <w:bottom w:val="single" w:sz="2" w:space="0" w:color="auto"/>
              <w:right w:val="single" w:sz="2" w:space="0" w:color="auto"/>
            </w:tcBorders>
            <w:shd w:val="clear" w:color="000000" w:fill="FFFFFF"/>
            <w:noWrap/>
            <w:vAlign w:val="center"/>
            <w:hideMark/>
          </w:tcPr>
          <w:p w14:paraId="4FF0986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2" w:space="0" w:color="auto"/>
              <w:left w:val="nil"/>
              <w:bottom w:val="single" w:sz="2" w:space="0" w:color="auto"/>
              <w:right w:val="single" w:sz="2" w:space="0" w:color="auto"/>
            </w:tcBorders>
            <w:shd w:val="clear" w:color="000000" w:fill="FFFFFF"/>
            <w:noWrap/>
            <w:vAlign w:val="center"/>
            <w:hideMark/>
          </w:tcPr>
          <w:p w14:paraId="5C12F78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2" w:space="0" w:color="auto"/>
              <w:left w:val="nil"/>
              <w:bottom w:val="single" w:sz="2" w:space="0" w:color="auto"/>
              <w:right w:val="single" w:sz="2" w:space="0" w:color="auto"/>
            </w:tcBorders>
            <w:shd w:val="clear" w:color="000000" w:fill="FFFFFF"/>
            <w:noWrap/>
            <w:vAlign w:val="center"/>
            <w:hideMark/>
          </w:tcPr>
          <w:p w14:paraId="5EAF405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2" w:space="0" w:color="auto"/>
              <w:left w:val="nil"/>
              <w:bottom w:val="single" w:sz="2" w:space="0" w:color="auto"/>
              <w:right w:val="single" w:sz="2" w:space="0" w:color="auto"/>
            </w:tcBorders>
            <w:shd w:val="clear" w:color="000000" w:fill="FFFFFF"/>
            <w:noWrap/>
            <w:vAlign w:val="center"/>
            <w:hideMark/>
          </w:tcPr>
          <w:p w14:paraId="044480A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2" w:space="0" w:color="auto"/>
              <w:left w:val="nil"/>
              <w:bottom w:val="single" w:sz="2" w:space="0" w:color="auto"/>
              <w:right w:val="single" w:sz="2" w:space="0" w:color="auto"/>
            </w:tcBorders>
            <w:shd w:val="clear" w:color="000000" w:fill="FFFFFF"/>
            <w:noWrap/>
            <w:vAlign w:val="center"/>
            <w:hideMark/>
          </w:tcPr>
          <w:p w14:paraId="07B81B5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2" w:space="0" w:color="auto"/>
              <w:left w:val="nil"/>
              <w:bottom w:val="single" w:sz="2" w:space="0" w:color="auto"/>
              <w:right w:val="single" w:sz="2" w:space="0" w:color="auto"/>
            </w:tcBorders>
            <w:shd w:val="clear" w:color="000000" w:fill="FFFFFF"/>
            <w:noWrap/>
            <w:vAlign w:val="center"/>
            <w:hideMark/>
          </w:tcPr>
          <w:p w14:paraId="3CFEB91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2" w:space="0" w:color="auto"/>
              <w:left w:val="nil"/>
              <w:bottom w:val="single" w:sz="2" w:space="0" w:color="auto"/>
              <w:right w:val="single" w:sz="2" w:space="0" w:color="auto"/>
            </w:tcBorders>
            <w:shd w:val="clear" w:color="000000" w:fill="FFFFFF"/>
            <w:noWrap/>
            <w:vAlign w:val="center"/>
            <w:hideMark/>
          </w:tcPr>
          <w:p w14:paraId="130EAB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34E19D2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E56DE8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56488542" w14:textId="77777777" w:rsidTr="00B85A79">
        <w:trPr>
          <w:trHeight w:val="413"/>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DBEB9F"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Místo pracoviště</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5EAF2D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726E1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DF6D98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7204C49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BF6FB4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D12703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768BCC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DAAA75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6E2598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492186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3BE879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F63E4A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1B6C509B" w14:textId="77777777" w:rsidTr="00B85A79">
        <w:trPr>
          <w:trHeight w:val="18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2D0899"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Pohlaví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5AFA45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E40270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E26CCD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018DAAB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2DA774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21DFDD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9FDE6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79AF27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54058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6537D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E1C935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94E49A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2274FA2" w14:textId="77777777" w:rsidTr="00B85A79">
        <w:trPr>
          <w:trHeight w:val="198"/>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D01FB"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Věk</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C21D27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935E9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89FC3F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742D5B5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B1590B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55E79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7390D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90E62C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F129E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E1DA7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887B72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989AFB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7ED0D653" w14:textId="77777777" w:rsidTr="00B85A79">
        <w:trPr>
          <w:trHeight w:val="233"/>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6C468"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Rodinný stav</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F49995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8D0E2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1F64BCB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76A7B9E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B949AF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F09652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67B1D5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D91798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0EFE2E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E1380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42F122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CD9139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2A0BE64" w14:textId="77777777" w:rsidTr="00B85A79">
        <w:trPr>
          <w:trHeight w:val="422"/>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B2BE2"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Typ současné ekonomické aktivity</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38F4F2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BDC3AA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5AC3B87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2188A13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19DC21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C2B3FD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23D45B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F9A4EE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D138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7CDE3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767058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64CFD5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3B7CB65" w14:textId="77777777" w:rsidTr="00B85A79">
        <w:trPr>
          <w:trHeight w:val="188"/>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4C17E"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Zaměstnání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06FDD5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E8AE89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5208984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2EC5DB7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780521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0DB41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6B096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1DE6E5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AF37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9BE8F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D45FEE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1520C8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D8C506E" w14:textId="77777777" w:rsidTr="00B85A79">
        <w:trPr>
          <w:trHeight w:val="206"/>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2C38D"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Odvětví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E14B43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5374F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BBAAAF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33D253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BC968E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8CA290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E95CE5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1831CF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FA814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E3E42F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59B736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7A69AC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7EDC23E2" w14:textId="77777777" w:rsidTr="00B85A79">
        <w:trPr>
          <w:trHeight w:val="38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67623"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Postavení v zaměstnání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C1EDF0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5EDFD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3DBF16B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6D69CB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24690C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82C6DD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7ECB9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4FAA7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E8A49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E00595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E70B9A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58DE02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E0D1466" w14:textId="77777777" w:rsidTr="00B85A79">
        <w:trPr>
          <w:trHeight w:val="42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98365"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Nejvyšší ukončené vzdělání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B12A1E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4DA814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4D9D35A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2320843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17BFF9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D0897F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BA0E2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92B860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C0E34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nil"/>
            </w:tcBorders>
            <w:shd w:val="clear" w:color="000000" w:fill="FFFFFF"/>
            <w:noWrap/>
            <w:vAlign w:val="center"/>
            <w:hideMark/>
          </w:tcPr>
          <w:p w14:paraId="63DAF6F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2924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EF3122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4BDFF421" w14:textId="77777777" w:rsidTr="00B85A79">
        <w:trPr>
          <w:trHeight w:val="42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474E8"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Země/místo narození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F95B8A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DAC13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C33BBF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7BFC4A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2E8428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34C817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1099D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711E76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E6E1E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7587C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FE6B8D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14E820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574C1856" w14:textId="77777777" w:rsidTr="00B85A79">
        <w:trPr>
          <w:trHeight w:val="47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A573CC"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Státní občanství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B5842D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08CA8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704EA57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142F7D5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CE8064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C46FC2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4392D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878D81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07BC4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CEF7A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CFF0E1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FCD6FF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16F25EBB" w14:textId="77777777" w:rsidTr="00B85A79">
        <w:trPr>
          <w:trHeight w:val="10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4E8664" w14:textId="77777777" w:rsidR="00B85A79" w:rsidRPr="009F7BC6" w:rsidRDefault="00B85A79" w:rsidP="00C37590">
            <w:pPr>
              <w:spacing w:after="0" w:line="240" w:lineRule="auto"/>
              <w:jc w:val="left"/>
              <w:rPr>
                <w:rFonts w:eastAsia="Times New Roman" w:cstheme="minorHAnsi"/>
              </w:rPr>
            </w:pPr>
            <w:r>
              <w:rPr>
                <w:rFonts w:eastAsia="Times New Roman" w:cstheme="minorHAnsi"/>
              </w:rPr>
              <w:t>Rok přistěhování do země sčítání</w:t>
            </w:r>
            <w:r w:rsidRPr="009F7BC6">
              <w:rPr>
                <w:rFonts w:eastAsia="Times New Roman" w:cstheme="minorHAnsi"/>
              </w:rPr>
              <w:t xml:space="preserve"> </w:t>
            </w:r>
            <w:r w:rsidRPr="003909F2">
              <w:rPr>
                <w:rFonts w:eastAsia="Times New Roman" w:cstheme="minorHAnsi"/>
              </w:rPr>
              <w:t>(</w:t>
            </w:r>
            <w:r>
              <w:rPr>
                <w:rFonts w:eastAsia="Times New Roman" w:cstheme="minorHAnsi"/>
              </w:rPr>
              <w:t>do</w:t>
            </w:r>
            <w:r w:rsidRPr="003909F2">
              <w:rPr>
                <w:rFonts w:eastAsia="Times New Roman" w:cstheme="minorHAnsi"/>
              </w:rPr>
              <w:t xml:space="preserve"> roku 1980)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8867A6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13881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A594BD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EBFAE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A8624D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73FEAF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A264C5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2EE79B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C18FD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B91EA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DDAA35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7B85DC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550182EB" w14:textId="77777777" w:rsidTr="00B85A79">
        <w:trPr>
          <w:trHeight w:val="527"/>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8F1B1"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 xml:space="preserve">Rok přistěhování do země sčítání od roku </w:t>
            </w:r>
            <w:r w:rsidRPr="009F7BC6">
              <w:rPr>
                <w:rFonts w:eastAsia="Times New Roman" w:cstheme="minorHAnsi"/>
              </w:rPr>
              <w:t>1980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CCCF14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D5068C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10D0D1D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6100C6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0B80A8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F78D1B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911DF7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367869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A3B97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50E8C7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A300F6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0CB5ED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03D4890" w14:textId="77777777" w:rsidTr="00B85A79">
        <w:trPr>
          <w:trHeight w:val="10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08490A"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Místo obvyklého pobytu rok před sčítáním</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6E6CC0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F2E797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4F5CDC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4E40A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B63A9B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9727C0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80D6C1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6BEF44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AD50C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201DDF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ACC1C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A934EA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3805A69" w14:textId="77777777" w:rsidTr="00B85A79">
        <w:trPr>
          <w:trHeight w:val="42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5ABBC"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Postavení v domácnosti</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C6A029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9F25D0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51E6DCC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20AFDFD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629E02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F898E8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B2E11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302D6A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EF107C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FC3371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F25BEE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61A8C2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6B5BFB6" w14:textId="77777777" w:rsidTr="00B85A79">
        <w:trPr>
          <w:trHeight w:val="192"/>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95399"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Postavení v rodině</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CA8EC2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793AC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40D112F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2FD0DDA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AD32BC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24427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BB78C2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A1CE86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0CE92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592AF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BD1857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FF936B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F480F2C" w14:textId="77777777" w:rsidTr="00B85A79">
        <w:trPr>
          <w:trHeight w:val="352"/>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8874CB"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Typ rodinného jádra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EF57B1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8112F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44C1DBE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C1F34D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43C08B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E26DC5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E01EF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698756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DBBFF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660234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136054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0754E4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6C74267" w14:textId="77777777" w:rsidTr="00B85A79">
        <w:trPr>
          <w:trHeight w:val="402"/>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7AD29E"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Velikost rodinného jádra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4EEC3C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D87A1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9D16A7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1ED954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2853E1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CAB6B5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40EB8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53AF3D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1A8FC5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E52D6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50CCC0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6FBD92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0B7C07FE" w14:textId="77777777" w:rsidTr="00B85A79">
        <w:trPr>
          <w:trHeight w:val="46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B45F5"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Typ soukromé domácnosti</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3C787F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B8F9C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3B52633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2B40ED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0AB19B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F073F4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12610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60C1D0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9C20B2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431C15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3D1E91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6E8C93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514E8F85" w14:textId="77777777" w:rsidTr="00B85A79">
        <w:trPr>
          <w:trHeight w:val="35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B59EA"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Velikost soukromé domácnosti</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5C53A2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A54C35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70D6738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E1C336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AEDCDD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FFD901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8D689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E201B7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0CA7CE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3254C4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8EC34C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8B0CA5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64F8791" w14:textId="77777777" w:rsidTr="00B85A79">
        <w:trPr>
          <w:trHeight w:val="423"/>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4B217"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Právní důvod užívání bytu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990EED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827FA8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0C23AD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65866B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868F95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E32FC7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50C23F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3C1D1A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95F48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CD1A8B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2435D7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D663D6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298841E6" w14:textId="77777777" w:rsidTr="00B85A79">
        <w:trPr>
          <w:trHeight w:val="46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0A104"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Způsob bydlení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CFDDA0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1A2855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72E1BD3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92578D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D99CC6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043BF1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06EB9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E6B690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9A83B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5EF67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C6DEEC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06E10D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r w:rsidR="00B85A79" w:rsidRPr="009F7BC6" w14:paraId="67D68E15" w14:textId="77777777" w:rsidTr="00B85A79">
        <w:trPr>
          <w:trHeight w:val="404"/>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54E6D3"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Typ obydlených prostor</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328176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17844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353B06F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48703C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AA8BF2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6BA67E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2FF05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091B4E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0D5B97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237EE6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6C0E04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068998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r w:rsidR="00B85A79" w:rsidRPr="009F7BC6" w14:paraId="3AC8540D" w14:textId="77777777" w:rsidTr="00B85A79">
        <w:trPr>
          <w:trHeight w:val="491"/>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15A4C1"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Obydlenost bytů</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25E53E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7C4E1C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716D05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11423CF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528C60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841407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A53448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3B6815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8C4E2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A00C4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705051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6A2489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09970E5" w14:textId="77777777" w:rsidTr="00B85A79">
        <w:trPr>
          <w:trHeight w:val="284"/>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4D4639"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Typ vlastnictví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98BC7D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27E090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182D126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1428EB5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0D9393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87550F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7B101D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5212D9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DDF93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2AE1E7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CD304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65EDEE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1564B025" w14:textId="77777777" w:rsidTr="00B85A79">
        <w:trPr>
          <w:trHeight w:val="32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8CF780"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Počet bydlících osob</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FFFE27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69E9CC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DF08F8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0BFDC3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B708C4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7C1D57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226D1A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1ACE6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103A30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92E11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4D2387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FCD633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7DED2725" w14:textId="77777777" w:rsidTr="00B85A79">
        <w:trPr>
          <w:trHeight w:val="384"/>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62986" w14:textId="77777777" w:rsidR="00B85A79" w:rsidRPr="009F7BC6" w:rsidRDefault="00B85A79" w:rsidP="003A7426">
            <w:pPr>
              <w:spacing w:after="0" w:line="240" w:lineRule="auto"/>
              <w:jc w:val="left"/>
              <w:rPr>
                <w:rFonts w:eastAsia="Times New Roman" w:cstheme="minorHAnsi"/>
              </w:rPr>
            </w:pPr>
            <w:r>
              <w:rPr>
                <w:rFonts w:eastAsia="Times New Roman" w:cstheme="minorHAnsi"/>
              </w:rPr>
              <w:lastRenderedPageBreak/>
              <w:t>Užitná podlahová plocha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733C85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89A1A4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AEE2F9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EA496F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B41274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D8D823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C9A8F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CDEE39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CE408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C8E034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F20E09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B5599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639BF8C2" w14:textId="77777777" w:rsidTr="00B85A79">
        <w:trPr>
          <w:trHeight w:val="42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03AA22"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Počet obytných místností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DA29F3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C2B1B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22762F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C0C4FC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F5D926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3C5949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E145C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7D517D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500C38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95B3C1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C1CEAA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C6256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3AA50FE0" w14:textId="77777777" w:rsidTr="00B85A79">
        <w:trPr>
          <w:trHeight w:val="626"/>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3091C" w14:textId="77777777" w:rsidR="00B85A79" w:rsidRPr="009F7BC6" w:rsidRDefault="00B85A79" w:rsidP="00501F14">
            <w:pPr>
              <w:spacing w:after="0" w:line="240" w:lineRule="auto"/>
              <w:jc w:val="left"/>
              <w:rPr>
                <w:rFonts w:eastAsia="Times New Roman" w:cstheme="minorHAnsi"/>
              </w:rPr>
            </w:pPr>
            <w:r>
              <w:rPr>
                <w:rFonts w:eastAsia="Times New Roman" w:cstheme="minorHAnsi"/>
              </w:rPr>
              <w:t>Charakteristiky zalidnění</w:t>
            </w:r>
            <w:r w:rsidRPr="009F7BC6">
              <w:rPr>
                <w:rFonts w:eastAsia="Times New Roman" w:cstheme="minorHAnsi"/>
              </w:rPr>
              <w:t xml:space="preserve"> (</w:t>
            </w:r>
            <w:r>
              <w:rPr>
                <w:rFonts w:eastAsia="Times New Roman" w:cstheme="minorHAnsi"/>
              </w:rPr>
              <w:t>podlahová plocha</w:t>
            </w:r>
            <w:r w:rsidRPr="009F7BC6">
              <w:rPr>
                <w:rFonts w:eastAsia="Times New Roman" w:cstheme="minorHAnsi"/>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6A160D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80C36A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179865E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4C8A173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8A9CA6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4C6FCC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0DC47F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795009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A43DEE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8CBBD3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B2659F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9555B8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7BAD10EE" w14:textId="77777777" w:rsidTr="00B85A79">
        <w:trPr>
          <w:trHeight w:val="695"/>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5EE94D" w14:textId="77777777" w:rsidR="00B85A79" w:rsidRPr="009F7BC6" w:rsidRDefault="00B85A79" w:rsidP="00501F14">
            <w:pPr>
              <w:spacing w:after="0" w:line="240" w:lineRule="auto"/>
              <w:jc w:val="left"/>
              <w:rPr>
                <w:rFonts w:eastAsia="Times New Roman" w:cstheme="minorHAnsi"/>
              </w:rPr>
            </w:pPr>
            <w:r>
              <w:rPr>
                <w:rFonts w:eastAsia="Times New Roman" w:cstheme="minorHAnsi"/>
              </w:rPr>
              <w:t>Charakteristiky zalidnění</w:t>
            </w:r>
            <w:r w:rsidRPr="009F7BC6">
              <w:rPr>
                <w:rFonts w:eastAsia="Times New Roman" w:cstheme="minorHAnsi"/>
              </w:rPr>
              <w:t xml:space="preserve"> </w:t>
            </w:r>
            <w:r>
              <w:rPr>
                <w:rFonts w:eastAsia="Times New Roman" w:cstheme="minorHAnsi"/>
              </w:rPr>
              <w:t>(počet místností</w:t>
            </w:r>
            <w:r w:rsidRPr="009F7BC6">
              <w:rPr>
                <w:rFonts w:eastAsia="Times New Roman" w:cstheme="minorHAnsi"/>
              </w:rPr>
              <w:t>)</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929228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1DD8E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615E8C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18F3D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F2729F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C81D2A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7C30E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02853E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628301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CACF4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57DE11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930AEC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1D43E7C0" w14:textId="77777777" w:rsidTr="00B85A79">
        <w:trPr>
          <w:trHeight w:val="425"/>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F6D1A"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Systém dodávky vody</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2B954F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AFE3FE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6E5900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4FD24B1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198355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743C92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E881ED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2249F8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0812D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AC6DEE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A620AE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E480DB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r w:rsidR="00B85A79" w:rsidRPr="009F7BC6" w14:paraId="799F5599" w14:textId="77777777" w:rsidTr="00B85A79">
        <w:trPr>
          <w:trHeight w:val="191"/>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E6D4B"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Hygienické zařízení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753A71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F3E1D2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CF2694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4ABD43C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9DDD64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E712E7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711581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4BF9D6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607468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0295A2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D73303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70D05A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47AB4C61" w14:textId="77777777" w:rsidTr="00B85A79">
        <w:trPr>
          <w:trHeight w:val="167"/>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3BEAC"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Koupelna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4D6C27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F05F4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1983D1C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7114895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BE6206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676000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7EC335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8BB979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B3EBA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4633C8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E16EEDA"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0D5DDD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r>
      <w:tr w:rsidR="00B85A79" w:rsidRPr="009F7BC6" w14:paraId="5D5333A5" w14:textId="77777777" w:rsidTr="00B85A79">
        <w:trPr>
          <w:trHeight w:val="273"/>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9DFA96" w14:textId="77777777" w:rsidR="00B85A79" w:rsidRPr="009F7BC6" w:rsidRDefault="00B85A79" w:rsidP="003A7426">
            <w:pPr>
              <w:spacing w:after="0" w:line="240" w:lineRule="auto"/>
              <w:jc w:val="left"/>
              <w:rPr>
                <w:rFonts w:eastAsia="Times New Roman" w:cstheme="minorHAnsi"/>
              </w:rPr>
            </w:pPr>
            <w:r>
              <w:rPr>
                <w:rFonts w:eastAsia="Times New Roman" w:cstheme="minorHAnsi"/>
              </w:rPr>
              <w:t>Způsob vytápění</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4A2FBB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B9EC624"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05240AE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52C2FFC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DDA860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6354782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A919608"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424951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A77B6A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DA7A3E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346957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5E13FA2"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r w:rsidR="00B85A79" w:rsidRPr="009F7BC6" w14:paraId="4F274E58" w14:textId="77777777" w:rsidTr="00B85A79">
        <w:trPr>
          <w:trHeight w:val="199"/>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11C47" w14:textId="6BF0671A" w:rsidR="00B85A79" w:rsidRPr="009F7BC6" w:rsidRDefault="00B85A79" w:rsidP="00093034">
            <w:pPr>
              <w:spacing w:after="0" w:line="240" w:lineRule="auto"/>
              <w:jc w:val="left"/>
              <w:rPr>
                <w:rFonts w:eastAsia="Times New Roman" w:cstheme="minorHAnsi"/>
              </w:rPr>
            </w:pPr>
            <w:r>
              <w:rPr>
                <w:rFonts w:eastAsia="Times New Roman" w:cstheme="minorHAnsi"/>
              </w:rPr>
              <w:t>Byty podle typu domu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BD6B9BE"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7A081B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339D459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3382775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F29DA4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3A828D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5349A4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C8321D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B612F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D03649B"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63748F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1F78147"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r w:rsidR="00B85A79" w:rsidRPr="009F7BC6" w14:paraId="7438D030" w14:textId="77777777" w:rsidTr="00B85A79">
        <w:trPr>
          <w:trHeight w:val="610"/>
        </w:trPr>
        <w:tc>
          <w:tcPr>
            <w:tcW w:w="18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F55FBC" w14:textId="77777777" w:rsidR="00B85A79" w:rsidRPr="009F7BC6" w:rsidRDefault="00B85A79" w:rsidP="00BD085C">
            <w:pPr>
              <w:spacing w:after="0" w:line="240" w:lineRule="auto"/>
              <w:jc w:val="left"/>
              <w:rPr>
                <w:rFonts w:eastAsia="Times New Roman" w:cstheme="minorHAnsi"/>
              </w:rPr>
            </w:pPr>
            <w:r>
              <w:rPr>
                <w:rFonts w:eastAsia="Times New Roman" w:cstheme="minorHAnsi"/>
              </w:rPr>
              <w:t>Byty podle období výstavby domu</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D667A00"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F632F8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50" w:type="dxa"/>
            <w:tcBorders>
              <w:top w:val="single" w:sz="4" w:space="0" w:color="auto"/>
              <w:left w:val="nil"/>
              <w:bottom w:val="single" w:sz="4" w:space="0" w:color="auto"/>
              <w:right w:val="single" w:sz="4" w:space="0" w:color="auto"/>
            </w:tcBorders>
            <w:shd w:val="clear" w:color="000000" w:fill="FFFFFF"/>
            <w:noWrap/>
            <w:vAlign w:val="center"/>
            <w:hideMark/>
          </w:tcPr>
          <w:p w14:paraId="2B228271"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14:paraId="65F2F853"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52D68B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A17D34F"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F123D76"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01A386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F37A79"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AE5BBC"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204CD"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F0D95" w14:textId="77777777" w:rsidR="00B85A79" w:rsidRPr="009F7BC6" w:rsidRDefault="00B85A79" w:rsidP="003A7426">
            <w:pPr>
              <w:spacing w:after="0" w:line="240" w:lineRule="auto"/>
              <w:jc w:val="center"/>
              <w:rPr>
                <w:rFonts w:eastAsia="Times New Roman" w:cstheme="minorHAnsi"/>
              </w:rPr>
            </w:pPr>
            <w:r w:rsidRPr="009F7BC6">
              <w:rPr>
                <w:rFonts w:eastAsia="Times New Roman" w:cstheme="minorHAnsi"/>
              </w:rPr>
              <w:t>X</w:t>
            </w:r>
          </w:p>
        </w:tc>
      </w:tr>
    </w:tbl>
    <w:p w14:paraId="4297B115" w14:textId="77777777" w:rsidR="009F7BC6" w:rsidRDefault="009F7BC6" w:rsidP="00AF3311"/>
    <w:p w14:paraId="50713EFB" w14:textId="77777777" w:rsidR="009F7BC6" w:rsidRPr="00AF3311" w:rsidRDefault="009F7BC6" w:rsidP="00AF3311">
      <w:pPr>
        <w:sectPr w:rsidR="009F7BC6" w:rsidRPr="00AF3311" w:rsidSect="009F7BC6">
          <w:pgSz w:w="16838" w:h="11906" w:orient="landscape"/>
          <w:pgMar w:top="1418" w:right="1418" w:bottom="1418" w:left="1418" w:header="709" w:footer="709" w:gutter="0"/>
          <w:cols w:space="708"/>
          <w:docGrid w:linePitch="360"/>
        </w:sectPr>
      </w:pPr>
    </w:p>
    <w:p w14:paraId="238A008C" w14:textId="77777777" w:rsidR="00A46026" w:rsidRDefault="001E2A6C" w:rsidP="001E2A6C">
      <w:pPr>
        <w:pStyle w:val="Nadpis2"/>
        <w:numPr>
          <w:ilvl w:val="1"/>
          <w:numId w:val="12"/>
        </w:numPr>
        <w:ind w:hanging="795"/>
      </w:pPr>
      <w:bookmarkStart w:id="15" w:name="_Toc166756700"/>
      <w:r>
        <w:lastRenderedPageBreak/>
        <w:t>Přiměřenost zdrojů dat: rozsah, v jakém splňují základní rysy (čl. 4 odst. 4 nařízení (ES) č. 763/2008)</w:t>
      </w:r>
      <w:bookmarkEnd w:id="15"/>
    </w:p>
    <w:p w14:paraId="0043BAC7" w14:textId="77777777" w:rsidR="00CD4CF7" w:rsidRDefault="00CD4CF7" w:rsidP="00CD4CF7">
      <w:r>
        <w:t>Splnění základních znaků S</w:t>
      </w:r>
      <w:r w:rsidRPr="00CD4CF7">
        <w:t>čítání lidu</w:t>
      </w:r>
      <w:r>
        <w:t>, domů a bytů</w:t>
      </w:r>
      <w:r w:rsidRPr="00CD4CF7">
        <w:t xml:space="preserve"> 2021 definovaných v nařízení (ES) č. 763/2008, čl. 2 písm. i), je vyžadováno zákonem o sčítání lidu a vyhláškou. Tím je zajištěno splnění těchto požadavků.</w:t>
      </w:r>
    </w:p>
    <w:p w14:paraId="41611572" w14:textId="77777777" w:rsidR="00CD4CF7" w:rsidRDefault="008964C5" w:rsidP="008964C5">
      <w:pPr>
        <w:pStyle w:val="Nadpis3"/>
      </w:pPr>
      <w:bookmarkStart w:id="16" w:name="_Toc166756701"/>
      <w:r>
        <w:t>2.4.1</w:t>
      </w:r>
      <w:r>
        <w:tab/>
        <w:t>Individuální zjišťování</w:t>
      </w:r>
      <w:bookmarkEnd w:id="16"/>
    </w:p>
    <w:p w14:paraId="44809640" w14:textId="77777777" w:rsidR="008964C5" w:rsidRDefault="008964C5" w:rsidP="008964C5">
      <w:r w:rsidRPr="008964C5">
        <w:t xml:space="preserve">Při sběru dat prostřednictvím sčítacích formulářů byla každá sčítaná osoba identifikována pomocí osobních identifikačních údajů (jméno a příjmení, datum narození, číslo občanského průkazu nebo pasu). Tyto údaje pak umožnily propojení </w:t>
      </w:r>
      <w:r>
        <w:t>se</w:t>
      </w:r>
      <w:r w:rsidRPr="008964C5">
        <w:t xml:space="preserve"> záznamy </w:t>
      </w:r>
      <w:r>
        <w:t xml:space="preserve">z </w:t>
      </w:r>
      <w:r w:rsidRPr="008964C5">
        <w:t xml:space="preserve">administrativních zdrojů dat. Osobní identifikátory byly po ukončení základní části zpracování </w:t>
      </w:r>
      <w:r>
        <w:t>dat</w:t>
      </w:r>
      <w:r w:rsidRPr="008964C5">
        <w:t xml:space="preserve"> vymazány (záznamy byly anonymizovány).</w:t>
      </w:r>
    </w:p>
    <w:p w14:paraId="1410E354" w14:textId="77777777" w:rsidR="008964C5" w:rsidRDefault="00681970" w:rsidP="00681970">
      <w:pPr>
        <w:pStyle w:val="Nadpis3"/>
      </w:pPr>
      <w:bookmarkStart w:id="17" w:name="_Toc166756702"/>
      <w:r>
        <w:t>2.4.2</w:t>
      </w:r>
      <w:r>
        <w:tab/>
        <w:t>Souběžnost</w:t>
      </w:r>
      <w:bookmarkEnd w:id="17"/>
    </w:p>
    <w:p w14:paraId="66EDCB54" w14:textId="77777777" w:rsidR="00681970" w:rsidRDefault="00681970" w:rsidP="00681970">
      <w:r w:rsidRPr="00681970">
        <w:t>Všechny informace se vztahují ke stejnému časovému okamžiku (referenčnímu datu). Údaje shromážděné na sčítacích formulářích se vztahují k 26. březnu 2021 (referenční datum sčítání 2021). Údaje z registru obyvatel byly předány před referenčním datem a později aktualizovány novým předáním údajů. Údaje z ostatních registrů byly získány co nejblíže referenčním</w:t>
      </w:r>
      <w:r w:rsidR="00BE267E">
        <w:t>u</w:t>
      </w:r>
      <w:r w:rsidRPr="00681970">
        <w:t xml:space="preserve"> </w:t>
      </w:r>
      <w:r w:rsidR="00BE267E">
        <w:t>datu</w:t>
      </w:r>
      <w:r w:rsidRPr="00681970">
        <w:t>.</w:t>
      </w:r>
    </w:p>
    <w:p w14:paraId="4B9E5019" w14:textId="77777777" w:rsidR="00BE267E" w:rsidRDefault="00BE267E" w:rsidP="00BE267E">
      <w:pPr>
        <w:pStyle w:val="Nadpis3"/>
      </w:pPr>
      <w:bookmarkStart w:id="18" w:name="_Toc166756703"/>
      <w:r>
        <w:t>2.4.3 Všeobecnost na vymezeném území</w:t>
      </w:r>
      <w:bookmarkEnd w:id="18"/>
    </w:p>
    <w:p w14:paraId="1373AF38" w14:textId="77777777" w:rsidR="00DC1689" w:rsidRDefault="00643E58" w:rsidP="00DC1689">
      <w:r>
        <w:t>Data</w:t>
      </w:r>
      <w:r w:rsidR="00DC1689">
        <w:t xml:space="preserve"> se poskytují za všechny statistické jednotky na vymezeném území (zejména u osob se poskytují údaje za všechny obyvatele</w:t>
      </w:r>
      <w:r>
        <w:t xml:space="preserve"> s obvyklým pobytem</w:t>
      </w:r>
      <w:r w:rsidR="00DC1689">
        <w:t xml:space="preserve"> na vymezeném území).</w:t>
      </w:r>
    </w:p>
    <w:p w14:paraId="5815AC8B" w14:textId="77777777" w:rsidR="00473748" w:rsidRDefault="00DC1689" w:rsidP="00DC1689">
      <w:r>
        <w:t xml:space="preserve">Sčítání lidu, domů a bytů 2021 poskytuje </w:t>
      </w:r>
      <w:r w:rsidR="00643E58">
        <w:t>data</w:t>
      </w:r>
      <w:r>
        <w:t xml:space="preserve"> o celkovém počtu osob, domácností a bytů na území České republiky. Podle zákona o sčí</w:t>
      </w:r>
      <w:r w:rsidR="00643E58">
        <w:t xml:space="preserve">tání lidu (§ 5, odst. 1) </w:t>
      </w:r>
      <w:r w:rsidR="00473748">
        <w:t>byly</w:t>
      </w:r>
      <w:r>
        <w:t xml:space="preserve"> </w:t>
      </w:r>
      <w:r w:rsidR="00473748">
        <w:t>zahrnuty:</w:t>
      </w:r>
      <w:r>
        <w:t xml:space="preserve"> </w:t>
      </w:r>
    </w:p>
    <w:p w14:paraId="528928FC" w14:textId="77777777" w:rsidR="00DC1689" w:rsidRDefault="00DC1689" w:rsidP="00DC1689">
      <w:r>
        <w:t>a) každá osoba, která měla v rozhodný okamžik na území České republiky trvalý nebo přechodný pobyt delší než 90 dnů,</w:t>
      </w:r>
    </w:p>
    <w:p w14:paraId="72F6393D" w14:textId="77777777" w:rsidR="00DC1689" w:rsidRDefault="00DC1689" w:rsidP="00DC1689">
      <w:r>
        <w:t>b) každá osoba, které byl na území České republiky udělen azyl, doplňková ochrana nebo dočasná ochrana,</w:t>
      </w:r>
    </w:p>
    <w:p w14:paraId="6AFED65D" w14:textId="77777777" w:rsidR="00DC1689" w:rsidRDefault="00DC1689" w:rsidP="00DC1689">
      <w:r>
        <w:t>c) každá osoba, která se v rozhodný okamžik nacházela na území České republiky,</w:t>
      </w:r>
    </w:p>
    <w:p w14:paraId="4D729BB4" w14:textId="77777777" w:rsidR="00DC1689" w:rsidRDefault="00DC1689" w:rsidP="00DC1689">
      <w:r>
        <w:t xml:space="preserve">d) každý dům, a to i neobydlený, </w:t>
      </w:r>
    </w:p>
    <w:p w14:paraId="40CC3436" w14:textId="77777777" w:rsidR="00BE267E" w:rsidRDefault="00DC1689" w:rsidP="00DC1689">
      <w:r>
        <w:t>e) každý, i neobydlený, byt.</w:t>
      </w:r>
    </w:p>
    <w:p w14:paraId="74FBE410" w14:textId="77777777" w:rsidR="006A7BA2" w:rsidRDefault="006A7BA2" w:rsidP="006A7BA2">
      <w:r>
        <w:lastRenderedPageBreak/>
        <w:t>Sčítání nepodléhali pouze cizinci požívající diplomatických výsad a imunit, dále obydlí ve vlastnictví jiných států nacházející se na území České republiky a užívaná k diplomatickým účelům, cizinci, kteří se v rozhodný okamžik nacházejí na území České republiky za účelem krátkodobého pobytu do 90 dnů.</w:t>
      </w:r>
    </w:p>
    <w:p w14:paraId="7E6941F4" w14:textId="77777777" w:rsidR="006A7BA2" w:rsidRDefault="006A7BA2" w:rsidP="006A7BA2">
      <w:r>
        <w:t>Papírové i elektronické sčítací formuláře obsahovaly stejné otázky a vysvětlivky. Také přeložené sčítací formuláře plně odpovídaly původnímu znění.</w:t>
      </w:r>
    </w:p>
    <w:p w14:paraId="27142F7E" w14:textId="77777777" w:rsidR="006A7BA2" w:rsidRDefault="006A7BA2" w:rsidP="006A7BA2">
      <w:r>
        <w:t>Registry používané při Sčítání lidu 2021 pokrývaly kompletně území České republiky.</w:t>
      </w:r>
    </w:p>
    <w:p w14:paraId="4C6EC65F" w14:textId="77777777" w:rsidR="006A7BA2" w:rsidRDefault="006A7BA2" w:rsidP="006A7BA2">
      <w:r>
        <w:t>Před načtením dat z registrů pro Sčítání 2021 byla provedena analýza dat včetně projednání metodiky sběru a zpracování dat s vlastníky zdrojů dat.</w:t>
      </w:r>
    </w:p>
    <w:p w14:paraId="50BCFCEF" w14:textId="77777777" w:rsidR="00112C05" w:rsidRDefault="00112C05" w:rsidP="00112C05">
      <w:pPr>
        <w:pStyle w:val="Nadpis3"/>
      </w:pPr>
      <w:bookmarkStart w:id="19" w:name="_Toc166756704"/>
      <w:r>
        <w:t>2.4.4</w:t>
      </w:r>
      <w:r>
        <w:tab/>
        <w:t>Dostupnost údajů z malých oblastí</w:t>
      </w:r>
      <w:bookmarkEnd w:id="19"/>
    </w:p>
    <w:p w14:paraId="7D402F2B" w14:textId="77777777" w:rsidR="00112C05" w:rsidRDefault="00112C05" w:rsidP="00112C05">
      <w:r>
        <w:t>Data jsou k dispozici pro malé zeměpisné oblasti a malé podskupiny statistických jednotek.</w:t>
      </w:r>
    </w:p>
    <w:p w14:paraId="225E765D" w14:textId="77777777" w:rsidR="00112C05" w:rsidRDefault="00112C05" w:rsidP="00112C05">
      <w:r>
        <w:t>Celoplošné sčítání proběhlo podle stanovených sčítacích obvodů, které pokrývají celou geografickou oblast České republiky, tedy i nejmenší lokality s malými skupinami obyvatel.</w:t>
      </w:r>
    </w:p>
    <w:p w14:paraId="1CEF9D70" w14:textId="77777777" w:rsidR="00A54007" w:rsidRDefault="00A54007" w:rsidP="00A54007">
      <w:pPr>
        <w:pStyle w:val="Nadpis3"/>
      </w:pPr>
      <w:bookmarkStart w:id="20" w:name="_Toc166756705"/>
      <w:r>
        <w:t>2.4.5</w:t>
      </w:r>
      <w:r>
        <w:tab/>
        <w:t>Stanovená pravidelnost</w:t>
      </w:r>
      <w:bookmarkEnd w:id="20"/>
    </w:p>
    <w:p w14:paraId="2F778863" w14:textId="77777777" w:rsidR="00A54007" w:rsidRDefault="005A737C" w:rsidP="00A54007">
      <w:r w:rsidRPr="005A737C">
        <w:t>Sčítání lidu, domů a bytů se v České republice provádí v pravidelných desetiletých intervalech. Poslední sčítání proběhlo v roce 2011 a další je plánováno na rok 2031.</w:t>
      </w:r>
    </w:p>
    <w:p w14:paraId="17B8085F" w14:textId="77777777" w:rsidR="005A737C" w:rsidRDefault="00E75DD8" w:rsidP="00E75DD8">
      <w:pPr>
        <w:pStyle w:val="Nadpis1"/>
      </w:pPr>
      <w:bookmarkStart w:id="21" w:name="_Toc166756706"/>
      <w:r>
        <w:t>CYKLUS SČÍTÁNÍ</w:t>
      </w:r>
      <w:bookmarkEnd w:id="21"/>
    </w:p>
    <w:p w14:paraId="0A25E627" w14:textId="77777777" w:rsidR="00E75DD8" w:rsidRDefault="004D053D" w:rsidP="004D053D">
      <w:pPr>
        <w:pStyle w:val="Nadpis2"/>
        <w:numPr>
          <w:ilvl w:val="1"/>
          <w:numId w:val="2"/>
        </w:numPr>
        <w:ind w:left="709" w:hanging="709"/>
      </w:pPr>
      <w:bookmarkStart w:id="22" w:name="_Toc166756707"/>
      <w:r>
        <w:t>Referenční datum</w:t>
      </w:r>
      <w:bookmarkEnd w:id="22"/>
    </w:p>
    <w:p w14:paraId="6AFB1E23" w14:textId="77777777" w:rsidR="004D053D" w:rsidRDefault="008621DE" w:rsidP="004D053D">
      <w:r w:rsidRPr="008621DE">
        <w:t>Rozhodný den (rozhodný okamžik sčítání), ke kterému se zjišťovaly údaje pro účely sčítání, byl v § 4 zákona o sčítání stanoven na půlnoc z pátku 26. března na sobotu 27. března 2021.</w:t>
      </w:r>
    </w:p>
    <w:p w14:paraId="3EC018DB" w14:textId="77777777" w:rsidR="008621DE" w:rsidRDefault="00CA4238" w:rsidP="00CD76EA">
      <w:pPr>
        <w:pStyle w:val="Nadpis2"/>
        <w:numPr>
          <w:ilvl w:val="1"/>
          <w:numId w:val="2"/>
        </w:numPr>
        <w:ind w:left="709" w:hanging="709"/>
      </w:pPr>
      <w:bookmarkStart w:id="23" w:name="_Toc166756708"/>
      <w:r>
        <w:t>Příprava a provedení sběru dat</w:t>
      </w:r>
      <w:bookmarkEnd w:id="23"/>
    </w:p>
    <w:p w14:paraId="6A865203" w14:textId="77777777" w:rsidR="009D70BC" w:rsidRDefault="009D70BC" w:rsidP="009D70BC">
      <w:pPr>
        <w:pStyle w:val="Nadpis3"/>
      </w:pPr>
      <w:bookmarkStart w:id="24" w:name="_Toc166756709"/>
      <w:r>
        <w:t xml:space="preserve">3.2.1 </w:t>
      </w:r>
      <w:r>
        <w:tab/>
        <w:t>Údaje založené na dotaznících</w:t>
      </w:r>
      <w:bookmarkEnd w:id="24"/>
    </w:p>
    <w:p w14:paraId="3E052FBB" w14:textId="77777777" w:rsidR="009D70BC" w:rsidRDefault="00B94DD0" w:rsidP="009D70BC">
      <w:r w:rsidRPr="00B94DD0">
        <w:t xml:space="preserve">Tradiční část sčítání spočívala ve sběru dat pomocí sčítacích formulářů. Při sčítání lidu v roce 2021 byly použity dva způsoby sběru </w:t>
      </w:r>
      <w:r>
        <w:t>dat</w:t>
      </w:r>
      <w:r w:rsidRPr="00B94DD0">
        <w:t xml:space="preserve"> prostřednictvím sčítacích formulářů (</w:t>
      </w:r>
      <w:r>
        <w:t>S</w:t>
      </w:r>
      <w:r w:rsidRPr="00B94DD0">
        <w:t xml:space="preserve">F). Primárně se jednalo o online metody sběru dat pomocí elektronických sčítacích formulářů (ESF), vyplňovaných prostřednictvím webových stránek nebo v mobilních aplikacích. Tento sběr byl doplněn tradiční distribucí a sběrem </w:t>
      </w:r>
      <w:r w:rsidR="00424A34">
        <w:t>listinných</w:t>
      </w:r>
      <w:r w:rsidRPr="00B94DD0">
        <w:t xml:space="preserve"> sčítacích formulářů (</w:t>
      </w:r>
      <w:r w:rsidR="00424A34">
        <w:t>LS</w:t>
      </w:r>
      <w:r w:rsidRPr="00B94DD0">
        <w:t xml:space="preserve">F). Tomu odpovídaly i procesy návrhu, testování a přípravy dotazníků a aplikací pro online sběr. Oba typy </w:t>
      </w:r>
      <w:r w:rsidR="00424A34">
        <w:t>S</w:t>
      </w:r>
      <w:r w:rsidRPr="00B94DD0">
        <w:t xml:space="preserve">F obsahovaly </w:t>
      </w:r>
      <w:r w:rsidRPr="00B94DD0">
        <w:lastRenderedPageBreak/>
        <w:t>stejné otázky, lišily se však grafickou úpravou. Kromě toho umožňovaly E</w:t>
      </w:r>
      <w:r w:rsidR="00424A34">
        <w:t>S</w:t>
      </w:r>
      <w:r w:rsidRPr="00B94DD0">
        <w:t>F zahrnout některé funkce usnadňující vyplňování pro respondenta a některé nezbytné prvky vyplývající z koncepce on-line sčítání - ověření existence identity vyplňující osoby, ověření existující adresy, výběr bytu, jiný způsob zjišťování složení domácností.</w:t>
      </w:r>
    </w:p>
    <w:p w14:paraId="6804EF53" w14:textId="77777777" w:rsidR="00413B29" w:rsidRDefault="00413B29" w:rsidP="00413B29">
      <w:r>
        <w:t>Fáze přípravy obsahu SF (seznam a formulace otázek) probíhala společně pro oba typy dotazníků. Jako základní typ formuláře byla zvolena varianta společného SF pro získání údajů za bydlení, domácnosti a všechny společně žijící osoby.</w:t>
      </w:r>
    </w:p>
    <w:p w14:paraId="205E2D8E" w14:textId="77777777" w:rsidR="00413B29" w:rsidRDefault="00413B29" w:rsidP="00413B29">
      <w:r>
        <w:t>Hlavní zaměření jednotlivých kroků při přípravě SF bylo následující:</w:t>
      </w:r>
    </w:p>
    <w:p w14:paraId="5806515D" w14:textId="77777777" w:rsidR="0042367C" w:rsidRDefault="0042367C" w:rsidP="0042367C">
      <w:r>
        <w:t>1) Návrh obsahu sčítacích formulářů:</w:t>
      </w:r>
    </w:p>
    <w:p w14:paraId="056C4025" w14:textId="77777777" w:rsidR="0042367C" w:rsidRDefault="0042367C" w:rsidP="0042367C">
      <w:r>
        <w:t>Snahou bylo vytvořit spíše přívětivý dotazník než úřední formulář s důrazem na přehlednost a vhodné trasování dotazníku (kdo co vyplňuje), podpořené vhodnou grafickou úpravou. V této fázi se příprava zabývala několika aspekty:</w:t>
      </w:r>
    </w:p>
    <w:p w14:paraId="24E57960" w14:textId="77777777" w:rsidR="0042367C" w:rsidRDefault="0042367C" w:rsidP="0042367C">
      <w:r>
        <w:t>a) Zjišťování vybraných témat, složitějších otázek - zejména ekonomické aktivity, dojíždění do zaměstnání, domácnosti.</w:t>
      </w:r>
    </w:p>
    <w:p w14:paraId="126E189E" w14:textId="77777777" w:rsidR="0042367C" w:rsidRDefault="0042367C" w:rsidP="0042367C">
      <w:r>
        <w:t>b) Forma jednotlivých otázek s přihlédnutím ke zkušenostem z předchozích sčítání, ze zahraničí a z jiných šetření. Tento krok zahrnoval řadu konzultací s uživateli dat a odborníky na šetření s podobně zaměřenými otázkami, kvalitativní testování různých variant šetření/typů otázek (domácnosti) a další.</w:t>
      </w:r>
    </w:p>
    <w:p w14:paraId="24B3167A" w14:textId="77777777" w:rsidR="0042367C" w:rsidRDefault="0042367C" w:rsidP="0042367C">
      <w:r>
        <w:t>c) Forma doprovodných prvků ve formuláři, jako jsou:</w:t>
      </w:r>
    </w:p>
    <w:p w14:paraId="05721F30" w14:textId="77777777" w:rsidR="0042367C" w:rsidRDefault="0042367C" w:rsidP="0042367C">
      <w:r>
        <w:t>- vysvětlení významu sčítání a spolupráce veřejnosti</w:t>
      </w:r>
    </w:p>
    <w:p w14:paraId="06233840" w14:textId="77777777" w:rsidR="0042367C" w:rsidRDefault="0042367C" w:rsidP="0042367C">
      <w:r>
        <w:t>- ochrana osobních údajů</w:t>
      </w:r>
    </w:p>
    <w:p w14:paraId="1031B17D" w14:textId="77777777" w:rsidR="0042367C" w:rsidRDefault="0042367C" w:rsidP="0042367C">
      <w:r>
        <w:t>- pokyny k vyplnění, vysvětlivky a poučení</w:t>
      </w:r>
    </w:p>
    <w:p w14:paraId="5D72D1C3" w14:textId="77777777" w:rsidR="0042367C" w:rsidRDefault="0042367C" w:rsidP="0042367C">
      <w:r>
        <w:t>- odpovědi na nejčastěji kladené otázky</w:t>
      </w:r>
    </w:p>
    <w:p w14:paraId="18E61F60" w14:textId="77777777" w:rsidR="0042367C" w:rsidRDefault="0042367C" w:rsidP="0042367C">
      <w:r>
        <w:t>2) Grafická úprava sčítacích formulářů:</w:t>
      </w:r>
    </w:p>
    <w:p w14:paraId="4F4E712D" w14:textId="77777777" w:rsidR="0042367C" w:rsidRDefault="0042367C" w:rsidP="0042367C">
      <w:r>
        <w:t>Tato fáze zahrnovala základní rozvržení prvků formulářů a vytvoření prvotních návrhů. Návrh LSF byl zadán jednomu z předních českých grafiků a návrh ESF vytvořila zkušená digitální agentura specializující se na výkonnostní marketing a design uživatelské zkušenosti (UX).</w:t>
      </w:r>
    </w:p>
    <w:p w14:paraId="0F58BA3F" w14:textId="77777777" w:rsidR="00E73DDA" w:rsidRDefault="00E73DDA" w:rsidP="00E73DDA">
      <w:r>
        <w:t>3) Testování formulářů</w:t>
      </w:r>
    </w:p>
    <w:p w14:paraId="59EDAFC4" w14:textId="77777777" w:rsidR="00E73DDA" w:rsidRDefault="00E73DDA" w:rsidP="00E73DDA">
      <w:r>
        <w:lastRenderedPageBreak/>
        <w:t>Testování srozumitelnosti formulářů bylo zadáno zkušené výzkumné agentuře. Po testování byly provedeny některé úpravy sčítacích formulářů.</w:t>
      </w:r>
    </w:p>
    <w:p w14:paraId="0E7CEAD7" w14:textId="77777777" w:rsidR="00E73DDA" w:rsidRDefault="00E73DDA" w:rsidP="00E73DDA">
      <w:r>
        <w:t>Papírové sčítací formuláře: Příprava tisku a tisk LSF byly zajištěny ve spolupráci s Českou poštou (ČP). Každý LSF byl opatřen jedinečným kódem pro pozdější identifikaci. Probíhala průběžná kontrola tisku - pravidelná kontrola vzorků LSF ve stanovených termínech. ČP vytvořila plán logistiky/doručování formulářů po jejich vytištění a distribuci respondentům a svozu na skenovací pracoviště. Celkový počet vytištěných LSF pro sčítání lidu 2021:</w:t>
      </w:r>
    </w:p>
    <w:p w14:paraId="6949FE83" w14:textId="77777777" w:rsidR="00E73DDA" w:rsidRDefault="00E73DDA" w:rsidP="00E73DDA">
      <w:r>
        <w:t>- 3 124 862 LSF pro domácnosti,</w:t>
      </w:r>
    </w:p>
    <w:p w14:paraId="56B5E192" w14:textId="77777777" w:rsidR="00E73DDA" w:rsidRDefault="00E73DDA" w:rsidP="00E73DDA">
      <w:r>
        <w:t>- 147 151 dalších LSF pro velké domácnosti,</w:t>
      </w:r>
    </w:p>
    <w:p w14:paraId="1A9B9328" w14:textId="77777777" w:rsidR="0042367C" w:rsidRDefault="00E73DDA" w:rsidP="00E73DDA">
      <w:r>
        <w:t>- 352 393 LSF pro osoby nežijící v domácnosti.</w:t>
      </w:r>
    </w:p>
    <w:p w14:paraId="5D691556" w14:textId="77777777" w:rsidR="00D55721" w:rsidRDefault="00D55721" w:rsidP="00D55721">
      <w:r>
        <w:t>Elektronické sčítací formuláře: Sběr dotazníků prostřednictvím internetových aplikací byl při sčítání lidu v České republice použit poprvé. Tomu odpovídal i důraz na vývoj, tvorbu a testování těchto aplikací. Externími dodavateli byla připravena aplikace pro sběr prostřednictvím internetových prohlížečů a aplikace pro mobilní zařízení na bázi operačních systémů Android a iOS.</w:t>
      </w:r>
    </w:p>
    <w:p w14:paraId="236459BD" w14:textId="77777777" w:rsidR="00E73DDA" w:rsidRDefault="00D55721" w:rsidP="00D55721">
      <w:r>
        <w:t>Přestože otázky v ESF byly stejné jako v LSF, grafická podoba ESF a způsob jejich vyplňování musely odpovídat zařízení, ze kterého byl dotazník vyplňován. To přineslo další potřebu funkčních testů, zátěžových a penetračních testů systému a dalších.</w:t>
      </w:r>
    </w:p>
    <w:p w14:paraId="5BD364CD" w14:textId="77777777" w:rsidR="007648E1" w:rsidRDefault="007648E1" w:rsidP="007648E1">
      <w:r>
        <w:t>Životní cyklus LSF:</w:t>
      </w:r>
    </w:p>
    <w:p w14:paraId="57CEEEB4" w14:textId="77777777" w:rsidR="007648E1" w:rsidRDefault="007648E1" w:rsidP="007648E1">
      <w:r>
        <w:t>a) Tisk. Pro sčítání 2021 bylo vytištěno celkem 3,6 milionu LSF. Naprostou většinu z nich tvořily formuláře pro domácnost, zbytek byly doplňkové formuláře pro velké domácnosti a samostatné LSF pro osoby. Tisk, ořez a sešívání do konečné podoby sešitu trvalo téměř šest měsíců. Barva, grafické prvky, formát a uspořádání polí pro zadávání údajů, typ papíru, použité barvy a technologie tisku byly voleny tak, aby bylo možné formulář snadno vyplnit a později naskenovat.</w:t>
      </w:r>
    </w:p>
    <w:p w14:paraId="38A84E40" w14:textId="77777777" w:rsidR="007648E1" w:rsidRDefault="007648E1" w:rsidP="007648E1">
      <w:r>
        <w:t>b) Distribuce. Distribuci LSF zajišťovali pracovníci České pošty v rámci horizontální spolupráce. Deset tisíc sčítacích komisařů distribuovalo formuláře ve dvou kolech do domácností po celé České republice. Vzhledem k protiepidemickým opatřením sčítací komisaři rozdávali formuláře před domy a do budov vůbec nevstupovali.</w:t>
      </w:r>
    </w:p>
    <w:p w14:paraId="2BCEC571" w14:textId="77777777" w:rsidR="00100076" w:rsidRDefault="00100076" w:rsidP="00100076">
      <w:r>
        <w:lastRenderedPageBreak/>
        <w:t>c) Vyplňování a sběr. Respondenti zaslali vyplněné LSF v obálce s odpovědí nebo je osobně odevzdali na kontaktních místech sčítání. LSF pak byly ihned dopraveny na sběrné místo a následně v co nejkratším čase přímo na digitalizační pracoviště.</w:t>
      </w:r>
    </w:p>
    <w:p w14:paraId="367951E0" w14:textId="77777777" w:rsidR="00100076" w:rsidRDefault="00100076" w:rsidP="00100076">
      <w:r>
        <w:t>d) Digitalizace. Digitalizační pracoviště byla vybavena velkokapacitními skenery. Údaje vyplněné respondenty v LSF byly rozpoznány ze skenovaných obrázků. Tento proces podléhal kontrolám prováděným pracovníky digitalizace, kteří zajišťovali přepis všech údajů do databáze tak, jak je respondenti vyplňovali.</w:t>
      </w:r>
    </w:p>
    <w:p w14:paraId="6746BF56" w14:textId="77777777" w:rsidR="00100076" w:rsidRDefault="00100076" w:rsidP="00100076">
      <w:r>
        <w:t>e) Kódování. Dalším krokem bylo kódování, během něhož byl identifikován význam odpovědí a různě formulované odpovědi byly převedeny do standardizované podoby. Digitalizace, kódování a oprava drobných chyb, jako jsou překlepy v názvu adresy, probíhaly většinou automatizovaně. Některé chyby však vyžadovaly ruční opravu.</w:t>
      </w:r>
    </w:p>
    <w:p w14:paraId="20273297" w14:textId="77777777" w:rsidR="00100076" w:rsidRDefault="00100076" w:rsidP="00100076">
      <w:r>
        <w:t>f) Hlavní část zpracování údajů. Údaje shromážděné ESF a LSF byly uloženy v zabezpečeném úložišti umístěném v České republice (ve zdrojové databázi). Data byla zpracována v několika krocích.</w:t>
      </w:r>
    </w:p>
    <w:p w14:paraId="1ACC975C" w14:textId="26196FC1" w:rsidR="00BE6B77" w:rsidRDefault="00BE6B77" w:rsidP="00BE6B77">
      <w:r>
        <w:t>g) Anon</w:t>
      </w:r>
      <w:r w:rsidR="008F10F1">
        <w:t>y</w:t>
      </w:r>
      <w:r>
        <w:t xml:space="preserve">mizace. Po zpracování dat byla všechna data přenesena do zpracovatelské databáze bez konkrétních identifikačních údajů. V zájmu ochrany osobních údajů jsou všechny vazby mezi záznamy z tohoto kroku zachovány pouze pomocí </w:t>
      </w:r>
      <w:r w:rsidR="009624CB">
        <w:t xml:space="preserve">bezvýznamových </w:t>
      </w:r>
      <w:r>
        <w:t>klíčů, a není tedy již možné je spojit s konkrétní osobou. Následně byly údaje ze zdrojové databáze zcela vymazány, s výjimkou údajů stanovených zákonem o sčítání lidu. Dále se pracuje pouze s anonymními záznamy.</w:t>
      </w:r>
    </w:p>
    <w:p w14:paraId="35D7695B" w14:textId="77777777" w:rsidR="00BE6B77" w:rsidRDefault="00BE6B77" w:rsidP="00BE6B77">
      <w:r>
        <w:t xml:space="preserve">h) Skartace. Poslední fází v životě </w:t>
      </w:r>
      <w:r w:rsidR="008F10F1">
        <w:t>LS</w:t>
      </w:r>
      <w:r>
        <w:t>F byla skartace, při níž byly formuláře kontrolovaně zničeny. Ze vzniklého papírového odpadu již není možné získat žádné údaje.</w:t>
      </w:r>
    </w:p>
    <w:p w14:paraId="23F1A618" w14:textId="77777777" w:rsidR="00BE6B77" w:rsidRDefault="00BE6B77" w:rsidP="00BE6B77">
      <w:r>
        <w:t>V případě E</w:t>
      </w:r>
      <w:r w:rsidR="008F10F1">
        <w:t>S</w:t>
      </w:r>
      <w:r>
        <w:t>F je životní cyklus mnohem jednodušší. Po vyplnění</w:t>
      </w:r>
      <w:r w:rsidR="008F10F1" w:rsidRPr="008F10F1">
        <w:t xml:space="preserve"> </w:t>
      </w:r>
      <w:r w:rsidR="008F10F1">
        <w:t>byl</w:t>
      </w:r>
      <w:r>
        <w:t xml:space="preserve"> E</w:t>
      </w:r>
      <w:r w:rsidR="008F10F1">
        <w:t>S</w:t>
      </w:r>
      <w:r>
        <w:t>F uložen do zdrojové databáze a následovaly fáze e), f) a g). Tím byl životní cyklus E</w:t>
      </w:r>
      <w:r w:rsidR="008F10F1">
        <w:t>S</w:t>
      </w:r>
      <w:r>
        <w:t>F ukončen.</w:t>
      </w:r>
    </w:p>
    <w:p w14:paraId="087DBEFD" w14:textId="77777777" w:rsidR="003A7426" w:rsidRDefault="003A7426" w:rsidP="003A7426">
      <w:r>
        <w:t>Územní příprava:</w:t>
      </w:r>
    </w:p>
    <w:p w14:paraId="5B14A256" w14:textId="77777777" w:rsidR="00E50653" w:rsidRDefault="003A7426" w:rsidP="003A7426">
      <w:r>
        <w:t>Jedním z hlavních cílů a zároveň určitým měřítkem úspěšnosti každého sčítání je dosažení co nejvyšší úplnosti sčítání. Základním předpokladem pro naplnění tohoto cíle jsou správné a úplné informace o území, na kterém se sčítání koná, zejména o objektech, které jsou předmětem sčítání. Souhrn činností, které zajišťují doplnění a aktualizaci těchto informací před vlastním sčítáním, se označuje jako územní příprava (ÚP).</w:t>
      </w:r>
    </w:p>
    <w:p w14:paraId="41A4A073" w14:textId="2A488B33" w:rsidR="003A7426" w:rsidRDefault="003A7426" w:rsidP="003A7426">
      <w:r w:rsidRPr="003A7426">
        <w:lastRenderedPageBreak/>
        <w:t xml:space="preserve">Společným cílem těchto činností bylo připravit co nejlepší základnu podpůrných popisných a lokalizačních údajů o domech, adresách a obydlích pro další fáze sčítání v roce 2021. Konkrétně bylo úkolem </w:t>
      </w:r>
      <w:r w:rsidR="00F80AD4">
        <w:t>terénních prací (</w:t>
      </w:r>
      <w:r w:rsidRPr="003A7426">
        <w:t>TP</w:t>
      </w:r>
      <w:r w:rsidR="00F80AD4">
        <w:t>)</w:t>
      </w:r>
      <w:r w:rsidRPr="003A7426">
        <w:t xml:space="preserve"> zajistit, aby údaje evidované v databázi TP u jednotlivých subjektů co nejvíce odpovídaly skutečnému stavu v terénu, což znamená, aby byly co nejúplnější, věcně správné a co nejaktuálnější. Výsledný soubor referenčních údajů TP o budovách, adresách, bytech a sčítacích obvodech sloužil nejen jako výchozí zdroj dat pro přípravu podkladů pro sčítací komisaře při práci v terénu, ale také jako výchozí seznam adres a bytů pro on-line sčítání a referenční databáze pro ověřování adres při informační </w:t>
      </w:r>
      <w:r w:rsidR="009624CB">
        <w:t>pochůzce</w:t>
      </w:r>
      <w:r w:rsidRPr="003A7426">
        <w:t>. Jedním z důležitých výstupů TP bylo rozdělení území ČR na jednotlivé územní sektory (sčítací obvody).</w:t>
      </w:r>
    </w:p>
    <w:p w14:paraId="63AC2222" w14:textId="77777777" w:rsidR="00F80AD4" w:rsidRDefault="00F80AD4" w:rsidP="003A7426">
      <w:r w:rsidRPr="00F80AD4">
        <w:t>Na ověřování a aktualizaci údajů o budovách a jejich adresách se kromě pracovníků ČSÚ podílely vybrané obecní a stavební úřady, osloveni byli také vlastníci bytových domů z řad bytových družstev a dalších právnických osob. V neposlední řadě měli sčítací komisaři ověřit správnost evidence budov a jejich vybraných charakteristik při návštěvách respondentů, avšak vzhledem k nepříznivé epidemické situaci bylo nakonec šetření údajů, zejména u bytových domů, značně omezeno. Část činností TP spojených s organizací sběru dat v terénu zajišťoval dodavat</w:t>
      </w:r>
      <w:r>
        <w:t>el terénních prací, Česká pošta</w:t>
      </w:r>
      <w:r w:rsidRPr="00F80AD4">
        <w:t>. Jednalo se především o výběr lokalit CP pro zřízení kontaktních míst pro veřejnost a sběrných míst pro sčítací komisaře, případně plánování pochůzkových tras pro sčítací komisaře CP.</w:t>
      </w:r>
    </w:p>
    <w:p w14:paraId="5DA661B2" w14:textId="77777777" w:rsidR="00F80AD4" w:rsidRDefault="00F80AD4" w:rsidP="00F80AD4">
      <w:r>
        <w:t>TP pro Sčítání lidu, domů a bytů 2021 začalo více než dva roky před vlastním sběrem dat z domácností na začátku roku 2019 a bylo dokončeno v lednu 2021.</w:t>
      </w:r>
    </w:p>
    <w:p w14:paraId="52FEC05B" w14:textId="77777777" w:rsidR="00F80AD4" w:rsidRDefault="00F80AD4" w:rsidP="00F80AD4">
      <w:r>
        <w:t>Novou výzvu TP pro Sčítání 2021, zaměřenou na optimalizaci plnění jednotlivých úkolů, představovalo nahrazení většiny tištěných materiálů digitálními, a elektronické řízení, sledování a řešení většiny úkolů ve speciálně vyvinuté aplikaci na podporu TP provozované na přenosných počítačích (noteboocích) umístěných na územních pracovištích sčítání v krajích a také na mobilních telefonech používaných při práci v terénu.</w:t>
      </w:r>
    </w:p>
    <w:p w14:paraId="122642F8" w14:textId="3C10EDC8" w:rsidR="00F80AD4" w:rsidRDefault="00F80AD4" w:rsidP="00F80AD4">
      <w:r>
        <w:t xml:space="preserve">Do období realizace hlavních činností TP významně zasáhla také pandemie </w:t>
      </w:r>
      <w:r w:rsidR="006A612A">
        <w:t>c</w:t>
      </w:r>
      <w:r>
        <w:t>ovid</w:t>
      </w:r>
      <w:r w:rsidR="006A612A">
        <w:t>u</w:t>
      </w:r>
      <w:r>
        <w:t>-19. To mělo negativní dopad zejména na ochotu oslovených subjektů spolupracovat a také na vnímání realizovaných aktivit veřejností. Z organizačního hlediska to vedlo k nutnosti pružně přizpůsobit plánované úkoly aktuální epidemiologické situaci (preference využití online zdrojů a minimalizace fyzického kontaktu s veřejností) a nutnosti dodržovat platná mimořádná preventivní opatření.</w:t>
      </w:r>
    </w:p>
    <w:p w14:paraId="60E3EAC0" w14:textId="77777777" w:rsidR="00F80AD4" w:rsidRDefault="00F80AD4" w:rsidP="00F80AD4">
      <w:pPr>
        <w:pStyle w:val="Nadpis3"/>
      </w:pPr>
      <w:bookmarkStart w:id="25" w:name="_Toc166756710"/>
      <w:r>
        <w:lastRenderedPageBreak/>
        <w:t xml:space="preserve">3.2.2 </w:t>
      </w:r>
      <w:r>
        <w:tab/>
        <w:t>Údaje založené na registrech</w:t>
      </w:r>
      <w:bookmarkEnd w:id="25"/>
    </w:p>
    <w:p w14:paraId="22B1AC9B" w14:textId="77777777" w:rsidR="004B2D05" w:rsidRDefault="004B2D05" w:rsidP="004B2D05">
      <w:r>
        <w:t>ČSÚ využil pro Sčítání lidu, domů a bytů 2021 v maximální možné míře údaje, které mají ministerstva a správci dalších registrů ve svých informačních systémech. V závislosti na věcném obsahu dat z administrativních zdrojů, jejich úplnosti, vzájemné provázanosti, přesnosti a dalších aspektech kvality ČSÚ využil tato data s cílem maximálně zefektivnit proces sčítání a zlepšit jeho výsledky.</w:t>
      </w:r>
    </w:p>
    <w:p w14:paraId="15377C85" w14:textId="77777777" w:rsidR="004B2D05" w:rsidRDefault="004B2D05" w:rsidP="004B2D05">
      <w:r>
        <w:t>Využití části údajů o osobách a domech z administrativních zdrojů dat přispělo k výraznému snížení počtu otázek na sčítacích formulářích, což samozřejmě vedlo ke snížení administrativní zátěže a časové náročnosti na respondenty.</w:t>
      </w:r>
    </w:p>
    <w:p w14:paraId="0CB0B55D" w14:textId="77777777" w:rsidR="00F80AD4" w:rsidRDefault="004B2D05" w:rsidP="004B2D05">
      <w:r>
        <w:t>Základním registrem použitým při sčítání 2021 je Registr obyvatel (ROB) včetně jeho agendových informačních systémů. Obsahuje následující osobní údaje:</w:t>
      </w:r>
    </w:p>
    <w:p w14:paraId="722A695A" w14:textId="77777777" w:rsidR="004B2D05" w:rsidRDefault="004B2D05" w:rsidP="004B2D05">
      <w:pPr>
        <w:pStyle w:val="Odstavecseseznamem"/>
        <w:numPr>
          <w:ilvl w:val="0"/>
          <w:numId w:val="13"/>
        </w:numPr>
        <w:ind w:left="426" w:hanging="426"/>
      </w:pPr>
      <w:r>
        <w:t>příjmení,</w:t>
      </w:r>
    </w:p>
    <w:p w14:paraId="6018A737" w14:textId="77777777" w:rsidR="004B2D05" w:rsidRDefault="004B2D05" w:rsidP="004B2D05">
      <w:pPr>
        <w:pStyle w:val="Odstavecseseznamem"/>
        <w:numPr>
          <w:ilvl w:val="0"/>
          <w:numId w:val="13"/>
        </w:numPr>
        <w:ind w:left="426" w:hanging="426"/>
      </w:pPr>
      <w:r>
        <w:t>rodné příjmení</w:t>
      </w:r>
    </w:p>
    <w:p w14:paraId="2CD3DD32" w14:textId="77777777" w:rsidR="004B2D05" w:rsidRDefault="004B2D05" w:rsidP="004B2D05">
      <w:pPr>
        <w:pStyle w:val="Odstavecseseznamem"/>
        <w:numPr>
          <w:ilvl w:val="0"/>
          <w:numId w:val="13"/>
        </w:numPr>
        <w:ind w:left="426" w:hanging="426"/>
      </w:pPr>
      <w:r>
        <w:t>křestní jméno nebo jména</w:t>
      </w:r>
    </w:p>
    <w:p w14:paraId="56D99670" w14:textId="77777777" w:rsidR="004B2D05" w:rsidRDefault="004B2D05" w:rsidP="004B2D05">
      <w:pPr>
        <w:pStyle w:val="Odstavecseseznamem"/>
        <w:numPr>
          <w:ilvl w:val="0"/>
          <w:numId w:val="13"/>
        </w:numPr>
        <w:ind w:left="426" w:hanging="426"/>
      </w:pPr>
      <w:r>
        <w:t>pohlaví</w:t>
      </w:r>
    </w:p>
    <w:p w14:paraId="746D2744" w14:textId="77777777" w:rsidR="004B2D05" w:rsidRDefault="004B2D05" w:rsidP="004B2D05">
      <w:pPr>
        <w:pStyle w:val="Odstavecseseznamem"/>
        <w:numPr>
          <w:ilvl w:val="0"/>
          <w:numId w:val="13"/>
        </w:numPr>
        <w:ind w:left="426" w:hanging="426"/>
      </w:pPr>
      <w:r>
        <w:t>rodinný stav</w:t>
      </w:r>
    </w:p>
    <w:p w14:paraId="1A886114" w14:textId="707EEBB8" w:rsidR="004B2D05" w:rsidRDefault="004B2D05" w:rsidP="004B2D05">
      <w:pPr>
        <w:pStyle w:val="Odstavecseseznamem"/>
        <w:numPr>
          <w:ilvl w:val="0"/>
          <w:numId w:val="13"/>
        </w:numPr>
        <w:ind w:left="426" w:hanging="426"/>
      </w:pPr>
      <w:r>
        <w:t xml:space="preserve">adresu místa </w:t>
      </w:r>
      <w:r w:rsidR="00C065ED">
        <w:t xml:space="preserve">registrovaného </w:t>
      </w:r>
      <w:r>
        <w:t>pobytu a informaci, že pobyt je na adrese ohlašovny</w:t>
      </w:r>
    </w:p>
    <w:p w14:paraId="7D00FC07" w14:textId="77777777" w:rsidR="004B2D05" w:rsidRDefault="004B2D05" w:rsidP="004B2D05">
      <w:pPr>
        <w:pStyle w:val="Odstavecseseznamem"/>
        <w:numPr>
          <w:ilvl w:val="0"/>
          <w:numId w:val="13"/>
        </w:numPr>
        <w:ind w:left="426" w:hanging="426"/>
      </w:pPr>
      <w:r>
        <w:t>datum, místo narození; u osoby, která se narodila v zahraničí, datum, místo a stát, kde se narodila</w:t>
      </w:r>
    </w:p>
    <w:p w14:paraId="29D1887D" w14:textId="77777777" w:rsidR="004B2D05" w:rsidRDefault="004B2D05" w:rsidP="004B2D05">
      <w:pPr>
        <w:pStyle w:val="Odstavecseseznamem"/>
        <w:numPr>
          <w:ilvl w:val="0"/>
          <w:numId w:val="13"/>
        </w:numPr>
        <w:ind w:left="426" w:hanging="426"/>
      </w:pPr>
      <w:r>
        <w:t>datum, místo úmrtí; v případě úmrtí osoby mimo území České republiky datum úmrtí, místo a stát, na jehož území k úmrtí došlo</w:t>
      </w:r>
    </w:p>
    <w:p w14:paraId="666DE545" w14:textId="77777777" w:rsidR="004B2D05" w:rsidRDefault="004B2D05" w:rsidP="004B2D05">
      <w:pPr>
        <w:pStyle w:val="Odstavecseseznamem"/>
        <w:numPr>
          <w:ilvl w:val="0"/>
          <w:numId w:val="13"/>
        </w:numPr>
        <w:ind w:left="426" w:hanging="426"/>
      </w:pPr>
      <w:r>
        <w:t>státní občanství, popřípadě více státních občanství</w:t>
      </w:r>
    </w:p>
    <w:p w14:paraId="21017B4F" w14:textId="77777777" w:rsidR="004B2D05" w:rsidRDefault="004B2D05" w:rsidP="004B2D05">
      <w:pPr>
        <w:pStyle w:val="Odstavecseseznamem"/>
        <w:numPr>
          <w:ilvl w:val="0"/>
          <w:numId w:val="13"/>
        </w:numPr>
        <w:ind w:left="426" w:hanging="426"/>
      </w:pPr>
      <w:r>
        <w:t>čísla elektronicky čitelných identifikačních dokladů</w:t>
      </w:r>
    </w:p>
    <w:p w14:paraId="50E4471C" w14:textId="77777777" w:rsidR="004B2D05" w:rsidRDefault="004B2D05" w:rsidP="004B2D05">
      <w:pPr>
        <w:pStyle w:val="Odstavecseseznamem"/>
        <w:numPr>
          <w:ilvl w:val="0"/>
          <w:numId w:val="13"/>
        </w:numPr>
        <w:ind w:left="426" w:hanging="426"/>
      </w:pPr>
      <w:r>
        <w:t>platnost dokladu</w:t>
      </w:r>
    </w:p>
    <w:p w14:paraId="6088ECF7" w14:textId="77777777" w:rsidR="004B2D05" w:rsidRDefault="004B2D05" w:rsidP="004B2D05">
      <w:pPr>
        <w:pStyle w:val="Odstavecseseznamem"/>
        <w:numPr>
          <w:ilvl w:val="0"/>
          <w:numId w:val="13"/>
        </w:numPr>
        <w:ind w:left="426" w:hanging="426"/>
      </w:pPr>
      <w:r>
        <w:t>typ datové schránky a identifikátor datové schránky.</w:t>
      </w:r>
    </w:p>
    <w:p w14:paraId="7FF799DE" w14:textId="77777777" w:rsidR="00831742" w:rsidRDefault="00831742" w:rsidP="00831742">
      <w:r>
        <w:t>Údaje o osobách jsou v ROB editovány prostřednictvím agendových informačních systémů. Ty obsahují více údajů o osobách (např. historické údaje).</w:t>
      </w:r>
    </w:p>
    <w:p w14:paraId="58D6C731" w14:textId="77777777" w:rsidR="00831742" w:rsidRDefault="00831742" w:rsidP="00831742">
      <w:r>
        <w:t>Agendový informační systém evidence obyvatel (AISEO) vede Ministerstvo vnitra ČR. Občan ČR má povinnost vést své údaje podle skutečného stavu. Agendový informační systém cizinců (AISC) je veden Policií ČR a Ministerstvem vnitra. AISC obsahuje údaje o cizincích s trvalým nebo dlouhodobým pobytem, občanech EU, žadatelích o azyl.</w:t>
      </w:r>
    </w:p>
    <w:p w14:paraId="42A49238" w14:textId="77777777" w:rsidR="00831742" w:rsidRDefault="00FB67BE" w:rsidP="00831742">
      <w:r w:rsidRPr="00FB67BE">
        <w:lastRenderedPageBreak/>
        <w:t>Záznamy z většiny administrativních zdrojů byly získány ve formě tabulek, které správce daného registru připravil ad hoc pro účely sčítání. Záznamy obsahovaly údaje potřebné k naplnění témat sčítání, platné v rozhodný okamžik sčítání. Výjimku tvořily údaje z evidence obyvatel. Z něj byly záznamy převzaty do databáze sčítání před rozhodným okamžikem a následně byly aktualizovány na základě oznámení o změnách v registru. Oznámení změn zajišťovaly standardní služby fungující v rámci tzv. systému základních registrů (systém využívaný pro sdílení dat v rámci e-governmentu). Údaje ze základních registrů byly přebírány s odstupem několika měsíců, aby zahrnovaly i opožděné aktualizace. V případě registru obyvatel byly záznamy o změnách pořízeny s odstupem více než tří měsíců od rozhodného okamžiku.</w:t>
      </w:r>
    </w:p>
    <w:p w14:paraId="3E8A4C01" w14:textId="5025D86C" w:rsidR="00123898" w:rsidRDefault="00723933" w:rsidP="00123898">
      <w:r>
        <w:t>Osoby bez registrovaného pobytu</w:t>
      </w:r>
      <w:r w:rsidR="00123898">
        <w:t>: Osoby nezapsané v evidenci obyvatel byly sčítány výhradně prostřednictvím sčítacích formulářů. Proto mohly být do sčítání zahrnuty i neregistrované osoby. Spojením souborů osob evidovaných v registru obyvatel a sečtených na formulářích byl vytvořen základní soubor osob, na který byly navázány záznamy z dalších administrativních zdrojů.</w:t>
      </w:r>
    </w:p>
    <w:p w14:paraId="5A929E26" w14:textId="77777777" w:rsidR="00123898" w:rsidRDefault="00123898" w:rsidP="00123898">
      <w:r>
        <w:t xml:space="preserve">Osoby, které nežily v České republice, ale byly evidovány v registru obyvatel, byly ze sčítání vyřazeny buď na základě údajů na sčítacím formuláři (pokud uvedly místo obvyklého pobytu v zahraničí), nebo na základě výsledků signs-of-life analýzy </w:t>
      </w:r>
      <w:r w:rsidR="00723933">
        <w:t xml:space="preserve">(analýzy známek života) </w:t>
      </w:r>
      <w:r>
        <w:t>při zpracování dat.</w:t>
      </w:r>
    </w:p>
    <w:p w14:paraId="45CA0533" w14:textId="77777777" w:rsidR="00910B54" w:rsidRDefault="00723933" w:rsidP="00123898">
      <w:r>
        <w:t>Osoby s duplicitním záznamem v administrativních zdrojích</w:t>
      </w:r>
      <w:r w:rsidR="00910B54" w:rsidRPr="00910B54">
        <w:t>: V registru obyvatel (i v jiných zdrojích) byly vícenásobně registrované osoby identifikovány porovnáním identifikačních údajů. V případě zjištěné duplicity byly duplicitní záznamy při dalším zpracování vyloučeny. V registru obyvatel byly tímto způsobem identifikovány pouze desítky duplicitně evidovaných osob.</w:t>
      </w:r>
      <w:r w:rsidR="00910B54">
        <w:t xml:space="preserve"> </w:t>
      </w:r>
    </w:p>
    <w:p w14:paraId="723656DB" w14:textId="77777777" w:rsidR="00B90ADB" w:rsidRDefault="00B90ADB" w:rsidP="00B90ADB">
      <w:pPr>
        <w:pStyle w:val="Nadpis3"/>
      </w:pPr>
      <w:bookmarkStart w:id="26" w:name="_Toc166756711"/>
      <w:r>
        <w:t>3.2.3 Údaje získané kombinací metod</w:t>
      </w:r>
      <w:bookmarkEnd w:id="26"/>
    </w:p>
    <w:p w14:paraId="29AF0DE4" w14:textId="77777777" w:rsidR="00B90ADB" w:rsidRDefault="00B90ADB" w:rsidP="00B90ADB">
      <w:r>
        <w:t>Kombinací metod lze shromažďovat, propojovat a porovnávat údaje z různých zdrojů a získat tak komplexnější porozumění zkoumanému tématu nebo populaci. Použitím více metod sběru dat je také možné odstranit omezení jednotlivých metod a zlepšit platnost a spolehlivost údajů.</w:t>
      </w:r>
    </w:p>
    <w:p w14:paraId="3BB4A0E5" w14:textId="7B7DFC29" w:rsidR="00B90ADB" w:rsidRDefault="00B90ADB" w:rsidP="00B90ADB">
      <w:r>
        <w:t xml:space="preserve">Při sčítání lidu v roce 2021 byla použita kombinace dvou následujících </w:t>
      </w:r>
      <w:r w:rsidR="00084BED">
        <w:t xml:space="preserve">primárních </w:t>
      </w:r>
      <w:r>
        <w:t xml:space="preserve">zdrojů dat: sčítání lidu na základě registrů a klasické sčítání lidu. Kombinovanou metodou byla zpracována téměř všechna témata. Ačkoli v některých případech byl jeden z těchto zdrojů dat dominantní, ostatní zdroje byly použity pro ověření, doplnění chybějících hodnot nebo </w:t>
      </w:r>
      <w:r w:rsidR="00521B95" w:rsidRPr="00723933">
        <w:t>non-response</w:t>
      </w:r>
      <w:r w:rsidR="00521B95">
        <w:t xml:space="preserve"> </w:t>
      </w:r>
      <w:r>
        <w:t>a případnou opravu nelogických nebo nesmyslných hodnot (odpovědí).</w:t>
      </w:r>
    </w:p>
    <w:p w14:paraId="1B8D4C75" w14:textId="56EC7456" w:rsidR="004937DE" w:rsidRDefault="00521B95" w:rsidP="004937DE">
      <w:r>
        <w:lastRenderedPageBreak/>
        <w:t>P</w:t>
      </w:r>
      <w:r w:rsidR="00B90ADB">
        <w:t>ropojení údajů z registr</w:t>
      </w:r>
      <w:r w:rsidR="00084BED">
        <w:t>ů</w:t>
      </w:r>
      <w:r w:rsidR="00B90ADB">
        <w:t xml:space="preserve"> a údajů získaných ze sčítacích formulářů </w:t>
      </w:r>
      <w:r w:rsidR="00084BED">
        <w:t xml:space="preserve">bylo </w:t>
      </w:r>
      <w:r w:rsidR="00B90ADB">
        <w:t>založeno na shodě osobních identifikačních údajů.</w:t>
      </w:r>
      <w:r w:rsidR="004937DE">
        <w:t xml:space="preserve"> Osobními identifikačními údaji byly zejména jméno, příjmení, datum narození, osobní identifikační číslo (</w:t>
      </w:r>
      <w:r w:rsidR="004937DE" w:rsidRPr="004937DE">
        <w:t>RČ</w:t>
      </w:r>
      <w:r w:rsidR="004937DE">
        <w:t>), typ a číslo osobního dokladu.</w:t>
      </w:r>
    </w:p>
    <w:p w14:paraId="16BAE120" w14:textId="77777777" w:rsidR="004937DE" w:rsidRDefault="004937DE" w:rsidP="004937DE">
      <w:r>
        <w:t>Před propojením byly identifikátory validovány (např. formát rodného čísla nebo datum narození) a standardizovány (např. odstranění diakritiky, nealfanumerických znaků, vysokoškolských titulů ze jmen apod.).</w:t>
      </w:r>
    </w:p>
    <w:p w14:paraId="1A5B3A15" w14:textId="77777777" w:rsidR="00521B95" w:rsidRDefault="004937DE" w:rsidP="004937DE">
      <w:r>
        <w:t xml:space="preserve">Propojení bylo provedeno použitím souboru pravidel seřazených od nejsilnějších po nejslabší (např. silná pravidla zahrnovala úplnou shodu data narození a </w:t>
      </w:r>
      <w:r w:rsidR="00D3154C">
        <w:t>RČ</w:t>
      </w:r>
      <w:r>
        <w:t xml:space="preserve">, slabá pravidla zahrnovala shodu data narození a vysokou podobnost jména a příjmení). </w:t>
      </w:r>
      <w:r w:rsidRPr="00177E98">
        <w:t>Bylo použito deterministické propojení a pravděpodobnostní propojení, konkrétně metody Jaro-Winklerovy podobnosti, Levenshteinovy editační vzdálenosti a symetrické diference (počet shodných a rozdílných písmen ve jménu a příjmení).</w:t>
      </w:r>
    </w:p>
    <w:p w14:paraId="38CFE69C" w14:textId="77777777" w:rsidR="00EC7D9E" w:rsidRDefault="00EC7D9E" w:rsidP="00EC7D9E">
      <w:r>
        <w:t>Většina údajů, které byly získány kombinací registrů a sčítacích formulářů, byla v registrech k dispozici pouze pro určité subpopulace (například úroveň vzdělání byla k dispozici pouze pro osoby, které ukončily školu relativně nedávno, a pro osoby registrované v evidenci nezaměstnaných).</w:t>
      </w:r>
    </w:p>
    <w:p w14:paraId="1ACEC43E" w14:textId="77777777" w:rsidR="00EC7D9E" w:rsidRDefault="00EC7D9E" w:rsidP="00EC7D9E">
      <w:r>
        <w:t>Informace k následujícím tématům byly získány kombinovanými metodami:</w:t>
      </w:r>
    </w:p>
    <w:p w14:paraId="094B42A3" w14:textId="77777777" w:rsidR="00EC7D9E" w:rsidRDefault="00EC7D9E" w:rsidP="00EC7D9E">
      <w:r>
        <w:t>Místo obvyklého pobytu (GEO.) Místo obvyklého pobytu bylo zjišťováno na sčítacích formulářích. Pokud se osoba sčítání nezúčastnila, bylo použito místo evidovaného pobytu z registru obyvatel.</w:t>
      </w:r>
    </w:p>
    <w:p w14:paraId="27481EF7" w14:textId="223B9A62" w:rsidR="00EC7D9E" w:rsidRDefault="00EC7D9E" w:rsidP="00EC7D9E">
      <w:r>
        <w:t xml:space="preserve">Místo pracoviště (LPW.) Místo pracoviště bylo zjišťováno na sčítacích formulářích. Pokud jej osoba nevyplnila, bylo odvozeno z kombinace údajů z </w:t>
      </w:r>
      <w:r w:rsidR="0031705B">
        <w:t>r</w:t>
      </w:r>
      <w:r w:rsidR="0031705B" w:rsidRPr="0031705B">
        <w:t>egistr</w:t>
      </w:r>
      <w:r w:rsidR="0031705B">
        <w:t>u</w:t>
      </w:r>
      <w:r w:rsidR="0031705B" w:rsidRPr="0031705B">
        <w:t xml:space="preserve"> daňových subjektů</w:t>
      </w:r>
      <w:r>
        <w:t xml:space="preserve"> a registru ekonomických subjektů.</w:t>
      </w:r>
    </w:p>
    <w:p w14:paraId="14D8A29B" w14:textId="77777777" w:rsidR="00D3154C" w:rsidRDefault="00EC7D9E" w:rsidP="00EC7D9E">
      <w:r>
        <w:t>Pohlaví (SEX.) Tento údaj byl zjišťován z registru obyvatel a jeho agendových informačních systémů, pokud byla osoba navázána na záznam v registru. V opačném případě byly použity údaje ze sčítacího formuláře.</w:t>
      </w:r>
    </w:p>
    <w:p w14:paraId="55E2C29D" w14:textId="77777777" w:rsidR="00EC7D9E" w:rsidRDefault="00EC7D9E" w:rsidP="00EC7D9E">
      <w:r>
        <w:t>Věk (AGE.) Věk byl odvozen z data narození v registru obyvatel, pokud byla osoba spojena se záznamem v registru. V opačném případě byly použity údaje z formuláře sčítání lidu.</w:t>
      </w:r>
    </w:p>
    <w:p w14:paraId="7750E49D" w14:textId="57F66E25" w:rsidR="00EC7D9E" w:rsidRDefault="00EC7D9E" w:rsidP="00EC7D9E">
      <w:r>
        <w:t>Typ současné ekonomické aktivity (CAS.) Informace pro toto téma byly primárně převzaty z</w:t>
      </w:r>
      <w:r w:rsidR="0031705B">
        <w:t>e sčítacích formulářů</w:t>
      </w:r>
      <w:r>
        <w:t xml:space="preserve">. Pokud jej osoba nevyplnila, byl získán z administrativních zdrojů dat </w:t>
      </w:r>
      <w:r w:rsidR="007C07E2">
        <w:t>–</w:t>
      </w:r>
      <w:r>
        <w:t xml:space="preserve"> </w:t>
      </w:r>
      <w:r w:rsidR="002D3B2C">
        <w:lastRenderedPageBreak/>
        <w:t>inf</w:t>
      </w:r>
      <w:r w:rsidR="007C07E2">
        <w:t>ormačního systému správy</w:t>
      </w:r>
      <w:r w:rsidR="002D3B2C">
        <w:t xml:space="preserve"> </w:t>
      </w:r>
      <w:r>
        <w:t xml:space="preserve">sociálního zabezpečení </w:t>
      </w:r>
      <w:r w:rsidR="007C07E2">
        <w:t xml:space="preserve">(subsystému </w:t>
      </w:r>
      <w:r w:rsidR="0031705B" w:rsidRPr="0031705B">
        <w:t>poživatelé důchodů, pojistné vztahy, peněžité pomoci v</w:t>
      </w:r>
      <w:r w:rsidR="0031705B">
        <w:t> </w:t>
      </w:r>
      <w:r w:rsidR="0031705B" w:rsidRPr="0031705B">
        <w:t>mateřství</w:t>
      </w:r>
      <w:r w:rsidR="0031705B">
        <w:t xml:space="preserve">), </w:t>
      </w:r>
      <w:r w:rsidR="0031705B" w:rsidRPr="0031705B">
        <w:t xml:space="preserve">informační systém MPSV a </w:t>
      </w:r>
      <w:r w:rsidR="0031705B">
        <w:t xml:space="preserve">ÚP (informační systém OK práce a </w:t>
      </w:r>
      <w:r w:rsidR="0031705B" w:rsidRPr="0031705B">
        <w:t>OK centrum</w:t>
      </w:r>
      <w:r w:rsidR="0031705B">
        <w:t>)</w:t>
      </w:r>
      <w:r w:rsidR="007C07E2">
        <w:t>,</w:t>
      </w:r>
      <w:r w:rsidR="00747AE3">
        <w:t xml:space="preserve"> </w:t>
      </w:r>
      <w:r w:rsidR="007C07E2">
        <w:t>matrik regionálního školství a sdružených informací matrik studentů SIMS</w:t>
      </w:r>
      <w:r>
        <w:t>.</w:t>
      </w:r>
    </w:p>
    <w:p w14:paraId="755F443B" w14:textId="3D03B000" w:rsidR="00EC7D9E" w:rsidRDefault="00EC7D9E" w:rsidP="00EC7D9E">
      <w:r>
        <w:t>Zaměstnání (OCC.) Informace pro toto téma byly převzaty z</w:t>
      </w:r>
      <w:r w:rsidR="0031705B">
        <w:t>e</w:t>
      </w:r>
      <w:r>
        <w:t xml:space="preserve"> </w:t>
      </w:r>
      <w:r w:rsidR="0031705B">
        <w:t>sčítacích formulářů</w:t>
      </w:r>
      <w:r>
        <w:t>. Osoby v kategorii "</w:t>
      </w:r>
      <w:r w:rsidR="0031705B">
        <w:t>nedefinováno</w:t>
      </w:r>
      <w:r>
        <w:t xml:space="preserve">" však byly odvozeny z tématu Typ současné aktivity, který lze získat z administrativních zdrojů dat. </w:t>
      </w:r>
    </w:p>
    <w:p w14:paraId="62C98C89" w14:textId="50E325B8" w:rsidR="00EC7D9E" w:rsidRDefault="00EC7D9E" w:rsidP="00EC7D9E">
      <w:r>
        <w:t>Odvětví (IND.) Informace pro toto téma byly primárně převzaty z</w:t>
      </w:r>
      <w:r w:rsidR="0031705B">
        <w:t>e</w:t>
      </w:r>
      <w:r>
        <w:t xml:space="preserve"> </w:t>
      </w:r>
      <w:r w:rsidR="0031705B" w:rsidRPr="0031705B">
        <w:t>sčítacích formulářů</w:t>
      </w:r>
      <w:r>
        <w:t>. Pokud jej osoba nevyplnila, byl</w:t>
      </w:r>
      <w:r w:rsidR="0031705B">
        <w:t>o</w:t>
      </w:r>
      <w:r>
        <w:t xml:space="preserve"> odvozen</w:t>
      </w:r>
      <w:r w:rsidR="0031705B">
        <w:t>o</w:t>
      </w:r>
      <w:r>
        <w:t xml:space="preserve"> z</w:t>
      </w:r>
      <w:r w:rsidR="0033632D">
        <w:t> </w:t>
      </w:r>
      <w:r w:rsidR="0033632D" w:rsidRPr="0033632D">
        <w:t>Registru daňových subjektů</w:t>
      </w:r>
      <w:r w:rsidRPr="0033632D">
        <w:t xml:space="preserve"> a </w:t>
      </w:r>
      <w:r w:rsidR="0033632D">
        <w:t>Registru ekonomických subjektů</w:t>
      </w:r>
      <w:r>
        <w:t>.</w:t>
      </w:r>
    </w:p>
    <w:p w14:paraId="69213C68" w14:textId="493C6C19" w:rsidR="00EC7D9E" w:rsidRDefault="00EC7D9E" w:rsidP="00EC7D9E">
      <w:r>
        <w:t xml:space="preserve">Postavení v zaměstnání (SIE.) Informace pro toto téma byly převzaty z administrativních zdrojů dat - </w:t>
      </w:r>
      <w:r w:rsidR="0031705B" w:rsidRPr="0031705B">
        <w:t>Registru daňových subjektů</w:t>
      </w:r>
      <w:r>
        <w:t xml:space="preserve">, Registru ekonomických subjektů a </w:t>
      </w:r>
      <w:r w:rsidR="0033632D">
        <w:t>Informační systém správy sociálního zabezpečení (subsystém pojistné vztahy)</w:t>
      </w:r>
      <w:r>
        <w:t>. Osoby v kategorii "</w:t>
      </w:r>
      <w:r w:rsidR="0029746D">
        <w:t>nedefinováno</w:t>
      </w:r>
      <w:r>
        <w:t xml:space="preserve">" však byly odvozeny z tématu </w:t>
      </w:r>
      <w:r w:rsidRPr="003909F2">
        <w:t>Typ současné</w:t>
      </w:r>
      <w:r w:rsidR="003909F2" w:rsidRPr="003909F2">
        <w:t xml:space="preserve"> ekonomické</w:t>
      </w:r>
      <w:r w:rsidRPr="003909F2">
        <w:t xml:space="preserve"> aktivity</w:t>
      </w:r>
      <w:r>
        <w:t>, který lze získat ze sčítacích formulářů.</w:t>
      </w:r>
    </w:p>
    <w:p w14:paraId="3B175D6A" w14:textId="2E0BDD64" w:rsidR="001F1E00" w:rsidRDefault="001F1E00" w:rsidP="001F1E00">
      <w:r>
        <w:t>Nejvyšší ukončené vzdělání (EDU.) Informace k tomuto tématu byly čerpány především z</w:t>
      </w:r>
      <w:r w:rsidR="0029746D">
        <w:t>e</w:t>
      </w:r>
      <w:r>
        <w:t xml:space="preserve"> </w:t>
      </w:r>
      <w:r w:rsidR="0029746D">
        <w:t>sčítacích formulářů</w:t>
      </w:r>
      <w:r>
        <w:t>. Pokud jej osoba nevyplnila, byl získán z</w:t>
      </w:r>
      <w:r w:rsidR="0057209E">
        <w:t> matrik regionálního školství a sdružených informací matrik studentů (SIMS)</w:t>
      </w:r>
      <w:r>
        <w:t>.</w:t>
      </w:r>
    </w:p>
    <w:p w14:paraId="0A677A1C" w14:textId="77777777" w:rsidR="001F1E00" w:rsidRDefault="001F1E00" w:rsidP="001F1E00">
      <w:r>
        <w:t>Země/místo narození (POB.) Informace pro toto téma byly primárně převzaty ze SF. Pokud jej osoba nevyplnila, byl odvozen z Registru obyvatel a jeho agendových informačních systémů.</w:t>
      </w:r>
    </w:p>
    <w:p w14:paraId="3EC44C67" w14:textId="6863ED53" w:rsidR="001F1E00" w:rsidRDefault="001F1E00" w:rsidP="001F1E00">
      <w:r>
        <w:t>Místo obvyklého pobytu jeden rok před sčítáním (ROY.) Informace pro toto téma byly primárně převzaty z</w:t>
      </w:r>
      <w:r w:rsidR="005041E0">
        <w:t>e</w:t>
      </w:r>
      <w:r>
        <w:t xml:space="preserve"> </w:t>
      </w:r>
      <w:r w:rsidR="005041E0">
        <w:t>sčítacích formulářů</w:t>
      </w:r>
      <w:r>
        <w:t>. Pokud je osoba nevyplnila, byly čerpány z registru obyvatel a jeho agendových informačních systémů.</w:t>
      </w:r>
    </w:p>
    <w:p w14:paraId="0BB3E928" w14:textId="091120DE" w:rsidR="001F1E00" w:rsidRDefault="005041E0" w:rsidP="001F1E00">
      <w:r>
        <w:t>Postavení v rodině</w:t>
      </w:r>
      <w:r w:rsidR="001F1E00">
        <w:t xml:space="preserve"> (</w:t>
      </w:r>
      <w:r>
        <w:t>FST</w:t>
      </w:r>
      <w:r w:rsidR="001F1E00">
        <w:t>.) Složení hospodařících domácností bylo zjišťováno z</w:t>
      </w:r>
      <w:r>
        <w:t>e</w:t>
      </w:r>
      <w:r w:rsidR="001F1E00">
        <w:t xml:space="preserve"> </w:t>
      </w:r>
      <w:r>
        <w:t>sčítacích formulářů</w:t>
      </w:r>
      <w:r w:rsidR="001F1E00">
        <w:t xml:space="preserve">. Pokud se osoba sčítání </w:t>
      </w:r>
      <w:r>
        <w:t>ne</w:t>
      </w:r>
      <w:r w:rsidR="001F1E00">
        <w:t>zúčastnila, bylo doplněno z registru obyvatel. Vztahy mezi osobami byly primárně přebírány z jeho agendových informačních systémů, pokud byla osoba spojena s evidenčním záznamem. V ostatních případech byly použity údaje z</w:t>
      </w:r>
      <w:r>
        <w:t>e</w:t>
      </w:r>
      <w:r w:rsidR="001F1E00">
        <w:t xml:space="preserve"> </w:t>
      </w:r>
      <w:r>
        <w:t>sčítacích formulářů</w:t>
      </w:r>
      <w:r w:rsidR="001F1E00">
        <w:t>.</w:t>
      </w:r>
    </w:p>
    <w:p w14:paraId="10045FED" w14:textId="77777777" w:rsidR="00EC7D9E" w:rsidRDefault="000D3611" w:rsidP="001F1E00">
      <w:r>
        <w:t>Rodinný stav (L</w:t>
      </w:r>
      <w:r w:rsidR="001F1E00">
        <w:t>MS.) byl převzat z agendových informačních systémů registru obyvatel.</w:t>
      </w:r>
    </w:p>
    <w:p w14:paraId="12E0CA03" w14:textId="4B4036C6" w:rsidR="004C347C" w:rsidRDefault="004C347C" w:rsidP="004C347C">
      <w:r>
        <w:lastRenderedPageBreak/>
        <w:t xml:space="preserve">Typ rodinného jádra (TFN.) Složení rodinného jádra bylo </w:t>
      </w:r>
      <w:r w:rsidR="005041E0">
        <w:t>odvozeno ze</w:t>
      </w:r>
      <w:r>
        <w:t xml:space="preserve"> </w:t>
      </w:r>
      <w:r w:rsidR="005041E0">
        <w:t>sčítacího formuláře</w:t>
      </w:r>
      <w:r>
        <w:t>. Pokud se osoba nezúčastnila sčítání lidu, byla doplněna z evidence obyvatel. Vztahy mezi osobami byly primárně přebírány z agendových informačních systémů, pokud byla osoba navázána na evidenční záznam. V ostatních případech byly použity údaje z</w:t>
      </w:r>
      <w:r w:rsidR="005041E0">
        <w:t>e</w:t>
      </w:r>
      <w:r>
        <w:t xml:space="preserve"> </w:t>
      </w:r>
      <w:r w:rsidR="005041E0">
        <w:t>sčítacích formulářů</w:t>
      </w:r>
      <w:r>
        <w:t>.</w:t>
      </w:r>
    </w:p>
    <w:p w14:paraId="54B2906F" w14:textId="77777777" w:rsidR="004C347C" w:rsidRDefault="004C347C" w:rsidP="004C347C">
      <w:r>
        <w:t>Velikost rodinného jádra (SFN.) Stejný případ jako typ rodinného jádra.</w:t>
      </w:r>
    </w:p>
    <w:p w14:paraId="615BC6C4" w14:textId="79822830" w:rsidR="004C347C" w:rsidRDefault="004C347C" w:rsidP="004C347C">
      <w:r>
        <w:t xml:space="preserve">Postavení </w:t>
      </w:r>
      <w:r w:rsidR="00C03B32">
        <w:t xml:space="preserve">v </w:t>
      </w:r>
      <w:r>
        <w:t>domácnosti (</w:t>
      </w:r>
      <w:r w:rsidR="005D044D">
        <w:t>HST</w:t>
      </w:r>
      <w:r>
        <w:t>.) Stejný případ jako typ rodinného jádra.</w:t>
      </w:r>
    </w:p>
    <w:p w14:paraId="18E5423E" w14:textId="77777777" w:rsidR="004C347C" w:rsidRDefault="004C347C" w:rsidP="004C347C">
      <w:r>
        <w:t>Typ soukromé domácnosti (TPH.) Stejný případ jako typ rodinného jádra.</w:t>
      </w:r>
    </w:p>
    <w:p w14:paraId="2E2B13B9" w14:textId="77777777" w:rsidR="004C347C" w:rsidRDefault="004C347C" w:rsidP="004C347C">
      <w:r>
        <w:t>Velikost soukromé domácnosti (SPH.) Stejný případ jako typ rodinného jádra.</w:t>
      </w:r>
    </w:p>
    <w:p w14:paraId="45A079D2" w14:textId="77777777" w:rsidR="004C347C" w:rsidRDefault="009676FB" w:rsidP="004C347C">
      <w:r>
        <w:t>Způsob</w:t>
      </w:r>
      <w:r w:rsidR="004C347C">
        <w:t xml:space="preserve"> bydlení (HAR.) </w:t>
      </w:r>
      <w:r>
        <w:t>Způsob bydlení byl</w:t>
      </w:r>
      <w:r w:rsidR="004C347C">
        <w:t xml:space="preserve"> odvozen z více zdrojů dat - sčítacích formulářů, </w:t>
      </w:r>
      <w:r w:rsidR="00FE40AF">
        <w:t>Katastru nemovitostí a RUIAN</w:t>
      </w:r>
      <w:r w:rsidR="004C347C">
        <w:t xml:space="preserve"> a registru sčítacích obvodů a budov.</w:t>
      </w:r>
    </w:p>
    <w:p w14:paraId="386E506C" w14:textId="77777777" w:rsidR="004C347C" w:rsidRDefault="004C347C" w:rsidP="004C347C">
      <w:r>
        <w:t xml:space="preserve">Typ </w:t>
      </w:r>
      <w:r w:rsidR="009676FB">
        <w:t>obydlených prostor</w:t>
      </w:r>
      <w:r>
        <w:t xml:space="preserve"> (TLQ.) Informace k tomuto tématu byly odvozeny z více zdrojů dat - sčítacích formulářů, </w:t>
      </w:r>
      <w:r w:rsidR="00FE40AF">
        <w:t>Katastru nemovitostí a RUIAN</w:t>
      </w:r>
      <w:r>
        <w:t xml:space="preserve"> a Registru sčítacích obvodů a budov.</w:t>
      </w:r>
    </w:p>
    <w:p w14:paraId="7B0FFE9F" w14:textId="114CA69C" w:rsidR="004C347C" w:rsidRDefault="009676FB" w:rsidP="004C347C">
      <w:r>
        <w:t>O</w:t>
      </w:r>
      <w:r w:rsidR="004C347C">
        <w:t xml:space="preserve">bydlenost </w:t>
      </w:r>
      <w:r>
        <w:t>bytu</w:t>
      </w:r>
      <w:r w:rsidR="004C347C">
        <w:t xml:space="preserve"> (OCS.) </w:t>
      </w:r>
      <w:r>
        <w:t>Obydlenost bytů</w:t>
      </w:r>
      <w:r w:rsidR="004C347C">
        <w:t xml:space="preserve"> byla odvozena ze sčítacích formulářů, </w:t>
      </w:r>
      <w:r>
        <w:t>neobydlené byty byly odvozeny</w:t>
      </w:r>
      <w:r w:rsidR="004C347C">
        <w:t xml:space="preserve"> z </w:t>
      </w:r>
      <w:r w:rsidR="005D044D">
        <w:t>k</w:t>
      </w:r>
      <w:r w:rsidR="005D044D" w:rsidRPr="005D044D">
        <w:t>atastr</w:t>
      </w:r>
      <w:r w:rsidR="005D044D">
        <w:t>u</w:t>
      </w:r>
      <w:r w:rsidR="005D044D" w:rsidRPr="005D044D">
        <w:t xml:space="preserve"> nemovitostí a RUIAN</w:t>
      </w:r>
      <w:r w:rsidR="005D044D">
        <w:t>u</w:t>
      </w:r>
      <w:r w:rsidR="004C347C">
        <w:t>.</w:t>
      </w:r>
    </w:p>
    <w:p w14:paraId="2FA80D3A" w14:textId="74DF7A10" w:rsidR="004C347C" w:rsidRDefault="004C347C" w:rsidP="004C347C">
      <w:r>
        <w:t xml:space="preserve">Systém </w:t>
      </w:r>
      <w:r w:rsidR="009676FB">
        <w:t>dodávky</w:t>
      </w:r>
      <w:r>
        <w:t xml:space="preserve"> vod</w:t>
      </w:r>
      <w:r w:rsidR="009676FB">
        <w:t>y</w:t>
      </w:r>
      <w:r>
        <w:t xml:space="preserve"> (WSS.) Informace k tomuto tématu byly převzaty především z</w:t>
      </w:r>
      <w:r w:rsidR="005D044D">
        <w:t>e</w:t>
      </w:r>
      <w:r>
        <w:t xml:space="preserve"> </w:t>
      </w:r>
      <w:r w:rsidR="005D044D">
        <w:t>sčítacích formulářů</w:t>
      </w:r>
      <w:r>
        <w:t xml:space="preserve">. Pokud je osoba nevyplnila, byly odvozeny z </w:t>
      </w:r>
      <w:r w:rsidR="005D044D">
        <w:t>RUIANu</w:t>
      </w:r>
      <w:r>
        <w:t xml:space="preserve"> a Registru sčítacích obvodů a budov.</w:t>
      </w:r>
    </w:p>
    <w:p w14:paraId="5D104076" w14:textId="05B49B4A" w:rsidR="003A725E" w:rsidRDefault="003A725E" w:rsidP="004C347C">
      <w:r>
        <w:t>Způsob</w:t>
      </w:r>
      <w:r w:rsidRPr="003A725E">
        <w:t xml:space="preserve"> vytápění (TOH.) Informace k tomuto tématu byly převzaty především z</w:t>
      </w:r>
      <w:r w:rsidR="005D044D">
        <w:t>e</w:t>
      </w:r>
      <w:r w:rsidRPr="003A725E">
        <w:t xml:space="preserve"> </w:t>
      </w:r>
      <w:r w:rsidR="005D044D">
        <w:t>sčítacích formulářů</w:t>
      </w:r>
      <w:r w:rsidRPr="003A725E">
        <w:t xml:space="preserve">. Pokud je osoba nevyplnila, byly čerpány z </w:t>
      </w:r>
      <w:r w:rsidR="005D044D" w:rsidRPr="005D044D">
        <w:t xml:space="preserve">RUIANu </w:t>
      </w:r>
      <w:r w:rsidRPr="003A725E">
        <w:t>a registru sčítacích obvodů a budov.</w:t>
      </w:r>
    </w:p>
    <w:p w14:paraId="5385D944" w14:textId="77777777" w:rsidR="003A725E" w:rsidRDefault="003A725E" w:rsidP="003A725E">
      <w:pPr>
        <w:pStyle w:val="Nadpis2"/>
        <w:numPr>
          <w:ilvl w:val="1"/>
          <w:numId w:val="2"/>
        </w:numPr>
        <w:ind w:hanging="795"/>
      </w:pPr>
      <w:bookmarkStart w:id="27" w:name="_Toc166756712"/>
      <w:r>
        <w:t>Zpracování a vyhodnocení</w:t>
      </w:r>
      <w:bookmarkEnd w:id="27"/>
    </w:p>
    <w:p w14:paraId="50ECDCD8" w14:textId="77777777" w:rsidR="003A725E" w:rsidRDefault="003A725E" w:rsidP="003A725E">
      <w:pPr>
        <w:pStyle w:val="Nadpis3"/>
      </w:pPr>
      <w:bookmarkStart w:id="28" w:name="_Toc166756713"/>
      <w:r>
        <w:t>3.3.1</w:t>
      </w:r>
      <w:r>
        <w:tab/>
        <w:t>Zpracování dat</w:t>
      </w:r>
      <w:bookmarkEnd w:id="28"/>
    </w:p>
    <w:p w14:paraId="29E12DD3" w14:textId="77777777" w:rsidR="003A725E" w:rsidRPr="003A725E" w:rsidRDefault="003A725E" w:rsidP="003A725E">
      <w:r>
        <w:t>Zpracování</w:t>
      </w:r>
      <w:r w:rsidRPr="003A725E">
        <w:t xml:space="preserve"> dat:</w:t>
      </w:r>
    </w:p>
    <w:p w14:paraId="3EA7CBF2" w14:textId="77777777" w:rsidR="003A725E" w:rsidRPr="003A725E" w:rsidRDefault="003A725E" w:rsidP="003A725E">
      <w:r w:rsidRPr="003A725E">
        <w:t>Operace prováděné s daty zahrnují:</w:t>
      </w:r>
    </w:p>
    <w:p w14:paraId="4647EA04" w14:textId="77777777" w:rsidR="003A725E" w:rsidRPr="003A725E" w:rsidRDefault="003A725E" w:rsidP="003A725E">
      <w:r w:rsidRPr="003A725E">
        <w:t xml:space="preserve">a) sběr dat ze sčítacích formulářů. </w:t>
      </w:r>
      <w:r>
        <w:t>Listinné</w:t>
      </w:r>
      <w:r w:rsidRPr="003A725E">
        <w:t xml:space="preserve"> sčítací formuláře byly naskenovány, digitalizovány a importovány do databáze. Do databáze byly importovány také elektronické sčítací formuláře. Údaje z obou typů formulářů byly kódovány.</w:t>
      </w:r>
    </w:p>
    <w:p w14:paraId="4FE972E5" w14:textId="77777777" w:rsidR="003A725E" w:rsidRPr="003A725E" w:rsidRDefault="003A725E" w:rsidP="003A725E">
      <w:r w:rsidRPr="003A725E">
        <w:lastRenderedPageBreak/>
        <w:t>b) Sběr dat z registrů. Administrativní údaje byly importovány do databáze a zpracovány tak, aby je bylo možné propojit s údaji ze sčítacích formulářů.</w:t>
      </w:r>
    </w:p>
    <w:p w14:paraId="49E9940E" w14:textId="7CB61D7A" w:rsidR="003A725E" w:rsidRPr="003A725E" w:rsidRDefault="003A725E" w:rsidP="003A725E">
      <w:r w:rsidRPr="003A725E">
        <w:t xml:space="preserve">c) Konsolidace osob ze sčítacích formulářů. Cílem bylo zkontrolovat, zda jsou všechny osoby na sčítacích formulářích uvedeny v části </w:t>
      </w:r>
      <w:r w:rsidR="00084BED">
        <w:t xml:space="preserve">společného bydlení </w:t>
      </w:r>
      <w:r w:rsidRPr="003A725E">
        <w:t>a také v osobní části sčítacího formuláře, včetně propojení těchto dvou částí.</w:t>
      </w:r>
    </w:p>
    <w:p w14:paraId="20E1C743" w14:textId="77777777" w:rsidR="003A725E" w:rsidRPr="003A725E" w:rsidRDefault="003A725E" w:rsidP="003A725E">
      <w:r w:rsidRPr="003A725E">
        <w:t>d) Propojení osob ze sčítacích formulářů s údaji z registrů. Konsolidované údaje byly následně propojeny se záznamy v registru obyvatel a s dalšími administrativními zdroji.</w:t>
      </w:r>
    </w:p>
    <w:p w14:paraId="10A61794" w14:textId="77777777" w:rsidR="003A725E" w:rsidRPr="003A725E" w:rsidRDefault="003A725E" w:rsidP="003A725E">
      <w:r w:rsidRPr="003A725E">
        <w:t>e) Deduplikace a priorit</w:t>
      </w:r>
      <w:r w:rsidR="00C62E69">
        <w:t>izace</w:t>
      </w:r>
      <w:r w:rsidRPr="003A725E">
        <w:t xml:space="preserve">. Proces propojování ukázal, které osoby ve sčítacích formulářích chybí a musí být doplněny z registrů, a také které osoby nebo domácnosti jsou započítány vícekrát. Podle vytvořeného souboru pravidel byly vybrány prioritní záznamy a odstraněny duplicitní záznamy. </w:t>
      </w:r>
    </w:p>
    <w:p w14:paraId="4EE3521F" w14:textId="77777777" w:rsidR="003A725E" w:rsidRDefault="003A725E" w:rsidP="003A725E">
      <w:r w:rsidRPr="003A725E">
        <w:t xml:space="preserve">f) </w:t>
      </w:r>
      <w:r w:rsidR="00C62E69" w:rsidRPr="00CD6F8C">
        <w:rPr>
          <w:rFonts w:cstheme="minorHAnsi"/>
          <w:lang w:val="en-GB"/>
        </w:rPr>
        <w:t>Signs-of-life</w:t>
      </w:r>
      <w:r w:rsidR="00C62E69" w:rsidRPr="003A725E">
        <w:t xml:space="preserve"> </w:t>
      </w:r>
      <w:r w:rsidR="00C62E69">
        <w:t>a</w:t>
      </w:r>
      <w:r w:rsidRPr="003A725E">
        <w:t xml:space="preserve">nalýza. Jejím prostřednictvím byly v databázi zjištěny osoby, které ve skutečnosti na území České republiky nežily.   </w:t>
      </w:r>
    </w:p>
    <w:p w14:paraId="01D24270" w14:textId="77777777" w:rsidR="00C62E69" w:rsidRDefault="00C62E69" w:rsidP="00C62E69">
      <w:r>
        <w:t>g) Rozdělení osob podle způsobu bydlení. Zpracování vztahů mezi osobami v bytu.</w:t>
      </w:r>
    </w:p>
    <w:p w14:paraId="7A4B67A0" w14:textId="77777777" w:rsidR="00C62E69" w:rsidRDefault="00C62E69" w:rsidP="00C62E69">
      <w:r>
        <w:t>h) Vytváření domácností a rodin. Pro generování domácnosti byly použity údaje ze sčítacích formulářů o vztazích mezi osobami. Osoby musely žít společně v jednom bytě a společně hospodařit, aby byly členy jedné hospodařící domácnosti. Tyto údaje byly doplněny údaji z registru obyvatel.</w:t>
      </w:r>
    </w:p>
    <w:p w14:paraId="39D35406" w14:textId="77777777" w:rsidR="00C62E69" w:rsidRDefault="00C62E69" w:rsidP="00C62E69">
      <w:r>
        <w:t>i) Odvození všech proměnných. Byly provedeny následné kontroly shromážděných údajů s cílem očistit údaje od nelogických záznamů. Poté byly odvozeny všechny proměnné potřebné pro přípravu výstupů ze sčítání.</w:t>
      </w:r>
    </w:p>
    <w:p w14:paraId="7B4B2E23" w14:textId="77777777" w:rsidR="00C62E69" w:rsidRDefault="00C62E69" w:rsidP="00C62E69">
      <w:r>
        <w:t>j) Anonymizace. V zájmu ochrany osobních údajů byly vymazány identifikační údaje. Výsledky sčítání již není možné spojit s konkrétní osobou.</w:t>
      </w:r>
    </w:p>
    <w:p w14:paraId="0E35EB41" w14:textId="77777777" w:rsidR="00C62E69" w:rsidRDefault="00C62E69" w:rsidP="00C62E69">
      <w:r>
        <w:t xml:space="preserve">Byla provedena signs-of-life analýza pro určení osob z registru obyvatel, které skutečně žijí na území České republiky. Byly využity různé administrativní zdroje dat. Byl definován soubor pravidel pro zjištění, zda osoby mají </w:t>
      </w:r>
      <w:r w:rsidR="00B1029A">
        <w:t>reálné pří</w:t>
      </w:r>
      <w:r>
        <w:t xml:space="preserve">znaky života </w:t>
      </w:r>
      <w:r w:rsidR="00B1029A">
        <w:t>(</w:t>
      </w:r>
      <w:r>
        <w:t>přítomnosti</w:t>
      </w:r>
      <w:r w:rsidR="00B1029A">
        <w:t>)</w:t>
      </w:r>
      <w:r>
        <w:t xml:space="preserve"> podle jejich věku, státního občanství, výskytu demografických událostí a přítomnosti v administrativních zdrojích dat.</w:t>
      </w:r>
    </w:p>
    <w:p w14:paraId="458EDDE0" w14:textId="77777777" w:rsidR="00B1029A" w:rsidRDefault="00B1029A" w:rsidP="00B1029A">
      <w:r>
        <w:t>Ověřování dat:</w:t>
      </w:r>
    </w:p>
    <w:p w14:paraId="14E2BC3C" w14:textId="77777777" w:rsidR="00B1029A" w:rsidRDefault="00B1029A" w:rsidP="00B1029A">
      <w:r>
        <w:lastRenderedPageBreak/>
        <w:t xml:space="preserve">Sčítací formuláře byly validovány v několika krocích: </w:t>
      </w:r>
      <w:r w:rsidR="00F1471A">
        <w:t>vestavěné validační kontroly na proměnné</w:t>
      </w:r>
      <w:r>
        <w:t xml:space="preserve"> i adres</w:t>
      </w:r>
      <w:r w:rsidR="00F1471A">
        <w:t>y</w:t>
      </w:r>
      <w:r>
        <w:t xml:space="preserve"> (obsažen</w:t>
      </w:r>
      <w:r w:rsidR="00F1471A">
        <w:t>é</w:t>
      </w:r>
      <w:r>
        <w:t xml:space="preserve"> pouze v elektronických sčítacích formulářích), import dat do struktury databáze, kódování a odvození konečných proměnných. Bylo provedeno srovnání s historickými údaji z předchozích sčítání a jiných vhodných a spolehlivých šetření. Odborníci přezkoumali údaje v různých proměnných, aby zjistili nesrovnalosti. Šetření po sčítání nebylo provedeno.</w:t>
      </w:r>
    </w:p>
    <w:p w14:paraId="595C05D0" w14:textId="77777777" w:rsidR="00B1029A" w:rsidRDefault="00AD16AD" w:rsidP="00AD16AD">
      <w:pPr>
        <w:pStyle w:val="Nadpis3"/>
      </w:pPr>
      <w:bookmarkStart w:id="29" w:name="_Toc166756714"/>
      <w:r>
        <w:t>3.3.2</w:t>
      </w:r>
      <w:r>
        <w:tab/>
        <w:t>Posouzení pokrytí</w:t>
      </w:r>
      <w:bookmarkEnd w:id="29"/>
    </w:p>
    <w:p w14:paraId="3A57E95C" w14:textId="77777777" w:rsidR="00C208D5" w:rsidRDefault="00C208D5" w:rsidP="00C208D5">
      <w:r>
        <w:t>Postup pro posouzení pokrytí:</w:t>
      </w:r>
    </w:p>
    <w:p w14:paraId="59A03E5E" w14:textId="77777777" w:rsidR="00C208D5" w:rsidRDefault="00C208D5" w:rsidP="00C208D5">
      <w:r>
        <w:t>Hodnocení pokrytí bylo založeno na odhadované přesnosti použité signs-of-life analýzy. Za referenční subpopulaci byly považovány osoby, které byly zapsány v registru obyvatel (s platnou adresou bydliště) a zároveň byly nalezeny ve sčítacích formulářích. U každé osoby zařazené do subpopulace bylo k dispozici deklarované místo obvyklého pobytu (ve sčítacích formulářích) a výsledky signs-of-life analýzy (SoL). Subpopulace byla rozdělena do tří skupin:</w:t>
      </w:r>
    </w:p>
    <w:p w14:paraId="73859514" w14:textId="77777777" w:rsidR="00C208D5" w:rsidRDefault="00C208D5" w:rsidP="00C208D5">
      <w:r>
        <w:t>- Osoby, které deklarovaly místo obvyklého pobytu v ČR a splňovaly kritéria SoL.</w:t>
      </w:r>
    </w:p>
    <w:p w14:paraId="66B526E9" w14:textId="77777777" w:rsidR="00C208D5" w:rsidRDefault="00C208D5" w:rsidP="00C208D5">
      <w:r>
        <w:t>- Osoby s obvyklým bydlištěm v Česku, které však nesplňovaly kritéria SoL.</w:t>
      </w:r>
    </w:p>
    <w:p w14:paraId="4EA2A238" w14:textId="77777777" w:rsidR="00C208D5" w:rsidRDefault="00C208D5" w:rsidP="00C208D5">
      <w:r>
        <w:t>- Osoby splňující kritéria SoL, které deklarovaly místo svého obvyklého pobytu v zahraničí.</w:t>
      </w:r>
    </w:p>
    <w:p w14:paraId="5036158F" w14:textId="7195C8FA" w:rsidR="00AD16AD" w:rsidRDefault="00C208D5" w:rsidP="00C208D5">
      <w:r>
        <w:t>Podíly těchto tří skupin byly vypočteny pro všechny kombinace následujících ukazatelů: pohlaví, věková skupina, státní občanství (čeští státní příslušníci / cizí státní příslušníci), místo registrovaného pobytu (na úrovni NUTS3). Výsledky byly použity na 702 214 osobách registrovaných v registru obyvatel, které se nezúčastnily sčítání lidu, ale byly zahrnuty do sčítané populace pro splnění kritérií SoL. Tento přístup byl použit k odhadu "</w:t>
      </w:r>
      <w:r w:rsidRPr="00AF1708">
        <w:t>falešných</w:t>
      </w:r>
      <w:r>
        <w:t xml:space="preserve"> SoL" (což vedlo k</w:t>
      </w:r>
      <w:r w:rsidR="00391743">
        <w:t> </w:t>
      </w:r>
      <w:r w:rsidR="00AF1708">
        <w:t>over</w:t>
      </w:r>
      <w:r w:rsidR="00391743">
        <w:t>-</w:t>
      </w:r>
      <w:r w:rsidR="00AF1708">
        <w:t>coverage – tj. přesahu pokrytí</w:t>
      </w:r>
      <w:r>
        <w:t>) a "</w:t>
      </w:r>
      <w:r w:rsidRPr="00AF1708">
        <w:t>falešných</w:t>
      </w:r>
      <w:r>
        <w:t xml:space="preserve"> No-SoL" (</w:t>
      </w:r>
      <w:r w:rsidRPr="00AF1708">
        <w:t>under</w:t>
      </w:r>
      <w:r w:rsidR="00391743">
        <w:t>-</w:t>
      </w:r>
      <w:r w:rsidRPr="00AF1708">
        <w:t>coverage</w:t>
      </w:r>
      <w:r w:rsidR="00AF1708">
        <w:t xml:space="preserve"> – tj. neúplnému pokryti</w:t>
      </w:r>
      <w:r>
        <w:t>).</w:t>
      </w:r>
    </w:p>
    <w:p w14:paraId="45E5F946" w14:textId="77777777" w:rsidR="00C208D5" w:rsidRDefault="00C208D5" w:rsidP="00C208D5">
      <w:r>
        <w:t>Mezi vyřazené záznamy patří záznamy osob evidovaných v registru obyvatel (s platnou adresou bydliště), které nebyly nalezeny ve sčítacích formulářích a nesplňovaly kritéria SoL (302 199 osob), a také evidované osoby, které se zúčastnily sčítání, ale místo obvyklého pobytu uvedly v zahraničí.</w:t>
      </w:r>
    </w:p>
    <w:p w14:paraId="2298C29B" w14:textId="77777777" w:rsidR="00C208D5" w:rsidRDefault="00C208D5" w:rsidP="00C208D5">
      <w:r>
        <w:t>Výsledky:</w:t>
      </w:r>
    </w:p>
    <w:p w14:paraId="596E756C" w14:textId="77777777" w:rsidR="00C208D5" w:rsidRDefault="00C208D5" w:rsidP="00C208D5">
      <w:r>
        <w:t>A.</w:t>
      </w:r>
      <w:r w:rsidR="00AF1708">
        <w:t xml:space="preserve"> Obyvatelstvo podle sčítání</w:t>
      </w:r>
    </w:p>
    <w:p w14:paraId="7D9B8427" w14:textId="77777777" w:rsidR="00C208D5" w:rsidRDefault="00C208D5" w:rsidP="00C208D5">
      <w:r>
        <w:lastRenderedPageBreak/>
        <w:t xml:space="preserve"> - absolutní hodnota - 10 524 167</w:t>
      </w:r>
    </w:p>
    <w:p w14:paraId="5229B6CA" w14:textId="77777777" w:rsidR="00C208D5" w:rsidRDefault="00C208D5" w:rsidP="00C208D5">
      <w:r>
        <w:t xml:space="preserve"> - procento odhadované cílové populace - 99,8 %.</w:t>
      </w:r>
    </w:p>
    <w:p w14:paraId="25564F82" w14:textId="77777777" w:rsidR="00C208D5" w:rsidRDefault="00C208D5" w:rsidP="00C208D5">
      <w:r>
        <w:t>Odhadovaná cílová populace</w:t>
      </w:r>
    </w:p>
    <w:p w14:paraId="7B34E5D2" w14:textId="77777777" w:rsidR="00C208D5" w:rsidRDefault="00C208D5" w:rsidP="00C208D5">
      <w:r>
        <w:t xml:space="preserve"> - absolutní hodnota - 10 547 049</w:t>
      </w:r>
    </w:p>
    <w:p w14:paraId="3761A0F3" w14:textId="1A4C222C" w:rsidR="00C208D5" w:rsidRDefault="00C208D5" w:rsidP="00C208D5">
      <w:r>
        <w:t xml:space="preserve">Rovná se </w:t>
      </w:r>
      <w:r w:rsidR="00AF1708">
        <w:t>obyvatelstvu podle sčítání</w:t>
      </w:r>
      <w:r>
        <w:t xml:space="preserve"> plus </w:t>
      </w:r>
      <w:r w:rsidR="00AF1708">
        <w:t>under</w:t>
      </w:r>
      <w:r w:rsidR="00391743">
        <w:t>-</w:t>
      </w:r>
      <w:r w:rsidR="00AF1708">
        <w:t>coverage</w:t>
      </w:r>
      <w:r>
        <w:t xml:space="preserve"> m</w:t>
      </w:r>
      <w:r w:rsidR="00391743">
        <w:t>í</w:t>
      </w:r>
      <w:r>
        <w:t xml:space="preserve">nus </w:t>
      </w:r>
      <w:r w:rsidR="00AF1708">
        <w:t>over</w:t>
      </w:r>
      <w:r w:rsidR="00391743">
        <w:t>-</w:t>
      </w:r>
      <w:r w:rsidR="00AF1708">
        <w:t>coverage</w:t>
      </w:r>
      <w:r>
        <w:t>;</w:t>
      </w:r>
    </w:p>
    <w:p w14:paraId="37686744" w14:textId="75C7B57E" w:rsidR="00C208D5" w:rsidRDefault="00C208D5" w:rsidP="00C208D5">
      <w:r>
        <w:t xml:space="preserve">B. </w:t>
      </w:r>
      <w:r w:rsidR="00AF1708">
        <w:t>Under</w:t>
      </w:r>
      <w:r w:rsidR="00391743">
        <w:t>-</w:t>
      </w:r>
      <w:r w:rsidR="00AF1708">
        <w:t>coverage</w:t>
      </w:r>
      <w:r>
        <w:t xml:space="preserve"> (odhad)</w:t>
      </w:r>
    </w:p>
    <w:p w14:paraId="3B4E5F24" w14:textId="77777777" w:rsidR="00C208D5" w:rsidRDefault="00C208D5" w:rsidP="00C208D5">
      <w:r>
        <w:t>- absolutní hodnota - 25 979</w:t>
      </w:r>
    </w:p>
    <w:p w14:paraId="48A4ADD6" w14:textId="77777777" w:rsidR="00C208D5" w:rsidRDefault="00C208D5" w:rsidP="00C208D5">
      <w:r>
        <w:t xml:space="preserve">- procento </w:t>
      </w:r>
      <w:r w:rsidR="00AF1708">
        <w:t>obyvatelstva podle sčítání</w:t>
      </w:r>
      <w:r>
        <w:t xml:space="preserve"> - 0,25 %.</w:t>
      </w:r>
    </w:p>
    <w:p w14:paraId="70ADC8B3" w14:textId="3750D303" w:rsidR="00C208D5" w:rsidRDefault="00C208D5" w:rsidP="00C208D5">
      <w:r>
        <w:t xml:space="preserve">C. </w:t>
      </w:r>
      <w:r w:rsidR="00AF1708">
        <w:t>Over</w:t>
      </w:r>
      <w:r w:rsidR="00391743">
        <w:t>-</w:t>
      </w:r>
      <w:r w:rsidR="00AF1708">
        <w:t>coverage</w:t>
      </w:r>
      <w:r>
        <w:t xml:space="preserve"> (odhad)</w:t>
      </w:r>
    </w:p>
    <w:p w14:paraId="55F972B0" w14:textId="77777777" w:rsidR="00C208D5" w:rsidRDefault="00C208D5" w:rsidP="00C208D5">
      <w:r>
        <w:t>- absolutní hodnota - 3 097</w:t>
      </w:r>
    </w:p>
    <w:p w14:paraId="5DB1A6EC" w14:textId="77777777" w:rsidR="00C208D5" w:rsidRDefault="00C208D5" w:rsidP="00C208D5">
      <w:r>
        <w:t xml:space="preserve">- procento </w:t>
      </w:r>
      <w:r w:rsidR="00AF1708">
        <w:t>z obyvatelstva podle sčítání</w:t>
      </w:r>
      <w:r w:rsidR="00B11AC6" w:rsidRPr="00B11AC6">
        <w:t xml:space="preserve"> </w:t>
      </w:r>
      <w:r>
        <w:t>- 0,03 %.</w:t>
      </w:r>
    </w:p>
    <w:p w14:paraId="035D958A" w14:textId="5F31CB0C" w:rsidR="00D97375" w:rsidRDefault="00D97375" w:rsidP="00D97375">
      <w:pPr>
        <w:pStyle w:val="Nadpis2"/>
        <w:numPr>
          <w:ilvl w:val="1"/>
          <w:numId w:val="2"/>
        </w:numPr>
        <w:ind w:hanging="795"/>
      </w:pPr>
      <w:bookmarkStart w:id="30" w:name="_Toc166756715"/>
      <w:r>
        <w:t>Šíření</w:t>
      </w:r>
      <w:bookmarkEnd w:id="30"/>
      <w:r w:rsidR="00391743">
        <w:t xml:space="preserve"> výsledků</w:t>
      </w:r>
    </w:p>
    <w:p w14:paraId="383E6E87" w14:textId="2CD84209" w:rsidR="00D97375" w:rsidRDefault="00D97375" w:rsidP="00D97375">
      <w:pPr>
        <w:jc w:val="left"/>
      </w:pPr>
      <w:r>
        <w:t>Tiskové zprávy týkající se sčítání lidu v roce 2021 jsou k dispozici na adrese: ht</w:t>
      </w:r>
      <w:r w:rsidR="008877CF">
        <w:t>tps://scitani.gov.cz/aktuality</w:t>
      </w:r>
      <w:r>
        <w:t>.</w:t>
      </w:r>
    </w:p>
    <w:p w14:paraId="748082C8" w14:textId="62E29136" w:rsidR="008877CF" w:rsidRDefault="00D97375" w:rsidP="00D97375">
      <w:pPr>
        <w:jc w:val="left"/>
      </w:pPr>
      <w:r>
        <w:t xml:space="preserve">Publikace týkající se sčítání lidu v roce 2021 jsou k dispozici na adrese: </w:t>
      </w:r>
      <w:r w:rsidR="008877CF" w:rsidRPr="008877CF">
        <w:t>https://www.czso.cz/csu/czso/katalog-produktu?filtr=true&amp;roky=2023,2022&amp;skupiny=17&amp;vlastnosti=12</w:t>
      </w:r>
    </w:p>
    <w:p w14:paraId="32036AA9" w14:textId="71CEF8A9" w:rsidR="00D97375" w:rsidRDefault="00D97375" w:rsidP="00D97375">
      <w:pPr>
        <w:jc w:val="left"/>
      </w:pPr>
      <w:r>
        <w:t xml:space="preserve">On-line databáze sčítání lidu v roce 2021 je k dispozici na adrese: </w:t>
      </w:r>
      <w:r w:rsidR="008877CF" w:rsidRPr="008877CF">
        <w:t>https://vdb.czso.cz/vdbvo2/faces/index.jsf?page=statistiky#katalog=33475</w:t>
      </w:r>
    </w:p>
    <w:p w14:paraId="481FB24E" w14:textId="77777777" w:rsidR="00D97375" w:rsidRDefault="00D97375" w:rsidP="00D97375">
      <w:r>
        <w:t>Mikrodata ze sčítání lidu jsou přístupná pouze na vyžádání pro vědecké účely.</w:t>
      </w:r>
    </w:p>
    <w:p w14:paraId="03083D2C" w14:textId="77777777" w:rsidR="00D97375" w:rsidRDefault="00D97375" w:rsidP="00D97375">
      <w:pPr>
        <w:spacing w:after="0"/>
      </w:pPr>
      <w:r>
        <w:t>Otevřená data (pouze v češtině) dostupná na:</w:t>
      </w:r>
    </w:p>
    <w:p w14:paraId="6E1F647F" w14:textId="77777777" w:rsidR="00D97375" w:rsidRDefault="00D97375" w:rsidP="00D97375">
      <w:r>
        <w:t>https://www.czso.cz/csu/czso/vysledky-scitani-2021-otevrena-data</w:t>
      </w:r>
    </w:p>
    <w:p w14:paraId="455F6016" w14:textId="5482EC8C" w:rsidR="00D97375" w:rsidRDefault="00D97375" w:rsidP="00D97375">
      <w:pPr>
        <w:jc w:val="left"/>
      </w:pPr>
      <w:r>
        <w:t xml:space="preserve">Statistický geoportál dostupný na adrese: </w:t>
      </w:r>
      <w:r w:rsidR="008877CF" w:rsidRPr="008877CF">
        <w:t>https://geodata.statistika.cz/portal/apps/sites/#/homepage</w:t>
      </w:r>
    </w:p>
    <w:p w14:paraId="76F617D0" w14:textId="77777777" w:rsidR="00D97375" w:rsidRDefault="00D97375" w:rsidP="00D97375">
      <w:pPr>
        <w:spacing w:after="0"/>
      </w:pPr>
      <w:r>
        <w:t>Metodika Sčítání lidu, domů a bytů 2021 je k dispozici na:</w:t>
      </w:r>
    </w:p>
    <w:p w14:paraId="40F1DB17" w14:textId="7531465F" w:rsidR="00270A62" w:rsidRDefault="00270A62" w:rsidP="00D97375">
      <w:r w:rsidRPr="00177E98">
        <w:t>https://scitani.gov.cz/docs/42301/c3a6d065-24d6-79ac-47d3-250bb3c7129e/sldb2021_pv_metodicke_vysvetlivky.pdf</w:t>
      </w:r>
    </w:p>
    <w:p w14:paraId="443BA805" w14:textId="14775483" w:rsidR="00D97375" w:rsidRDefault="00D97375" w:rsidP="00D97375">
      <w:r>
        <w:lastRenderedPageBreak/>
        <w:t xml:space="preserve">ČSÚ zpracovává i nestandardní výstupy ze Sčítání 2021, které jsou posuzovány podle zvláštních pravidel a předpisů ošetřujících zejména ochranu statistické důvěrnosti. Kontrola statistické důvěrnosti zahrnuje </w:t>
      </w:r>
      <w:r w:rsidRPr="00F62D00">
        <w:t>potlačení buněk</w:t>
      </w:r>
      <w:r w:rsidR="00F62D00" w:rsidRPr="00F62D00">
        <w:t>, “cell key“ metodu</w:t>
      </w:r>
      <w:r w:rsidR="00F62D00">
        <w:t xml:space="preserve"> (přidání náhodného šumu)</w:t>
      </w:r>
      <w:r w:rsidRPr="00F62D00">
        <w:t xml:space="preserve"> nebo syntetická data</w:t>
      </w:r>
      <w:r>
        <w:t>.</w:t>
      </w:r>
    </w:p>
    <w:p w14:paraId="3FA9B12A" w14:textId="77777777" w:rsidR="00D97375" w:rsidRDefault="0014030B" w:rsidP="0014030B">
      <w:pPr>
        <w:pStyle w:val="Nadpis2"/>
        <w:numPr>
          <w:ilvl w:val="0"/>
          <w:numId w:val="0"/>
        </w:numPr>
        <w:ind w:left="851" w:hanging="851"/>
      </w:pPr>
      <w:bookmarkStart w:id="31" w:name="_Toc166756716"/>
      <w:r>
        <w:t>3.5</w:t>
      </w:r>
      <w:r>
        <w:tab/>
        <w:t>Opatření k zajištění nákladové efektivnosti</w:t>
      </w:r>
      <w:bookmarkEnd w:id="31"/>
    </w:p>
    <w:p w14:paraId="6BFE80EE" w14:textId="77777777" w:rsidR="009677A8" w:rsidRDefault="009677A8" w:rsidP="009677A8">
      <w:r>
        <w:t xml:space="preserve">Český statistický úřad má zaveden systém sledování nejdůležitějších procesů a pravidelný reporting vrcholovému vedení. Efektivita nákladů je pravidelně vyhodnocována interně i externě. Nedílnou součástí procesu jsou také postupy předběžné, průběžné a následné řídicí kontroly, interní audit a následná kontrola ze strany orgánů veřejné správy. </w:t>
      </w:r>
    </w:p>
    <w:p w14:paraId="1DA52126" w14:textId="77777777" w:rsidR="009677A8" w:rsidRDefault="009677A8" w:rsidP="009677A8">
      <w:r>
        <w:t>Schválený rozpočet sčítání činil 2 225 milionů Kč (88 mil. EUR). Největší část (zhruba polovina) byla určena na terénní práce. Další významné výdaje byly na systém pro monitorování a koordinaci terénních prací, systém pro on-line sčítání (on-line formuláře, IT infrastruktura,...), nové systémy pro šíření výsledků (např. Geoportál) atd.</w:t>
      </w:r>
    </w:p>
    <w:p w14:paraId="62F57DDA" w14:textId="77777777" w:rsidR="0014030B" w:rsidRDefault="009677A8" w:rsidP="009677A8">
      <w:r>
        <w:t>Rozpočet se stále čerpá, ale skutečné celkové náklady na sčítání budou přibližně o 200 milionů Kč nižší než schválený rozpočet, tedy kolem 2 000 milionů Kč (79 mil. EUR, tj. 7,5 EUR na obyvatele). V porovnání se sčítáním v roce 2011 budou konečné náklady po započtení inflace nižší přibližně o 400 milionů Kč.</w:t>
      </w:r>
    </w:p>
    <w:p w14:paraId="7EEA063C" w14:textId="77777777" w:rsidR="009677A8" w:rsidRDefault="007653AD" w:rsidP="007653AD">
      <w:pPr>
        <w:pStyle w:val="Nadpis1"/>
      </w:pPr>
      <w:bookmarkStart w:id="32" w:name="_Toc166756717"/>
      <w:r>
        <w:t>HODNOCENÍ KVALITY DAT</w:t>
      </w:r>
      <w:bookmarkEnd w:id="32"/>
    </w:p>
    <w:p w14:paraId="72FE172B" w14:textId="77777777" w:rsidR="007653AD" w:rsidRDefault="007653AD" w:rsidP="007653AD">
      <w:pPr>
        <w:pStyle w:val="Nadpis2"/>
        <w:numPr>
          <w:ilvl w:val="0"/>
          <w:numId w:val="0"/>
        </w:numPr>
        <w:ind w:left="709" w:hanging="709"/>
      </w:pPr>
      <w:bookmarkStart w:id="33" w:name="_Toc166756718"/>
      <w:r>
        <w:t>4.1</w:t>
      </w:r>
      <w:r>
        <w:tab/>
        <w:t>Srovnatelnost</w:t>
      </w:r>
      <w:bookmarkEnd w:id="33"/>
    </w:p>
    <w:p w14:paraId="18CBB1B4" w14:textId="77777777" w:rsidR="00555D68" w:rsidRDefault="00555D68" w:rsidP="00555D68">
      <w:r>
        <w:t>Statistiky jsou mezi zeměpisnými oblastmi plně srovnatelné.</w:t>
      </w:r>
    </w:p>
    <w:p w14:paraId="596CFB37" w14:textId="77777777" w:rsidR="00555D68" w:rsidRDefault="00555D68" w:rsidP="00555D68">
      <w:r>
        <w:t>Zpracování všech témat bylo provedeno na základě standardů EU, pokud jde o rozsah sčítání, definice, jednotky a klasifikace.</w:t>
      </w:r>
    </w:p>
    <w:p w14:paraId="44EE48FE" w14:textId="77777777" w:rsidR="00555D68" w:rsidRDefault="00555D68" w:rsidP="00555D68">
      <w:r>
        <w:t>Mezi předanými údaji a technickými specifikacemi témat a jejich členěními, jak jsou stanoveny v nařízení (EU) 2017/543, existují pouze drobné rozdíly:</w:t>
      </w:r>
    </w:p>
    <w:p w14:paraId="04731437" w14:textId="77777777" w:rsidR="00555D68" w:rsidRDefault="00555D68" w:rsidP="00555D68">
      <w:r>
        <w:t xml:space="preserve">Právní důvod užívání bytu (TSH) - údaje k tomuto tématu byly shromážděny pouze za byty. Domácnosti žijící v </w:t>
      </w:r>
      <w:r w:rsidRPr="00F62D00">
        <w:t>„jiných bytových jednotkách“</w:t>
      </w:r>
      <w:r>
        <w:t xml:space="preserve"> jsou proto zařazeny do kategorie "</w:t>
      </w:r>
      <w:r w:rsidR="00F62D00">
        <w:t>Nezjištěno</w:t>
      </w:r>
      <w:r>
        <w:t>".</w:t>
      </w:r>
    </w:p>
    <w:p w14:paraId="4DDB3096" w14:textId="77777777" w:rsidR="00555D68" w:rsidRDefault="00555D68" w:rsidP="00555D68">
      <w:r>
        <w:t>Byty podle období výstavby domu (POC) - Vzhledem ke zdrojům dat, které jsou pro toto téma k dispozici, jsou do kategorie "Před rokem 1919" zahrnuty byty postavené před rokem 1919 i v roce 1919. V kategorii "1919-1945" jsou zahrnuty byty postavené v letech 1920-1945.</w:t>
      </w:r>
    </w:p>
    <w:p w14:paraId="6CE3C394" w14:textId="313659F5" w:rsidR="007653AD" w:rsidRDefault="00555D68" w:rsidP="00555D68">
      <w:r>
        <w:lastRenderedPageBreak/>
        <w:t xml:space="preserve">Typ současné ekonomické aktivity (CAS) - U osob, které neodpověděly na otázku </w:t>
      </w:r>
      <w:r w:rsidR="00853838">
        <w:t>současné ekonomické</w:t>
      </w:r>
      <w:r>
        <w:t xml:space="preserve"> aktivity ve sčítacím formuláři, </w:t>
      </w:r>
      <w:r w:rsidR="0073727F">
        <w:t> mohly být dostupné</w:t>
      </w:r>
      <w:r>
        <w:t xml:space="preserve"> pouze administrativní údaje. Vzhledem k tomu, že v administrativních zdrojích nejsou informace o odpracovaných hodinách, nemohlo být pro tuto podskupinu použito kritérium jedné hodiny. Administrativní údaje plně nepokrývaly přispívající rodinné příslušníky, zaměstnance na krátkodobé smlouvy a příslušníky armády. Kromě toho je použití administrativních údajů pro identifikaci nezaměstnaných obecně problematické (nejistota ohledně splnění kritérií "</w:t>
      </w:r>
      <w:r w:rsidR="00853838">
        <w:t>připravenosti k nástupu do</w:t>
      </w:r>
      <w:r>
        <w:t xml:space="preserve"> práce" a </w:t>
      </w:r>
      <w:r w:rsidR="00853838">
        <w:t xml:space="preserve">zařazení mezi </w:t>
      </w:r>
      <w:r>
        <w:t>"hled</w:t>
      </w:r>
      <w:r w:rsidR="00853838">
        <w:t>ajíc</w:t>
      </w:r>
      <w:r>
        <w:t>í prác</w:t>
      </w:r>
      <w:r w:rsidR="00853838">
        <w:t>i</w:t>
      </w:r>
      <w:r>
        <w:t>").</w:t>
      </w:r>
    </w:p>
    <w:p w14:paraId="78D303D7" w14:textId="77777777" w:rsidR="00DF49F6" w:rsidRDefault="00DF49F6" w:rsidP="00DF49F6">
      <w:pPr>
        <w:pStyle w:val="Nadpis2"/>
        <w:numPr>
          <w:ilvl w:val="1"/>
          <w:numId w:val="14"/>
        </w:numPr>
        <w:ind w:hanging="795"/>
      </w:pPr>
      <w:bookmarkStart w:id="34" w:name="_Toc166756719"/>
      <w:r>
        <w:t>Včasnost a dochvilnost</w:t>
      </w:r>
      <w:bookmarkEnd w:id="34"/>
    </w:p>
    <w:p w14:paraId="524751B4" w14:textId="77777777" w:rsidR="00461B37" w:rsidRDefault="00461B37" w:rsidP="00461B37">
      <w:pPr>
        <w:tabs>
          <w:tab w:val="left" w:pos="3261"/>
        </w:tabs>
      </w:pPr>
      <w:r>
        <w:t xml:space="preserve">Přenos dat: </w:t>
      </w:r>
      <w:r>
        <w:tab/>
        <w:t>31.03.2024</w:t>
      </w:r>
    </w:p>
    <w:p w14:paraId="1516574F" w14:textId="77777777" w:rsidR="00461B37" w:rsidRDefault="00461B37" w:rsidP="00461B37">
      <w:pPr>
        <w:tabs>
          <w:tab w:val="left" w:pos="3261"/>
        </w:tabs>
      </w:pPr>
      <w:r>
        <w:t xml:space="preserve">Dochvilnost: </w:t>
      </w:r>
      <w:r>
        <w:tab/>
        <w:t>Bez zpoždění</w:t>
      </w:r>
    </w:p>
    <w:p w14:paraId="15204147" w14:textId="77777777" w:rsidR="00461B37" w:rsidRDefault="00461B37" w:rsidP="00830E83">
      <w:pPr>
        <w:tabs>
          <w:tab w:val="left" w:pos="3261"/>
        </w:tabs>
      </w:pPr>
      <w:r>
        <w:t xml:space="preserve">Poslední </w:t>
      </w:r>
      <w:r w:rsidR="00830E83">
        <w:t>revize</w:t>
      </w:r>
      <w:r>
        <w:t xml:space="preserve"> metadat:</w:t>
      </w:r>
      <w:r w:rsidR="00830E83">
        <w:tab/>
      </w:r>
      <w:r>
        <w:t>31.03.2024</w:t>
      </w:r>
    </w:p>
    <w:p w14:paraId="1174F087" w14:textId="77777777" w:rsidR="00461B37" w:rsidRDefault="00830E83" w:rsidP="00830E83">
      <w:pPr>
        <w:tabs>
          <w:tab w:val="left" w:pos="3261"/>
        </w:tabs>
      </w:pPr>
      <w:r>
        <w:t>Poslední zveřejnění m</w:t>
      </w:r>
      <w:r w:rsidR="00461B37">
        <w:t>etadat:</w:t>
      </w:r>
      <w:r>
        <w:tab/>
      </w:r>
      <w:r w:rsidR="00461B37">
        <w:t>31.03.2024</w:t>
      </w:r>
    </w:p>
    <w:p w14:paraId="4E3C1334" w14:textId="77777777" w:rsidR="00DF49F6" w:rsidRDefault="00461B37" w:rsidP="007A4577">
      <w:pPr>
        <w:tabs>
          <w:tab w:val="left" w:pos="3261"/>
        </w:tabs>
      </w:pPr>
      <w:r>
        <w:t xml:space="preserve">Poslední aktualizace metadat: </w:t>
      </w:r>
      <w:r w:rsidR="007A4577">
        <w:tab/>
      </w:r>
      <w:r>
        <w:t>31.03.2024</w:t>
      </w:r>
    </w:p>
    <w:p w14:paraId="71B99984" w14:textId="77777777" w:rsidR="00910C3C" w:rsidRDefault="00921056" w:rsidP="00921056">
      <w:pPr>
        <w:pStyle w:val="Nadpis2"/>
        <w:numPr>
          <w:ilvl w:val="0"/>
          <w:numId w:val="0"/>
        </w:numPr>
        <w:ind w:left="851" w:hanging="851"/>
      </w:pPr>
      <w:bookmarkStart w:id="35" w:name="_Toc166756720"/>
      <w:r>
        <w:t>4.3</w:t>
      </w:r>
      <w:r>
        <w:tab/>
        <w:t>Soudržnost</w:t>
      </w:r>
      <w:bookmarkEnd w:id="35"/>
    </w:p>
    <w:p w14:paraId="78433ECE" w14:textId="77777777" w:rsidR="0099103B" w:rsidRDefault="00371399" w:rsidP="00371399">
      <w:pPr>
        <w:sectPr w:rsidR="0099103B">
          <w:pgSz w:w="11906" w:h="16838"/>
          <w:pgMar w:top="1417" w:right="1417" w:bottom="1417" w:left="1417" w:header="708" w:footer="708" w:gutter="0"/>
          <w:cols w:space="708"/>
          <w:docGrid w:linePitch="360"/>
        </w:sectPr>
      </w:pPr>
      <w:r>
        <w:t xml:space="preserve">Číselné údaje v </w:t>
      </w:r>
      <w:r w:rsidR="00341D03">
        <w:t>hyperkrychlích</w:t>
      </w:r>
      <w:r>
        <w:t xml:space="preserve"> odvozené </w:t>
      </w:r>
      <w:r w:rsidR="00341D03">
        <w:t xml:space="preserve">pro </w:t>
      </w:r>
      <w:r>
        <w:t>Eurostat pro sčítání lidu v roce 2021 jsou plně koherentní.</w:t>
      </w:r>
    </w:p>
    <w:p w14:paraId="46CD6DBB" w14:textId="77777777" w:rsidR="00921056" w:rsidRDefault="00F03F06" w:rsidP="0099103B">
      <w:pPr>
        <w:pStyle w:val="Nadpis2"/>
        <w:numPr>
          <w:ilvl w:val="1"/>
          <w:numId w:val="16"/>
        </w:numPr>
        <w:ind w:hanging="795"/>
      </w:pPr>
      <w:bookmarkStart w:id="36" w:name="_Toc166756721"/>
      <w:r>
        <w:lastRenderedPageBreak/>
        <w:t>Pokrytí a př</w:t>
      </w:r>
      <w:r w:rsidR="00DA2B0C">
        <w:t>esnost</w:t>
      </w:r>
      <w:bookmarkEnd w:id="36"/>
    </w:p>
    <w:p w14:paraId="51F77361" w14:textId="77777777" w:rsidR="00F03F06" w:rsidRDefault="00F03F06" w:rsidP="00F03F06">
      <w:r>
        <w:t>Hypekrychle pokrytí (QHC1)</w:t>
      </w:r>
    </w:p>
    <w:tbl>
      <w:tblPr>
        <w:tblW w:w="15273" w:type="dxa"/>
        <w:tblInd w:w="-436" w:type="dxa"/>
        <w:tblCellMar>
          <w:left w:w="70" w:type="dxa"/>
          <w:right w:w="70" w:type="dxa"/>
        </w:tblCellMar>
        <w:tblLook w:val="04A0" w:firstRow="1" w:lastRow="0" w:firstColumn="1" w:lastColumn="0" w:noHBand="0" w:noVBand="1"/>
      </w:tblPr>
      <w:tblGrid>
        <w:gridCol w:w="1701"/>
        <w:gridCol w:w="957"/>
        <w:gridCol w:w="992"/>
        <w:gridCol w:w="1134"/>
        <w:gridCol w:w="993"/>
        <w:gridCol w:w="992"/>
        <w:gridCol w:w="850"/>
        <w:gridCol w:w="993"/>
        <w:gridCol w:w="992"/>
        <w:gridCol w:w="1134"/>
        <w:gridCol w:w="992"/>
        <w:gridCol w:w="1134"/>
        <w:gridCol w:w="992"/>
        <w:gridCol w:w="1750"/>
      </w:tblGrid>
      <w:tr w:rsidR="00F03F06" w:rsidRPr="00243148" w14:paraId="7BF95B0B" w14:textId="77777777" w:rsidTr="00C633AF">
        <w:trPr>
          <w:trHeight w:val="300"/>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D121EEA"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 </w:t>
            </w:r>
          </w:p>
        </w:tc>
        <w:tc>
          <w:tcPr>
            <w:tcW w:w="5918"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5B38C635" w14:textId="77777777" w:rsidR="00F03F06" w:rsidRPr="00243148" w:rsidRDefault="00243148" w:rsidP="00613F23">
            <w:pPr>
              <w:spacing w:after="0" w:line="240" w:lineRule="auto"/>
              <w:jc w:val="center"/>
              <w:rPr>
                <w:rFonts w:eastAsia="Times New Roman"/>
                <w:sz w:val="20"/>
                <w:szCs w:val="20"/>
              </w:rPr>
            </w:pPr>
            <w:r w:rsidRPr="00243148">
              <w:rPr>
                <w:rFonts w:eastAsia="Times New Roman"/>
                <w:sz w:val="20"/>
                <w:szCs w:val="20"/>
              </w:rPr>
              <w:t>Muži</w:t>
            </w:r>
          </w:p>
        </w:tc>
        <w:tc>
          <w:tcPr>
            <w:tcW w:w="6237"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2C18B8DF" w14:textId="77777777" w:rsidR="00F03F06" w:rsidRPr="00243148" w:rsidRDefault="00243148" w:rsidP="00613F23">
            <w:pPr>
              <w:spacing w:after="0" w:line="240" w:lineRule="auto"/>
              <w:jc w:val="center"/>
              <w:rPr>
                <w:rFonts w:eastAsia="Times New Roman"/>
                <w:sz w:val="20"/>
                <w:szCs w:val="20"/>
              </w:rPr>
            </w:pPr>
            <w:r w:rsidRPr="00243148">
              <w:rPr>
                <w:rFonts w:eastAsia="Times New Roman"/>
                <w:sz w:val="20"/>
                <w:szCs w:val="20"/>
              </w:rPr>
              <w:t>Ženy</w:t>
            </w:r>
          </w:p>
        </w:tc>
        <w:tc>
          <w:tcPr>
            <w:tcW w:w="141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78FFC7" w14:textId="77777777" w:rsidR="00F03F06" w:rsidRPr="00243148" w:rsidRDefault="00243148" w:rsidP="00613F23">
            <w:pPr>
              <w:spacing w:after="0" w:line="240" w:lineRule="auto"/>
              <w:jc w:val="center"/>
              <w:rPr>
                <w:rFonts w:eastAsia="Times New Roman"/>
                <w:b/>
                <w:bCs/>
                <w:sz w:val="20"/>
                <w:szCs w:val="20"/>
              </w:rPr>
            </w:pPr>
            <w:r w:rsidRPr="00243148">
              <w:rPr>
                <w:rFonts w:eastAsia="Times New Roman"/>
                <w:b/>
                <w:bCs/>
                <w:sz w:val="20"/>
                <w:szCs w:val="20"/>
              </w:rPr>
              <w:t>Celkem</w:t>
            </w:r>
          </w:p>
        </w:tc>
      </w:tr>
      <w:tr w:rsidR="00F03F06" w:rsidRPr="00243148" w14:paraId="4270EC31" w14:textId="77777777" w:rsidTr="00C633AF">
        <w:trPr>
          <w:trHeight w:val="300"/>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826A876" w14:textId="77777777" w:rsidR="00F03F06" w:rsidRPr="00243148" w:rsidRDefault="00F03F06" w:rsidP="00613F23">
            <w:pPr>
              <w:spacing w:after="0" w:line="240" w:lineRule="auto"/>
              <w:jc w:val="left"/>
              <w:rPr>
                <w:rFonts w:eastAsia="Times New Roman"/>
                <w:sz w:val="20"/>
                <w:szCs w:val="20"/>
              </w:rPr>
            </w:pPr>
          </w:p>
        </w:tc>
        <w:tc>
          <w:tcPr>
            <w:tcW w:w="957" w:type="dxa"/>
            <w:tcBorders>
              <w:top w:val="nil"/>
              <w:left w:val="nil"/>
              <w:bottom w:val="single" w:sz="8" w:space="0" w:color="auto"/>
              <w:right w:val="single" w:sz="8" w:space="0" w:color="auto"/>
            </w:tcBorders>
            <w:shd w:val="clear" w:color="auto" w:fill="auto"/>
            <w:noWrap/>
            <w:vAlign w:val="center"/>
            <w:hideMark/>
          </w:tcPr>
          <w:p w14:paraId="6E198D42"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0-14</w:t>
            </w:r>
          </w:p>
        </w:tc>
        <w:tc>
          <w:tcPr>
            <w:tcW w:w="992" w:type="dxa"/>
            <w:tcBorders>
              <w:top w:val="nil"/>
              <w:left w:val="nil"/>
              <w:bottom w:val="single" w:sz="8" w:space="0" w:color="auto"/>
              <w:right w:val="single" w:sz="8" w:space="0" w:color="auto"/>
            </w:tcBorders>
            <w:shd w:val="clear" w:color="auto" w:fill="auto"/>
            <w:noWrap/>
            <w:vAlign w:val="center"/>
            <w:hideMark/>
          </w:tcPr>
          <w:p w14:paraId="654D075F"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15-29</w:t>
            </w:r>
          </w:p>
        </w:tc>
        <w:tc>
          <w:tcPr>
            <w:tcW w:w="1134" w:type="dxa"/>
            <w:tcBorders>
              <w:top w:val="nil"/>
              <w:left w:val="nil"/>
              <w:bottom w:val="single" w:sz="8" w:space="0" w:color="auto"/>
              <w:right w:val="single" w:sz="8" w:space="0" w:color="auto"/>
            </w:tcBorders>
            <w:shd w:val="clear" w:color="auto" w:fill="auto"/>
            <w:noWrap/>
            <w:vAlign w:val="center"/>
            <w:hideMark/>
          </w:tcPr>
          <w:p w14:paraId="5720C504"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30-49</w:t>
            </w:r>
          </w:p>
        </w:tc>
        <w:tc>
          <w:tcPr>
            <w:tcW w:w="993" w:type="dxa"/>
            <w:tcBorders>
              <w:top w:val="nil"/>
              <w:left w:val="nil"/>
              <w:bottom w:val="single" w:sz="8" w:space="0" w:color="auto"/>
              <w:right w:val="single" w:sz="8" w:space="0" w:color="auto"/>
            </w:tcBorders>
            <w:shd w:val="clear" w:color="auto" w:fill="auto"/>
            <w:noWrap/>
            <w:vAlign w:val="center"/>
            <w:hideMark/>
          </w:tcPr>
          <w:p w14:paraId="1F330DCF"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50-64</w:t>
            </w:r>
          </w:p>
        </w:tc>
        <w:tc>
          <w:tcPr>
            <w:tcW w:w="992" w:type="dxa"/>
            <w:tcBorders>
              <w:top w:val="nil"/>
              <w:left w:val="nil"/>
              <w:bottom w:val="single" w:sz="8" w:space="0" w:color="auto"/>
              <w:right w:val="single" w:sz="8" w:space="0" w:color="auto"/>
            </w:tcBorders>
            <w:shd w:val="clear" w:color="auto" w:fill="auto"/>
            <w:noWrap/>
            <w:vAlign w:val="center"/>
            <w:hideMark/>
          </w:tcPr>
          <w:p w14:paraId="04A5927F"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65-84</w:t>
            </w:r>
          </w:p>
        </w:tc>
        <w:tc>
          <w:tcPr>
            <w:tcW w:w="850" w:type="dxa"/>
            <w:tcBorders>
              <w:top w:val="nil"/>
              <w:left w:val="nil"/>
              <w:bottom w:val="single" w:sz="8" w:space="0" w:color="auto"/>
              <w:right w:val="single" w:sz="8" w:space="0" w:color="auto"/>
            </w:tcBorders>
            <w:shd w:val="clear" w:color="auto" w:fill="auto"/>
            <w:noWrap/>
            <w:vAlign w:val="center"/>
            <w:hideMark/>
          </w:tcPr>
          <w:p w14:paraId="5EF1D2E0"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85+</w:t>
            </w:r>
          </w:p>
        </w:tc>
        <w:tc>
          <w:tcPr>
            <w:tcW w:w="993" w:type="dxa"/>
            <w:tcBorders>
              <w:top w:val="nil"/>
              <w:left w:val="nil"/>
              <w:bottom w:val="single" w:sz="8" w:space="0" w:color="auto"/>
              <w:right w:val="single" w:sz="8" w:space="0" w:color="auto"/>
            </w:tcBorders>
            <w:shd w:val="clear" w:color="auto" w:fill="auto"/>
            <w:noWrap/>
            <w:vAlign w:val="center"/>
            <w:hideMark/>
          </w:tcPr>
          <w:p w14:paraId="7E33B2D0"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0-14</w:t>
            </w:r>
          </w:p>
        </w:tc>
        <w:tc>
          <w:tcPr>
            <w:tcW w:w="992" w:type="dxa"/>
            <w:tcBorders>
              <w:top w:val="nil"/>
              <w:left w:val="nil"/>
              <w:bottom w:val="single" w:sz="8" w:space="0" w:color="auto"/>
              <w:right w:val="single" w:sz="8" w:space="0" w:color="auto"/>
            </w:tcBorders>
            <w:shd w:val="clear" w:color="auto" w:fill="auto"/>
            <w:noWrap/>
            <w:vAlign w:val="center"/>
            <w:hideMark/>
          </w:tcPr>
          <w:p w14:paraId="205FD4CB"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15-29</w:t>
            </w:r>
          </w:p>
        </w:tc>
        <w:tc>
          <w:tcPr>
            <w:tcW w:w="1134" w:type="dxa"/>
            <w:tcBorders>
              <w:top w:val="nil"/>
              <w:left w:val="nil"/>
              <w:bottom w:val="single" w:sz="8" w:space="0" w:color="auto"/>
              <w:right w:val="single" w:sz="8" w:space="0" w:color="auto"/>
            </w:tcBorders>
            <w:shd w:val="clear" w:color="auto" w:fill="auto"/>
            <w:noWrap/>
            <w:vAlign w:val="center"/>
            <w:hideMark/>
          </w:tcPr>
          <w:p w14:paraId="177333B5"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30-49</w:t>
            </w:r>
          </w:p>
        </w:tc>
        <w:tc>
          <w:tcPr>
            <w:tcW w:w="992" w:type="dxa"/>
            <w:tcBorders>
              <w:top w:val="nil"/>
              <w:left w:val="nil"/>
              <w:bottom w:val="single" w:sz="8" w:space="0" w:color="auto"/>
              <w:right w:val="single" w:sz="8" w:space="0" w:color="auto"/>
            </w:tcBorders>
            <w:shd w:val="clear" w:color="auto" w:fill="auto"/>
            <w:noWrap/>
            <w:vAlign w:val="center"/>
            <w:hideMark/>
          </w:tcPr>
          <w:p w14:paraId="399376EE"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50-64</w:t>
            </w:r>
          </w:p>
        </w:tc>
        <w:tc>
          <w:tcPr>
            <w:tcW w:w="1134" w:type="dxa"/>
            <w:tcBorders>
              <w:top w:val="nil"/>
              <w:left w:val="nil"/>
              <w:bottom w:val="single" w:sz="8" w:space="0" w:color="auto"/>
              <w:right w:val="single" w:sz="8" w:space="0" w:color="auto"/>
            </w:tcBorders>
            <w:shd w:val="clear" w:color="auto" w:fill="auto"/>
            <w:noWrap/>
            <w:vAlign w:val="center"/>
            <w:hideMark/>
          </w:tcPr>
          <w:p w14:paraId="69464992"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65-84</w:t>
            </w:r>
          </w:p>
        </w:tc>
        <w:tc>
          <w:tcPr>
            <w:tcW w:w="992" w:type="dxa"/>
            <w:tcBorders>
              <w:top w:val="nil"/>
              <w:left w:val="nil"/>
              <w:bottom w:val="single" w:sz="8" w:space="0" w:color="auto"/>
              <w:right w:val="single" w:sz="8" w:space="0" w:color="auto"/>
            </w:tcBorders>
            <w:shd w:val="clear" w:color="auto" w:fill="auto"/>
            <w:noWrap/>
            <w:vAlign w:val="center"/>
            <w:hideMark/>
          </w:tcPr>
          <w:p w14:paraId="48816052" w14:textId="77777777" w:rsidR="00F03F06" w:rsidRPr="00243148" w:rsidRDefault="00F03F06" w:rsidP="00613F23">
            <w:pPr>
              <w:spacing w:after="0" w:line="240" w:lineRule="auto"/>
              <w:jc w:val="center"/>
              <w:rPr>
                <w:rFonts w:eastAsia="Times New Roman"/>
                <w:sz w:val="20"/>
                <w:szCs w:val="20"/>
              </w:rPr>
            </w:pPr>
            <w:r w:rsidRPr="00243148">
              <w:rPr>
                <w:rFonts w:eastAsia="Times New Roman"/>
                <w:sz w:val="20"/>
                <w:szCs w:val="20"/>
              </w:rPr>
              <w:t>85+</w:t>
            </w:r>
          </w:p>
        </w:tc>
        <w:tc>
          <w:tcPr>
            <w:tcW w:w="1417" w:type="dxa"/>
            <w:tcBorders>
              <w:top w:val="single" w:sz="8" w:space="0" w:color="auto"/>
              <w:left w:val="single" w:sz="8" w:space="0" w:color="auto"/>
              <w:bottom w:val="single" w:sz="8" w:space="0" w:color="000000"/>
              <w:right w:val="single" w:sz="8" w:space="0" w:color="auto"/>
            </w:tcBorders>
            <w:vAlign w:val="center"/>
            <w:hideMark/>
          </w:tcPr>
          <w:p w14:paraId="2659146A" w14:textId="77777777" w:rsidR="00F03F06" w:rsidRPr="00243148" w:rsidRDefault="00F03F06" w:rsidP="00613F23">
            <w:pPr>
              <w:spacing w:after="0" w:line="240" w:lineRule="auto"/>
              <w:jc w:val="left"/>
              <w:rPr>
                <w:rFonts w:eastAsia="Times New Roman"/>
                <w:b/>
                <w:bCs/>
                <w:sz w:val="20"/>
                <w:szCs w:val="20"/>
              </w:rPr>
            </w:pPr>
          </w:p>
        </w:tc>
      </w:tr>
      <w:tr w:rsidR="00F03F06" w:rsidRPr="00243148" w14:paraId="394903CA" w14:textId="77777777" w:rsidTr="00C633AF">
        <w:trPr>
          <w:trHeight w:val="30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0121EACC" w14:textId="77777777" w:rsidR="00F03F06" w:rsidRPr="00243148" w:rsidRDefault="001D6985" w:rsidP="00613F23">
            <w:pPr>
              <w:spacing w:after="0" w:line="240" w:lineRule="auto"/>
              <w:jc w:val="left"/>
              <w:rPr>
                <w:rFonts w:eastAsia="Times New Roman"/>
                <w:sz w:val="20"/>
                <w:szCs w:val="20"/>
              </w:rPr>
            </w:pPr>
            <w:r>
              <w:rPr>
                <w:rFonts w:eastAsia="Times New Roman"/>
                <w:sz w:val="20"/>
                <w:szCs w:val="20"/>
              </w:rPr>
              <w:t>Počet obyvatel ze sčítání</w:t>
            </w:r>
          </w:p>
        </w:tc>
        <w:tc>
          <w:tcPr>
            <w:tcW w:w="957" w:type="dxa"/>
            <w:tcBorders>
              <w:top w:val="nil"/>
              <w:left w:val="nil"/>
              <w:bottom w:val="single" w:sz="8" w:space="0" w:color="auto"/>
              <w:right w:val="single" w:sz="8" w:space="0" w:color="auto"/>
            </w:tcBorders>
            <w:shd w:val="clear" w:color="auto" w:fill="auto"/>
            <w:noWrap/>
            <w:vAlign w:val="center"/>
            <w:hideMark/>
          </w:tcPr>
          <w:p w14:paraId="0D39432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866 322</w:t>
            </w:r>
          </w:p>
        </w:tc>
        <w:tc>
          <w:tcPr>
            <w:tcW w:w="992" w:type="dxa"/>
            <w:tcBorders>
              <w:top w:val="nil"/>
              <w:left w:val="nil"/>
              <w:bottom w:val="single" w:sz="8" w:space="0" w:color="auto"/>
              <w:right w:val="single" w:sz="8" w:space="0" w:color="auto"/>
            </w:tcBorders>
            <w:shd w:val="clear" w:color="auto" w:fill="auto"/>
            <w:noWrap/>
            <w:vAlign w:val="center"/>
            <w:hideMark/>
          </w:tcPr>
          <w:p w14:paraId="68D27EC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807 484</w:t>
            </w:r>
          </w:p>
        </w:tc>
        <w:tc>
          <w:tcPr>
            <w:tcW w:w="1134" w:type="dxa"/>
            <w:tcBorders>
              <w:top w:val="nil"/>
              <w:left w:val="nil"/>
              <w:bottom w:val="single" w:sz="8" w:space="0" w:color="auto"/>
              <w:right w:val="single" w:sz="8" w:space="0" w:color="auto"/>
            </w:tcBorders>
            <w:shd w:val="clear" w:color="auto" w:fill="auto"/>
            <w:noWrap/>
            <w:vAlign w:val="center"/>
            <w:hideMark/>
          </w:tcPr>
          <w:p w14:paraId="6E572399"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1 622 742</w:t>
            </w:r>
          </w:p>
        </w:tc>
        <w:tc>
          <w:tcPr>
            <w:tcW w:w="993" w:type="dxa"/>
            <w:tcBorders>
              <w:top w:val="nil"/>
              <w:left w:val="nil"/>
              <w:bottom w:val="single" w:sz="8" w:space="0" w:color="auto"/>
              <w:right w:val="single" w:sz="8" w:space="0" w:color="auto"/>
            </w:tcBorders>
            <w:shd w:val="clear" w:color="auto" w:fill="auto"/>
            <w:noWrap/>
            <w:vAlign w:val="center"/>
            <w:hideMark/>
          </w:tcPr>
          <w:p w14:paraId="1FFD91AE"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986 625</w:t>
            </w:r>
          </w:p>
        </w:tc>
        <w:tc>
          <w:tcPr>
            <w:tcW w:w="992" w:type="dxa"/>
            <w:tcBorders>
              <w:top w:val="nil"/>
              <w:left w:val="nil"/>
              <w:bottom w:val="single" w:sz="8" w:space="0" w:color="auto"/>
              <w:right w:val="single" w:sz="8" w:space="0" w:color="auto"/>
            </w:tcBorders>
            <w:shd w:val="clear" w:color="auto" w:fill="auto"/>
            <w:noWrap/>
            <w:vAlign w:val="center"/>
            <w:hideMark/>
          </w:tcPr>
          <w:p w14:paraId="5DCA85A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844 015</w:t>
            </w:r>
          </w:p>
        </w:tc>
        <w:tc>
          <w:tcPr>
            <w:tcW w:w="850" w:type="dxa"/>
            <w:tcBorders>
              <w:top w:val="nil"/>
              <w:left w:val="nil"/>
              <w:bottom w:val="single" w:sz="8" w:space="0" w:color="auto"/>
              <w:right w:val="single" w:sz="8" w:space="0" w:color="auto"/>
            </w:tcBorders>
            <w:shd w:val="clear" w:color="auto" w:fill="auto"/>
            <w:noWrap/>
            <w:vAlign w:val="center"/>
            <w:hideMark/>
          </w:tcPr>
          <w:p w14:paraId="3D76D99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59 360</w:t>
            </w:r>
          </w:p>
        </w:tc>
        <w:tc>
          <w:tcPr>
            <w:tcW w:w="993" w:type="dxa"/>
            <w:tcBorders>
              <w:top w:val="nil"/>
              <w:left w:val="nil"/>
              <w:bottom w:val="single" w:sz="8" w:space="0" w:color="auto"/>
              <w:right w:val="single" w:sz="8" w:space="0" w:color="auto"/>
            </w:tcBorders>
            <w:shd w:val="clear" w:color="auto" w:fill="auto"/>
            <w:noWrap/>
            <w:vAlign w:val="center"/>
            <w:hideMark/>
          </w:tcPr>
          <w:p w14:paraId="138597D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825 438</w:t>
            </w:r>
          </w:p>
        </w:tc>
        <w:tc>
          <w:tcPr>
            <w:tcW w:w="992" w:type="dxa"/>
            <w:tcBorders>
              <w:top w:val="nil"/>
              <w:left w:val="nil"/>
              <w:bottom w:val="single" w:sz="8" w:space="0" w:color="auto"/>
              <w:right w:val="single" w:sz="8" w:space="0" w:color="auto"/>
            </w:tcBorders>
            <w:shd w:val="clear" w:color="auto" w:fill="auto"/>
            <w:noWrap/>
            <w:vAlign w:val="center"/>
            <w:hideMark/>
          </w:tcPr>
          <w:p w14:paraId="071E2EB5"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760 583</w:t>
            </w:r>
          </w:p>
        </w:tc>
        <w:tc>
          <w:tcPr>
            <w:tcW w:w="1134" w:type="dxa"/>
            <w:tcBorders>
              <w:top w:val="nil"/>
              <w:left w:val="nil"/>
              <w:bottom w:val="single" w:sz="8" w:space="0" w:color="auto"/>
              <w:right w:val="single" w:sz="8" w:space="0" w:color="auto"/>
            </w:tcBorders>
            <w:shd w:val="clear" w:color="auto" w:fill="auto"/>
            <w:noWrap/>
            <w:vAlign w:val="center"/>
            <w:hideMark/>
          </w:tcPr>
          <w:p w14:paraId="2BF279F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1 522 441</w:t>
            </w:r>
          </w:p>
        </w:tc>
        <w:tc>
          <w:tcPr>
            <w:tcW w:w="992" w:type="dxa"/>
            <w:tcBorders>
              <w:top w:val="nil"/>
              <w:left w:val="nil"/>
              <w:bottom w:val="single" w:sz="8" w:space="0" w:color="auto"/>
              <w:right w:val="single" w:sz="8" w:space="0" w:color="auto"/>
            </w:tcBorders>
            <w:shd w:val="clear" w:color="auto" w:fill="auto"/>
            <w:noWrap/>
            <w:vAlign w:val="center"/>
            <w:hideMark/>
          </w:tcPr>
          <w:p w14:paraId="103D087E"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984 484</w:t>
            </w:r>
          </w:p>
        </w:tc>
        <w:tc>
          <w:tcPr>
            <w:tcW w:w="1134" w:type="dxa"/>
            <w:tcBorders>
              <w:top w:val="nil"/>
              <w:left w:val="nil"/>
              <w:bottom w:val="single" w:sz="8" w:space="0" w:color="auto"/>
              <w:right w:val="single" w:sz="8" w:space="0" w:color="auto"/>
            </w:tcBorders>
            <w:shd w:val="clear" w:color="auto" w:fill="auto"/>
            <w:noWrap/>
            <w:vAlign w:val="center"/>
            <w:hideMark/>
          </w:tcPr>
          <w:p w14:paraId="107B798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1 105 436</w:t>
            </w:r>
          </w:p>
        </w:tc>
        <w:tc>
          <w:tcPr>
            <w:tcW w:w="992" w:type="dxa"/>
            <w:tcBorders>
              <w:top w:val="nil"/>
              <w:left w:val="nil"/>
              <w:bottom w:val="single" w:sz="8" w:space="0" w:color="auto"/>
              <w:right w:val="single" w:sz="8" w:space="0" w:color="auto"/>
            </w:tcBorders>
            <w:shd w:val="clear" w:color="auto" w:fill="auto"/>
            <w:noWrap/>
            <w:vAlign w:val="center"/>
            <w:hideMark/>
          </w:tcPr>
          <w:p w14:paraId="6BF1186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139 237</w:t>
            </w:r>
          </w:p>
        </w:tc>
        <w:tc>
          <w:tcPr>
            <w:tcW w:w="1417" w:type="dxa"/>
            <w:tcBorders>
              <w:top w:val="nil"/>
              <w:left w:val="nil"/>
              <w:bottom w:val="single" w:sz="8" w:space="0" w:color="auto"/>
              <w:right w:val="single" w:sz="8" w:space="0" w:color="auto"/>
            </w:tcBorders>
            <w:shd w:val="clear" w:color="auto" w:fill="auto"/>
            <w:vAlign w:val="center"/>
            <w:hideMark/>
          </w:tcPr>
          <w:p w14:paraId="1B417598" w14:textId="77777777" w:rsidR="00F03F06" w:rsidRPr="00243148" w:rsidRDefault="00F03F06" w:rsidP="00613F23">
            <w:pPr>
              <w:spacing w:after="0" w:line="240" w:lineRule="auto"/>
              <w:jc w:val="right"/>
              <w:rPr>
                <w:rFonts w:eastAsia="Times New Roman"/>
                <w:b/>
                <w:bCs/>
                <w:sz w:val="20"/>
                <w:szCs w:val="20"/>
              </w:rPr>
            </w:pPr>
            <w:r w:rsidRPr="00243148">
              <w:rPr>
                <w:rFonts w:eastAsia="Times New Roman"/>
                <w:b/>
                <w:bCs/>
                <w:sz w:val="20"/>
                <w:szCs w:val="20"/>
              </w:rPr>
              <w:t>10 524 167</w:t>
            </w:r>
          </w:p>
        </w:tc>
      </w:tr>
      <w:tr w:rsidR="00F03F06" w:rsidRPr="00243148" w14:paraId="43E29417" w14:textId="77777777" w:rsidTr="00C633AF">
        <w:trPr>
          <w:trHeight w:val="30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1231F5E" w14:textId="77777777" w:rsidR="00F03F06" w:rsidRPr="00243148" w:rsidRDefault="00243148" w:rsidP="00613F23">
            <w:pPr>
              <w:spacing w:after="0" w:line="240" w:lineRule="auto"/>
              <w:jc w:val="left"/>
              <w:rPr>
                <w:rFonts w:eastAsia="Times New Roman"/>
                <w:sz w:val="20"/>
                <w:szCs w:val="20"/>
              </w:rPr>
            </w:pPr>
            <w:r w:rsidRPr="00243148">
              <w:rPr>
                <w:rFonts w:eastAsia="Times New Roman"/>
                <w:sz w:val="20"/>
                <w:szCs w:val="20"/>
              </w:rPr>
              <w:t>Počet všech imputací záznamů</w:t>
            </w:r>
          </w:p>
        </w:tc>
        <w:tc>
          <w:tcPr>
            <w:tcW w:w="957" w:type="dxa"/>
            <w:tcBorders>
              <w:top w:val="nil"/>
              <w:left w:val="nil"/>
              <w:bottom w:val="single" w:sz="8" w:space="0" w:color="auto"/>
              <w:right w:val="single" w:sz="8" w:space="0" w:color="auto"/>
            </w:tcBorders>
            <w:shd w:val="clear" w:color="auto" w:fill="auto"/>
            <w:noWrap/>
            <w:vAlign w:val="center"/>
            <w:hideMark/>
          </w:tcPr>
          <w:p w14:paraId="7B7741D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2" w:type="dxa"/>
            <w:tcBorders>
              <w:top w:val="nil"/>
              <w:left w:val="nil"/>
              <w:bottom w:val="single" w:sz="8" w:space="0" w:color="auto"/>
              <w:right w:val="single" w:sz="8" w:space="0" w:color="auto"/>
            </w:tcBorders>
            <w:shd w:val="clear" w:color="auto" w:fill="auto"/>
            <w:noWrap/>
            <w:vAlign w:val="center"/>
            <w:hideMark/>
          </w:tcPr>
          <w:p w14:paraId="29250BFA"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1134" w:type="dxa"/>
            <w:tcBorders>
              <w:top w:val="nil"/>
              <w:left w:val="nil"/>
              <w:bottom w:val="single" w:sz="8" w:space="0" w:color="auto"/>
              <w:right w:val="single" w:sz="8" w:space="0" w:color="auto"/>
            </w:tcBorders>
            <w:shd w:val="clear" w:color="auto" w:fill="auto"/>
            <w:noWrap/>
            <w:vAlign w:val="center"/>
            <w:hideMark/>
          </w:tcPr>
          <w:p w14:paraId="0D4944E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3" w:type="dxa"/>
            <w:tcBorders>
              <w:top w:val="nil"/>
              <w:left w:val="nil"/>
              <w:bottom w:val="single" w:sz="8" w:space="0" w:color="auto"/>
              <w:right w:val="single" w:sz="8" w:space="0" w:color="auto"/>
            </w:tcBorders>
            <w:shd w:val="clear" w:color="auto" w:fill="auto"/>
            <w:noWrap/>
            <w:vAlign w:val="center"/>
            <w:hideMark/>
          </w:tcPr>
          <w:p w14:paraId="4EE3EAB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2" w:type="dxa"/>
            <w:tcBorders>
              <w:top w:val="nil"/>
              <w:left w:val="nil"/>
              <w:bottom w:val="single" w:sz="8" w:space="0" w:color="auto"/>
              <w:right w:val="single" w:sz="8" w:space="0" w:color="auto"/>
            </w:tcBorders>
            <w:shd w:val="clear" w:color="auto" w:fill="auto"/>
            <w:noWrap/>
            <w:vAlign w:val="center"/>
            <w:hideMark/>
          </w:tcPr>
          <w:p w14:paraId="18AF4D5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850" w:type="dxa"/>
            <w:tcBorders>
              <w:top w:val="nil"/>
              <w:left w:val="nil"/>
              <w:bottom w:val="single" w:sz="8" w:space="0" w:color="auto"/>
              <w:right w:val="single" w:sz="8" w:space="0" w:color="auto"/>
            </w:tcBorders>
            <w:shd w:val="clear" w:color="auto" w:fill="auto"/>
            <w:noWrap/>
            <w:vAlign w:val="center"/>
            <w:hideMark/>
          </w:tcPr>
          <w:p w14:paraId="1835B4B5"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3" w:type="dxa"/>
            <w:tcBorders>
              <w:top w:val="nil"/>
              <w:left w:val="nil"/>
              <w:bottom w:val="single" w:sz="8" w:space="0" w:color="auto"/>
              <w:right w:val="single" w:sz="8" w:space="0" w:color="auto"/>
            </w:tcBorders>
            <w:shd w:val="clear" w:color="auto" w:fill="auto"/>
            <w:noWrap/>
            <w:vAlign w:val="center"/>
            <w:hideMark/>
          </w:tcPr>
          <w:p w14:paraId="5F623189"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2" w:type="dxa"/>
            <w:tcBorders>
              <w:top w:val="nil"/>
              <w:left w:val="nil"/>
              <w:bottom w:val="single" w:sz="8" w:space="0" w:color="auto"/>
              <w:right w:val="single" w:sz="8" w:space="0" w:color="auto"/>
            </w:tcBorders>
            <w:shd w:val="clear" w:color="auto" w:fill="auto"/>
            <w:noWrap/>
            <w:vAlign w:val="center"/>
            <w:hideMark/>
          </w:tcPr>
          <w:p w14:paraId="55132DEF"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1134" w:type="dxa"/>
            <w:tcBorders>
              <w:top w:val="nil"/>
              <w:left w:val="nil"/>
              <w:bottom w:val="single" w:sz="8" w:space="0" w:color="auto"/>
              <w:right w:val="single" w:sz="8" w:space="0" w:color="auto"/>
            </w:tcBorders>
            <w:shd w:val="clear" w:color="auto" w:fill="auto"/>
            <w:noWrap/>
            <w:vAlign w:val="center"/>
            <w:hideMark/>
          </w:tcPr>
          <w:p w14:paraId="5BD6098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2" w:type="dxa"/>
            <w:tcBorders>
              <w:top w:val="nil"/>
              <w:left w:val="nil"/>
              <w:bottom w:val="single" w:sz="8" w:space="0" w:color="auto"/>
              <w:right w:val="single" w:sz="8" w:space="0" w:color="auto"/>
            </w:tcBorders>
            <w:shd w:val="clear" w:color="auto" w:fill="auto"/>
            <w:noWrap/>
            <w:vAlign w:val="center"/>
            <w:hideMark/>
          </w:tcPr>
          <w:p w14:paraId="3D37985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1134" w:type="dxa"/>
            <w:tcBorders>
              <w:top w:val="nil"/>
              <w:left w:val="nil"/>
              <w:bottom w:val="single" w:sz="8" w:space="0" w:color="auto"/>
              <w:right w:val="single" w:sz="8" w:space="0" w:color="auto"/>
            </w:tcBorders>
            <w:shd w:val="clear" w:color="auto" w:fill="auto"/>
            <w:noWrap/>
            <w:vAlign w:val="center"/>
            <w:hideMark/>
          </w:tcPr>
          <w:p w14:paraId="18DC32D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992" w:type="dxa"/>
            <w:tcBorders>
              <w:top w:val="nil"/>
              <w:left w:val="nil"/>
              <w:bottom w:val="single" w:sz="8" w:space="0" w:color="auto"/>
              <w:right w:val="single" w:sz="8" w:space="0" w:color="auto"/>
            </w:tcBorders>
            <w:shd w:val="clear" w:color="auto" w:fill="auto"/>
            <w:noWrap/>
            <w:vAlign w:val="center"/>
            <w:hideMark/>
          </w:tcPr>
          <w:p w14:paraId="52968DBC"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w:t>
            </w:r>
          </w:p>
        </w:tc>
        <w:tc>
          <w:tcPr>
            <w:tcW w:w="1417" w:type="dxa"/>
            <w:tcBorders>
              <w:top w:val="nil"/>
              <w:left w:val="nil"/>
              <w:bottom w:val="single" w:sz="8" w:space="0" w:color="auto"/>
              <w:right w:val="single" w:sz="8" w:space="0" w:color="auto"/>
            </w:tcBorders>
            <w:shd w:val="clear" w:color="auto" w:fill="auto"/>
            <w:noWrap/>
            <w:vAlign w:val="center"/>
            <w:hideMark/>
          </w:tcPr>
          <w:p w14:paraId="74C85144" w14:textId="77777777" w:rsidR="00F03F06" w:rsidRPr="00243148" w:rsidRDefault="00F03F06" w:rsidP="00613F23">
            <w:pPr>
              <w:spacing w:after="0" w:line="240" w:lineRule="auto"/>
              <w:jc w:val="right"/>
              <w:rPr>
                <w:rFonts w:eastAsia="Times New Roman"/>
                <w:b/>
                <w:bCs/>
                <w:sz w:val="20"/>
                <w:szCs w:val="20"/>
              </w:rPr>
            </w:pPr>
            <w:r w:rsidRPr="00243148">
              <w:rPr>
                <w:rFonts w:eastAsia="Times New Roman"/>
                <w:b/>
                <w:bCs/>
                <w:sz w:val="20"/>
                <w:szCs w:val="20"/>
              </w:rPr>
              <w:t>-</w:t>
            </w:r>
          </w:p>
        </w:tc>
      </w:tr>
      <w:tr w:rsidR="00F03F06" w:rsidRPr="00243148" w14:paraId="7DB54858" w14:textId="77777777" w:rsidTr="00C633AF">
        <w:trPr>
          <w:trHeight w:val="30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66580FE5" w14:textId="77777777" w:rsidR="00F03F06" w:rsidRPr="00243148" w:rsidRDefault="00243148" w:rsidP="00613F23">
            <w:pPr>
              <w:spacing w:after="0" w:line="240" w:lineRule="auto"/>
              <w:jc w:val="left"/>
              <w:rPr>
                <w:rFonts w:eastAsia="Times New Roman"/>
                <w:sz w:val="20"/>
                <w:szCs w:val="20"/>
              </w:rPr>
            </w:pPr>
            <w:r>
              <w:rPr>
                <w:rFonts w:eastAsia="Times New Roman"/>
                <w:sz w:val="20"/>
                <w:szCs w:val="20"/>
              </w:rPr>
              <w:t>Počet všech výmazů záznamů</w:t>
            </w:r>
          </w:p>
        </w:tc>
        <w:tc>
          <w:tcPr>
            <w:tcW w:w="957" w:type="dxa"/>
            <w:tcBorders>
              <w:top w:val="nil"/>
              <w:left w:val="nil"/>
              <w:bottom w:val="single" w:sz="8" w:space="0" w:color="auto"/>
              <w:right w:val="single" w:sz="8" w:space="0" w:color="auto"/>
            </w:tcBorders>
            <w:shd w:val="clear" w:color="auto" w:fill="auto"/>
            <w:noWrap/>
            <w:vAlign w:val="center"/>
            <w:hideMark/>
          </w:tcPr>
          <w:p w14:paraId="5B66A05A"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29 692</w:t>
            </w:r>
          </w:p>
        </w:tc>
        <w:tc>
          <w:tcPr>
            <w:tcW w:w="992" w:type="dxa"/>
            <w:tcBorders>
              <w:top w:val="nil"/>
              <w:left w:val="nil"/>
              <w:bottom w:val="single" w:sz="8" w:space="0" w:color="auto"/>
              <w:right w:val="single" w:sz="8" w:space="0" w:color="auto"/>
            </w:tcBorders>
            <w:shd w:val="clear" w:color="auto" w:fill="auto"/>
            <w:noWrap/>
            <w:vAlign w:val="center"/>
            <w:hideMark/>
          </w:tcPr>
          <w:p w14:paraId="0B22869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34 266</w:t>
            </w:r>
          </w:p>
        </w:tc>
        <w:tc>
          <w:tcPr>
            <w:tcW w:w="1134" w:type="dxa"/>
            <w:tcBorders>
              <w:top w:val="nil"/>
              <w:left w:val="nil"/>
              <w:bottom w:val="single" w:sz="8" w:space="0" w:color="auto"/>
              <w:right w:val="single" w:sz="8" w:space="0" w:color="auto"/>
            </w:tcBorders>
            <w:shd w:val="clear" w:color="auto" w:fill="auto"/>
            <w:noWrap/>
            <w:vAlign w:val="center"/>
            <w:hideMark/>
          </w:tcPr>
          <w:p w14:paraId="46915BC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85 765</w:t>
            </w:r>
          </w:p>
        </w:tc>
        <w:tc>
          <w:tcPr>
            <w:tcW w:w="993" w:type="dxa"/>
            <w:tcBorders>
              <w:top w:val="nil"/>
              <w:left w:val="nil"/>
              <w:bottom w:val="single" w:sz="8" w:space="0" w:color="auto"/>
              <w:right w:val="single" w:sz="8" w:space="0" w:color="auto"/>
            </w:tcBorders>
            <w:shd w:val="clear" w:color="auto" w:fill="auto"/>
            <w:noWrap/>
            <w:vAlign w:val="center"/>
            <w:hideMark/>
          </w:tcPr>
          <w:p w14:paraId="517A480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38 474</w:t>
            </w:r>
          </w:p>
        </w:tc>
        <w:tc>
          <w:tcPr>
            <w:tcW w:w="992" w:type="dxa"/>
            <w:tcBorders>
              <w:top w:val="nil"/>
              <w:left w:val="nil"/>
              <w:bottom w:val="single" w:sz="8" w:space="0" w:color="auto"/>
              <w:right w:val="single" w:sz="8" w:space="0" w:color="auto"/>
            </w:tcBorders>
            <w:shd w:val="clear" w:color="auto" w:fill="auto"/>
            <w:noWrap/>
            <w:vAlign w:val="center"/>
            <w:hideMark/>
          </w:tcPr>
          <w:p w14:paraId="5B2A9FA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20 087</w:t>
            </w:r>
          </w:p>
        </w:tc>
        <w:tc>
          <w:tcPr>
            <w:tcW w:w="850" w:type="dxa"/>
            <w:tcBorders>
              <w:top w:val="nil"/>
              <w:left w:val="nil"/>
              <w:bottom w:val="single" w:sz="8" w:space="0" w:color="auto"/>
              <w:right w:val="single" w:sz="8" w:space="0" w:color="auto"/>
            </w:tcBorders>
            <w:shd w:val="clear" w:color="auto" w:fill="auto"/>
            <w:noWrap/>
            <w:vAlign w:val="center"/>
            <w:hideMark/>
          </w:tcPr>
          <w:p w14:paraId="0D3C3C8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3 635</w:t>
            </w:r>
          </w:p>
        </w:tc>
        <w:tc>
          <w:tcPr>
            <w:tcW w:w="993" w:type="dxa"/>
            <w:tcBorders>
              <w:top w:val="nil"/>
              <w:left w:val="nil"/>
              <w:bottom w:val="single" w:sz="8" w:space="0" w:color="auto"/>
              <w:right w:val="single" w:sz="8" w:space="0" w:color="auto"/>
            </w:tcBorders>
            <w:shd w:val="clear" w:color="auto" w:fill="auto"/>
            <w:noWrap/>
            <w:vAlign w:val="center"/>
            <w:hideMark/>
          </w:tcPr>
          <w:p w14:paraId="5AEA3BD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27 928</w:t>
            </w:r>
          </w:p>
        </w:tc>
        <w:tc>
          <w:tcPr>
            <w:tcW w:w="992" w:type="dxa"/>
            <w:tcBorders>
              <w:top w:val="nil"/>
              <w:left w:val="nil"/>
              <w:bottom w:val="single" w:sz="8" w:space="0" w:color="auto"/>
              <w:right w:val="single" w:sz="8" w:space="0" w:color="auto"/>
            </w:tcBorders>
            <w:shd w:val="clear" w:color="auto" w:fill="auto"/>
            <w:noWrap/>
            <w:vAlign w:val="center"/>
            <w:hideMark/>
          </w:tcPr>
          <w:p w14:paraId="67058CAD"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33 287</w:t>
            </w:r>
          </w:p>
        </w:tc>
        <w:tc>
          <w:tcPr>
            <w:tcW w:w="1134" w:type="dxa"/>
            <w:tcBorders>
              <w:top w:val="nil"/>
              <w:left w:val="nil"/>
              <w:bottom w:val="single" w:sz="8" w:space="0" w:color="auto"/>
              <w:right w:val="single" w:sz="8" w:space="0" w:color="auto"/>
            </w:tcBorders>
            <w:shd w:val="clear" w:color="auto" w:fill="auto"/>
            <w:noWrap/>
            <w:vAlign w:val="center"/>
            <w:hideMark/>
          </w:tcPr>
          <w:p w14:paraId="5AF2BB3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85 344</w:t>
            </w:r>
          </w:p>
        </w:tc>
        <w:tc>
          <w:tcPr>
            <w:tcW w:w="992" w:type="dxa"/>
            <w:tcBorders>
              <w:top w:val="nil"/>
              <w:left w:val="nil"/>
              <w:bottom w:val="single" w:sz="8" w:space="0" w:color="auto"/>
              <w:right w:val="single" w:sz="8" w:space="0" w:color="auto"/>
            </w:tcBorders>
            <w:shd w:val="clear" w:color="auto" w:fill="auto"/>
            <w:noWrap/>
            <w:vAlign w:val="center"/>
            <w:hideMark/>
          </w:tcPr>
          <w:p w14:paraId="2D04015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24 444</w:t>
            </w:r>
          </w:p>
        </w:tc>
        <w:tc>
          <w:tcPr>
            <w:tcW w:w="1134" w:type="dxa"/>
            <w:tcBorders>
              <w:top w:val="nil"/>
              <w:left w:val="nil"/>
              <w:bottom w:val="single" w:sz="8" w:space="0" w:color="auto"/>
              <w:right w:val="single" w:sz="8" w:space="0" w:color="auto"/>
            </w:tcBorders>
            <w:shd w:val="clear" w:color="auto" w:fill="auto"/>
            <w:noWrap/>
            <w:vAlign w:val="center"/>
            <w:hideMark/>
          </w:tcPr>
          <w:p w14:paraId="0DB37B5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13 884</w:t>
            </w:r>
          </w:p>
        </w:tc>
        <w:tc>
          <w:tcPr>
            <w:tcW w:w="992" w:type="dxa"/>
            <w:tcBorders>
              <w:top w:val="nil"/>
              <w:left w:val="nil"/>
              <w:bottom w:val="single" w:sz="8" w:space="0" w:color="auto"/>
              <w:right w:val="single" w:sz="8" w:space="0" w:color="auto"/>
            </w:tcBorders>
            <w:shd w:val="clear" w:color="auto" w:fill="auto"/>
            <w:noWrap/>
            <w:vAlign w:val="center"/>
            <w:hideMark/>
          </w:tcPr>
          <w:p w14:paraId="398E5B5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3 942</w:t>
            </w:r>
          </w:p>
        </w:tc>
        <w:tc>
          <w:tcPr>
            <w:tcW w:w="1417" w:type="dxa"/>
            <w:tcBorders>
              <w:top w:val="nil"/>
              <w:left w:val="nil"/>
              <w:bottom w:val="single" w:sz="8" w:space="0" w:color="auto"/>
              <w:right w:val="single" w:sz="8" w:space="0" w:color="auto"/>
            </w:tcBorders>
            <w:shd w:val="clear" w:color="auto" w:fill="auto"/>
            <w:vAlign w:val="center"/>
            <w:hideMark/>
          </w:tcPr>
          <w:p w14:paraId="25530A0D" w14:textId="77777777" w:rsidR="00F03F06" w:rsidRPr="00243148" w:rsidRDefault="00F03F06" w:rsidP="00613F23">
            <w:pPr>
              <w:spacing w:after="0" w:line="240" w:lineRule="auto"/>
              <w:jc w:val="right"/>
              <w:rPr>
                <w:rFonts w:eastAsia="Times New Roman"/>
                <w:b/>
                <w:bCs/>
                <w:sz w:val="20"/>
                <w:szCs w:val="20"/>
              </w:rPr>
            </w:pPr>
            <w:r w:rsidRPr="00243148">
              <w:rPr>
                <w:rFonts w:eastAsia="Times New Roman"/>
                <w:b/>
                <w:bCs/>
                <w:sz w:val="20"/>
                <w:szCs w:val="20"/>
              </w:rPr>
              <w:t>400 748</w:t>
            </w:r>
          </w:p>
        </w:tc>
      </w:tr>
      <w:tr w:rsidR="00F03F06" w:rsidRPr="00243148" w14:paraId="78909680" w14:textId="77777777" w:rsidTr="00C633AF">
        <w:trPr>
          <w:trHeight w:val="30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2EA55DF1" w14:textId="77777777" w:rsidR="00F03F06" w:rsidRPr="00243148" w:rsidRDefault="00F03F06" w:rsidP="00243148">
            <w:pPr>
              <w:spacing w:after="0" w:line="240" w:lineRule="auto"/>
              <w:jc w:val="left"/>
              <w:rPr>
                <w:rFonts w:eastAsia="Times New Roman"/>
                <w:sz w:val="20"/>
                <w:szCs w:val="20"/>
              </w:rPr>
            </w:pPr>
            <w:r w:rsidRPr="00243148">
              <w:rPr>
                <w:rFonts w:eastAsia="Times New Roman"/>
                <w:sz w:val="20"/>
                <w:szCs w:val="20"/>
              </w:rPr>
              <w:t>under-coverage (</w:t>
            </w:r>
            <w:r w:rsidR="00243148">
              <w:rPr>
                <w:rFonts w:eastAsia="Times New Roman"/>
                <w:sz w:val="20"/>
                <w:szCs w:val="20"/>
              </w:rPr>
              <w:t>odhadovaná</w:t>
            </w:r>
            <w:r w:rsidRPr="00243148">
              <w:rPr>
                <w:rFonts w:eastAsia="Times New Roman"/>
                <w:sz w:val="20"/>
                <w:szCs w:val="20"/>
              </w:rPr>
              <w:t>)</w:t>
            </w:r>
          </w:p>
        </w:tc>
        <w:tc>
          <w:tcPr>
            <w:tcW w:w="957" w:type="dxa"/>
            <w:tcBorders>
              <w:top w:val="nil"/>
              <w:left w:val="nil"/>
              <w:bottom w:val="single" w:sz="8" w:space="0" w:color="auto"/>
              <w:right w:val="single" w:sz="8" w:space="0" w:color="auto"/>
            </w:tcBorders>
            <w:shd w:val="clear" w:color="auto" w:fill="auto"/>
            <w:noWrap/>
            <w:vAlign w:val="center"/>
            <w:hideMark/>
          </w:tcPr>
          <w:p w14:paraId="1911B7B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963</w:t>
            </w:r>
          </w:p>
        </w:tc>
        <w:tc>
          <w:tcPr>
            <w:tcW w:w="992" w:type="dxa"/>
            <w:tcBorders>
              <w:top w:val="nil"/>
              <w:left w:val="nil"/>
              <w:bottom w:val="single" w:sz="8" w:space="0" w:color="auto"/>
              <w:right w:val="single" w:sz="8" w:space="0" w:color="auto"/>
            </w:tcBorders>
            <w:shd w:val="clear" w:color="auto" w:fill="auto"/>
            <w:noWrap/>
            <w:vAlign w:val="center"/>
            <w:hideMark/>
          </w:tcPr>
          <w:p w14:paraId="57C11D00"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2 836</w:t>
            </w:r>
          </w:p>
        </w:tc>
        <w:tc>
          <w:tcPr>
            <w:tcW w:w="1134" w:type="dxa"/>
            <w:tcBorders>
              <w:top w:val="nil"/>
              <w:left w:val="nil"/>
              <w:bottom w:val="single" w:sz="8" w:space="0" w:color="auto"/>
              <w:right w:val="single" w:sz="8" w:space="0" w:color="auto"/>
            </w:tcBorders>
            <w:shd w:val="clear" w:color="auto" w:fill="auto"/>
            <w:noWrap/>
            <w:vAlign w:val="center"/>
            <w:hideMark/>
          </w:tcPr>
          <w:p w14:paraId="2682741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6 013</w:t>
            </w:r>
          </w:p>
        </w:tc>
        <w:tc>
          <w:tcPr>
            <w:tcW w:w="993" w:type="dxa"/>
            <w:tcBorders>
              <w:top w:val="nil"/>
              <w:left w:val="nil"/>
              <w:bottom w:val="single" w:sz="8" w:space="0" w:color="auto"/>
              <w:right w:val="single" w:sz="8" w:space="0" w:color="auto"/>
            </w:tcBorders>
            <w:shd w:val="clear" w:color="auto" w:fill="auto"/>
            <w:noWrap/>
            <w:vAlign w:val="center"/>
            <w:hideMark/>
          </w:tcPr>
          <w:p w14:paraId="75ABC60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3 393</w:t>
            </w:r>
          </w:p>
        </w:tc>
        <w:tc>
          <w:tcPr>
            <w:tcW w:w="992" w:type="dxa"/>
            <w:tcBorders>
              <w:top w:val="nil"/>
              <w:left w:val="nil"/>
              <w:bottom w:val="single" w:sz="8" w:space="0" w:color="auto"/>
              <w:right w:val="single" w:sz="8" w:space="0" w:color="auto"/>
            </w:tcBorders>
            <w:shd w:val="clear" w:color="auto" w:fill="auto"/>
            <w:noWrap/>
            <w:vAlign w:val="center"/>
            <w:hideMark/>
          </w:tcPr>
          <w:p w14:paraId="59D90589"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2 340</w:t>
            </w:r>
          </w:p>
        </w:tc>
        <w:tc>
          <w:tcPr>
            <w:tcW w:w="850" w:type="dxa"/>
            <w:tcBorders>
              <w:top w:val="nil"/>
              <w:left w:val="nil"/>
              <w:bottom w:val="single" w:sz="8" w:space="0" w:color="auto"/>
              <w:right w:val="single" w:sz="8" w:space="0" w:color="auto"/>
            </w:tcBorders>
            <w:shd w:val="clear" w:color="auto" w:fill="auto"/>
            <w:noWrap/>
            <w:vAlign w:val="center"/>
            <w:hideMark/>
          </w:tcPr>
          <w:p w14:paraId="75B6308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218</w:t>
            </w:r>
          </w:p>
        </w:tc>
        <w:tc>
          <w:tcPr>
            <w:tcW w:w="993" w:type="dxa"/>
            <w:tcBorders>
              <w:top w:val="nil"/>
              <w:left w:val="nil"/>
              <w:bottom w:val="single" w:sz="8" w:space="0" w:color="auto"/>
              <w:right w:val="single" w:sz="8" w:space="0" w:color="auto"/>
            </w:tcBorders>
            <w:shd w:val="clear" w:color="auto" w:fill="auto"/>
            <w:noWrap/>
            <w:vAlign w:val="center"/>
            <w:hideMark/>
          </w:tcPr>
          <w:p w14:paraId="696FDFF6"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926</w:t>
            </w:r>
          </w:p>
        </w:tc>
        <w:tc>
          <w:tcPr>
            <w:tcW w:w="992" w:type="dxa"/>
            <w:tcBorders>
              <w:top w:val="nil"/>
              <w:left w:val="nil"/>
              <w:bottom w:val="single" w:sz="8" w:space="0" w:color="auto"/>
              <w:right w:val="single" w:sz="8" w:space="0" w:color="auto"/>
            </w:tcBorders>
            <w:shd w:val="clear" w:color="auto" w:fill="auto"/>
            <w:noWrap/>
            <w:vAlign w:val="center"/>
            <w:hideMark/>
          </w:tcPr>
          <w:p w14:paraId="03EFE09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2 065</w:t>
            </w:r>
          </w:p>
        </w:tc>
        <w:tc>
          <w:tcPr>
            <w:tcW w:w="1134" w:type="dxa"/>
            <w:tcBorders>
              <w:top w:val="nil"/>
              <w:left w:val="nil"/>
              <w:bottom w:val="single" w:sz="8" w:space="0" w:color="auto"/>
              <w:right w:val="single" w:sz="8" w:space="0" w:color="auto"/>
            </w:tcBorders>
            <w:shd w:val="clear" w:color="auto" w:fill="auto"/>
            <w:noWrap/>
            <w:vAlign w:val="center"/>
            <w:hideMark/>
          </w:tcPr>
          <w:p w14:paraId="248712B7"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4 100</w:t>
            </w:r>
          </w:p>
        </w:tc>
        <w:tc>
          <w:tcPr>
            <w:tcW w:w="992" w:type="dxa"/>
            <w:tcBorders>
              <w:top w:val="nil"/>
              <w:left w:val="nil"/>
              <w:bottom w:val="single" w:sz="8" w:space="0" w:color="auto"/>
              <w:right w:val="single" w:sz="8" w:space="0" w:color="auto"/>
            </w:tcBorders>
            <w:shd w:val="clear" w:color="auto" w:fill="auto"/>
            <w:noWrap/>
            <w:vAlign w:val="center"/>
            <w:hideMark/>
          </w:tcPr>
          <w:p w14:paraId="6CE5A981"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1 598</w:t>
            </w:r>
          </w:p>
        </w:tc>
        <w:tc>
          <w:tcPr>
            <w:tcW w:w="1134" w:type="dxa"/>
            <w:tcBorders>
              <w:top w:val="nil"/>
              <w:left w:val="nil"/>
              <w:bottom w:val="single" w:sz="8" w:space="0" w:color="auto"/>
              <w:right w:val="single" w:sz="8" w:space="0" w:color="auto"/>
            </w:tcBorders>
            <w:shd w:val="clear" w:color="auto" w:fill="auto"/>
            <w:noWrap/>
            <w:vAlign w:val="center"/>
            <w:hideMark/>
          </w:tcPr>
          <w:p w14:paraId="41A4AE7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1 324</w:t>
            </w:r>
          </w:p>
        </w:tc>
        <w:tc>
          <w:tcPr>
            <w:tcW w:w="992" w:type="dxa"/>
            <w:tcBorders>
              <w:top w:val="nil"/>
              <w:left w:val="nil"/>
              <w:bottom w:val="single" w:sz="8" w:space="0" w:color="auto"/>
              <w:right w:val="single" w:sz="8" w:space="0" w:color="auto"/>
            </w:tcBorders>
            <w:shd w:val="clear" w:color="auto" w:fill="auto"/>
            <w:noWrap/>
            <w:vAlign w:val="center"/>
            <w:hideMark/>
          </w:tcPr>
          <w:p w14:paraId="65C563E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203</w:t>
            </w:r>
          </w:p>
        </w:tc>
        <w:tc>
          <w:tcPr>
            <w:tcW w:w="1417" w:type="dxa"/>
            <w:tcBorders>
              <w:top w:val="nil"/>
              <w:left w:val="nil"/>
              <w:bottom w:val="single" w:sz="8" w:space="0" w:color="auto"/>
              <w:right w:val="single" w:sz="8" w:space="0" w:color="auto"/>
            </w:tcBorders>
            <w:shd w:val="clear" w:color="auto" w:fill="auto"/>
            <w:vAlign w:val="center"/>
            <w:hideMark/>
          </w:tcPr>
          <w:p w14:paraId="6096142B" w14:textId="77777777" w:rsidR="00F03F06" w:rsidRPr="00243148" w:rsidRDefault="00F03F06" w:rsidP="00613F23">
            <w:pPr>
              <w:spacing w:after="0" w:line="240" w:lineRule="auto"/>
              <w:jc w:val="right"/>
              <w:rPr>
                <w:rFonts w:eastAsia="Times New Roman"/>
                <w:b/>
                <w:bCs/>
                <w:sz w:val="20"/>
                <w:szCs w:val="20"/>
              </w:rPr>
            </w:pPr>
            <w:r w:rsidRPr="00243148">
              <w:rPr>
                <w:rFonts w:eastAsia="Times New Roman"/>
                <w:b/>
                <w:bCs/>
                <w:sz w:val="20"/>
                <w:szCs w:val="20"/>
              </w:rPr>
              <w:t>25 979</w:t>
            </w:r>
          </w:p>
        </w:tc>
      </w:tr>
      <w:tr w:rsidR="00F03F06" w:rsidRPr="00243148" w14:paraId="1B133763" w14:textId="77777777" w:rsidTr="00C633AF">
        <w:trPr>
          <w:trHeight w:val="288"/>
        </w:trPr>
        <w:tc>
          <w:tcPr>
            <w:tcW w:w="1701" w:type="dxa"/>
            <w:tcBorders>
              <w:top w:val="nil"/>
              <w:left w:val="single" w:sz="8" w:space="0" w:color="auto"/>
              <w:bottom w:val="nil"/>
              <w:right w:val="single" w:sz="8" w:space="0" w:color="auto"/>
            </w:tcBorders>
            <w:shd w:val="clear" w:color="auto" w:fill="auto"/>
            <w:noWrap/>
            <w:vAlign w:val="center"/>
            <w:hideMark/>
          </w:tcPr>
          <w:p w14:paraId="5DEAA762" w14:textId="77777777" w:rsidR="00F03F06" w:rsidRPr="00243148" w:rsidRDefault="00F03F06" w:rsidP="00613F23">
            <w:pPr>
              <w:spacing w:after="0" w:line="240" w:lineRule="auto"/>
              <w:jc w:val="left"/>
              <w:rPr>
                <w:rFonts w:eastAsia="Times New Roman"/>
                <w:sz w:val="20"/>
                <w:szCs w:val="20"/>
              </w:rPr>
            </w:pPr>
            <w:r w:rsidRPr="00243148">
              <w:rPr>
                <w:rFonts w:eastAsia="Times New Roman"/>
                <w:sz w:val="20"/>
                <w:szCs w:val="20"/>
              </w:rPr>
              <w:t xml:space="preserve">over-coverage </w:t>
            </w:r>
          </w:p>
        </w:tc>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24303F"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227</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5BABF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397</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E0FCB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1 041</w:t>
            </w:r>
          </w:p>
        </w:tc>
        <w:tc>
          <w:tcPr>
            <w:tcW w:w="9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4BFE7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373</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6D794A"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47</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D2DADC"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w:t>
            </w:r>
          </w:p>
        </w:tc>
        <w:tc>
          <w:tcPr>
            <w:tcW w:w="9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22EEA1"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228</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2985FC"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224</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05D2CF"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397</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754D3A"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136</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2097FD"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24</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73B0BC"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284FDE63" w14:textId="77777777" w:rsidR="00F03F06" w:rsidRPr="00243148" w:rsidRDefault="00F03F06" w:rsidP="00613F23">
            <w:pPr>
              <w:spacing w:after="0" w:line="240" w:lineRule="auto"/>
              <w:jc w:val="right"/>
              <w:rPr>
                <w:rFonts w:eastAsia="Times New Roman"/>
                <w:b/>
                <w:bCs/>
                <w:sz w:val="20"/>
                <w:szCs w:val="20"/>
              </w:rPr>
            </w:pPr>
            <w:r w:rsidRPr="00243148">
              <w:rPr>
                <w:rFonts w:eastAsia="Times New Roman"/>
                <w:b/>
                <w:bCs/>
                <w:sz w:val="20"/>
                <w:szCs w:val="20"/>
              </w:rPr>
              <w:t>3 097</w:t>
            </w:r>
          </w:p>
        </w:tc>
      </w:tr>
      <w:tr w:rsidR="00F03F06" w:rsidRPr="00243148" w14:paraId="1B817A5A" w14:textId="77777777" w:rsidTr="00C633AF">
        <w:trPr>
          <w:trHeight w:val="300"/>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B408604" w14:textId="77777777" w:rsidR="00F03F06" w:rsidRPr="00243148" w:rsidRDefault="00F03F06" w:rsidP="00243148">
            <w:pPr>
              <w:spacing w:after="0" w:line="240" w:lineRule="auto"/>
              <w:jc w:val="left"/>
              <w:rPr>
                <w:rFonts w:eastAsia="Times New Roman"/>
                <w:sz w:val="20"/>
                <w:szCs w:val="20"/>
              </w:rPr>
            </w:pPr>
            <w:r w:rsidRPr="00243148">
              <w:rPr>
                <w:rFonts w:eastAsia="Times New Roman"/>
                <w:sz w:val="20"/>
                <w:szCs w:val="20"/>
              </w:rPr>
              <w:t>(</w:t>
            </w:r>
            <w:r w:rsidR="00243148">
              <w:rPr>
                <w:rFonts w:eastAsia="Times New Roman"/>
                <w:sz w:val="20"/>
                <w:szCs w:val="20"/>
              </w:rPr>
              <w:t>odhadovaná</w:t>
            </w:r>
            <w:r w:rsidRPr="00243148">
              <w:rPr>
                <w:rFonts w:eastAsia="Times New Roman"/>
                <w:sz w:val="20"/>
                <w:szCs w:val="20"/>
              </w:rPr>
              <w:t>)</w:t>
            </w:r>
          </w:p>
        </w:tc>
        <w:tc>
          <w:tcPr>
            <w:tcW w:w="957" w:type="dxa"/>
            <w:vMerge/>
            <w:tcBorders>
              <w:top w:val="nil"/>
              <w:left w:val="single" w:sz="8" w:space="0" w:color="auto"/>
              <w:bottom w:val="single" w:sz="8" w:space="0" w:color="000000"/>
              <w:right w:val="single" w:sz="8" w:space="0" w:color="auto"/>
            </w:tcBorders>
            <w:vAlign w:val="center"/>
            <w:hideMark/>
          </w:tcPr>
          <w:p w14:paraId="05621203" w14:textId="77777777" w:rsidR="00F03F06" w:rsidRPr="00243148" w:rsidRDefault="00F03F06" w:rsidP="00613F23">
            <w:pPr>
              <w:spacing w:after="0" w:line="240" w:lineRule="auto"/>
              <w:jc w:val="left"/>
              <w:rPr>
                <w:rFonts w:eastAsia="Times New Roman"/>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E59A64E" w14:textId="77777777" w:rsidR="00F03F06" w:rsidRPr="00243148" w:rsidRDefault="00F03F06" w:rsidP="00613F23">
            <w:pPr>
              <w:spacing w:after="0" w:line="240" w:lineRule="auto"/>
              <w:jc w:val="left"/>
              <w:rPr>
                <w:rFonts w:eastAsia="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04DAE10" w14:textId="77777777" w:rsidR="00F03F06" w:rsidRPr="00243148" w:rsidRDefault="00F03F06" w:rsidP="00613F23">
            <w:pPr>
              <w:spacing w:after="0" w:line="240" w:lineRule="auto"/>
              <w:jc w:val="left"/>
              <w:rPr>
                <w:rFonts w:eastAsia="Times New Roman"/>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6F1B90B3" w14:textId="77777777" w:rsidR="00F03F06" w:rsidRPr="00243148" w:rsidRDefault="00F03F06" w:rsidP="00613F23">
            <w:pPr>
              <w:spacing w:after="0" w:line="240" w:lineRule="auto"/>
              <w:jc w:val="left"/>
              <w:rPr>
                <w:rFonts w:eastAsia="Times New Roman"/>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F8B0AA8" w14:textId="77777777" w:rsidR="00F03F06" w:rsidRPr="00243148" w:rsidRDefault="00F03F06" w:rsidP="00613F23">
            <w:pPr>
              <w:spacing w:after="0" w:line="240" w:lineRule="auto"/>
              <w:jc w:val="left"/>
              <w:rPr>
                <w:rFonts w:eastAsia="Times New Roman"/>
                <w:sz w:val="20"/>
                <w:szCs w:val="20"/>
              </w:rPr>
            </w:pPr>
          </w:p>
        </w:tc>
        <w:tc>
          <w:tcPr>
            <w:tcW w:w="850" w:type="dxa"/>
            <w:vMerge/>
            <w:tcBorders>
              <w:top w:val="nil"/>
              <w:left w:val="single" w:sz="8" w:space="0" w:color="auto"/>
              <w:bottom w:val="single" w:sz="8" w:space="0" w:color="000000"/>
              <w:right w:val="single" w:sz="8" w:space="0" w:color="auto"/>
            </w:tcBorders>
            <w:vAlign w:val="center"/>
            <w:hideMark/>
          </w:tcPr>
          <w:p w14:paraId="64248A99" w14:textId="77777777" w:rsidR="00F03F06" w:rsidRPr="00243148" w:rsidRDefault="00F03F06" w:rsidP="00613F23">
            <w:pPr>
              <w:spacing w:after="0" w:line="240" w:lineRule="auto"/>
              <w:jc w:val="left"/>
              <w:rPr>
                <w:rFonts w:eastAsia="Times New Roman"/>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68E5F8EE" w14:textId="77777777" w:rsidR="00F03F06" w:rsidRPr="00243148" w:rsidRDefault="00F03F06" w:rsidP="00613F23">
            <w:pPr>
              <w:spacing w:after="0" w:line="240" w:lineRule="auto"/>
              <w:jc w:val="left"/>
              <w:rPr>
                <w:rFonts w:eastAsia="Times New Roman"/>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98BAB22" w14:textId="77777777" w:rsidR="00F03F06" w:rsidRPr="00243148" w:rsidRDefault="00F03F06" w:rsidP="00613F23">
            <w:pPr>
              <w:spacing w:after="0" w:line="240" w:lineRule="auto"/>
              <w:jc w:val="left"/>
              <w:rPr>
                <w:rFonts w:eastAsia="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E312E09" w14:textId="77777777" w:rsidR="00F03F06" w:rsidRPr="00243148" w:rsidRDefault="00F03F06" w:rsidP="00613F23">
            <w:pPr>
              <w:spacing w:after="0" w:line="240" w:lineRule="auto"/>
              <w:jc w:val="left"/>
              <w:rPr>
                <w:rFonts w:eastAsia="Times New Roman"/>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FC004AF" w14:textId="77777777" w:rsidR="00F03F06" w:rsidRPr="00243148" w:rsidRDefault="00F03F06" w:rsidP="00613F23">
            <w:pPr>
              <w:spacing w:after="0" w:line="240" w:lineRule="auto"/>
              <w:jc w:val="left"/>
              <w:rPr>
                <w:rFonts w:eastAsia="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4807941" w14:textId="77777777" w:rsidR="00F03F06" w:rsidRPr="00243148" w:rsidRDefault="00F03F06" w:rsidP="00613F23">
            <w:pPr>
              <w:spacing w:after="0" w:line="240" w:lineRule="auto"/>
              <w:jc w:val="left"/>
              <w:rPr>
                <w:rFonts w:eastAsia="Times New Roman"/>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FB8779F" w14:textId="77777777" w:rsidR="00F03F06" w:rsidRPr="00243148" w:rsidRDefault="00F03F06" w:rsidP="00613F23">
            <w:pPr>
              <w:spacing w:after="0" w:line="240" w:lineRule="auto"/>
              <w:jc w:val="left"/>
              <w:rPr>
                <w:rFonts w:eastAsia="Times New Roman"/>
                <w:sz w:val="20"/>
                <w:szCs w:val="20"/>
              </w:rPr>
            </w:pPr>
          </w:p>
        </w:tc>
        <w:tc>
          <w:tcPr>
            <w:tcW w:w="1417" w:type="dxa"/>
            <w:vMerge/>
            <w:tcBorders>
              <w:top w:val="nil"/>
              <w:left w:val="single" w:sz="8" w:space="0" w:color="auto"/>
              <w:bottom w:val="single" w:sz="8" w:space="0" w:color="000000"/>
              <w:right w:val="single" w:sz="8" w:space="0" w:color="auto"/>
            </w:tcBorders>
            <w:vAlign w:val="center"/>
            <w:hideMark/>
          </w:tcPr>
          <w:p w14:paraId="12D1F3C5" w14:textId="77777777" w:rsidR="00F03F06" w:rsidRPr="00243148" w:rsidRDefault="00F03F06" w:rsidP="00613F23">
            <w:pPr>
              <w:spacing w:after="0" w:line="240" w:lineRule="auto"/>
              <w:jc w:val="left"/>
              <w:rPr>
                <w:rFonts w:eastAsia="Times New Roman"/>
                <w:b/>
                <w:bCs/>
                <w:sz w:val="20"/>
                <w:szCs w:val="20"/>
              </w:rPr>
            </w:pPr>
          </w:p>
        </w:tc>
      </w:tr>
      <w:tr w:rsidR="00F03F06" w:rsidRPr="00243148" w14:paraId="5FE28EE1" w14:textId="77777777" w:rsidTr="00C633AF">
        <w:trPr>
          <w:trHeight w:val="375"/>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513F817F" w14:textId="77777777" w:rsidR="00F03F06" w:rsidRPr="00243148" w:rsidRDefault="00243148" w:rsidP="00613F23">
            <w:pPr>
              <w:spacing w:after="0" w:line="240" w:lineRule="auto"/>
              <w:jc w:val="left"/>
              <w:rPr>
                <w:rFonts w:eastAsia="Times New Roman"/>
                <w:sz w:val="20"/>
                <w:szCs w:val="20"/>
              </w:rPr>
            </w:pPr>
            <w:r>
              <w:rPr>
                <w:rFonts w:eastAsia="Times New Roman"/>
                <w:sz w:val="20"/>
                <w:szCs w:val="20"/>
              </w:rPr>
              <w:t>Odhadovaná cílová populace</w:t>
            </w:r>
          </w:p>
        </w:tc>
        <w:tc>
          <w:tcPr>
            <w:tcW w:w="957" w:type="dxa"/>
            <w:tcBorders>
              <w:top w:val="nil"/>
              <w:left w:val="nil"/>
              <w:bottom w:val="single" w:sz="8" w:space="0" w:color="auto"/>
              <w:right w:val="single" w:sz="8" w:space="0" w:color="auto"/>
            </w:tcBorders>
            <w:shd w:val="clear" w:color="auto" w:fill="auto"/>
            <w:noWrap/>
            <w:vAlign w:val="center"/>
            <w:hideMark/>
          </w:tcPr>
          <w:p w14:paraId="0C57C4D3"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867 058</w:t>
            </w:r>
          </w:p>
        </w:tc>
        <w:tc>
          <w:tcPr>
            <w:tcW w:w="992" w:type="dxa"/>
            <w:tcBorders>
              <w:top w:val="nil"/>
              <w:left w:val="nil"/>
              <w:bottom w:val="single" w:sz="8" w:space="0" w:color="auto"/>
              <w:right w:val="single" w:sz="8" w:space="0" w:color="auto"/>
            </w:tcBorders>
            <w:shd w:val="clear" w:color="auto" w:fill="auto"/>
            <w:noWrap/>
            <w:vAlign w:val="center"/>
            <w:hideMark/>
          </w:tcPr>
          <w:p w14:paraId="1E26846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809 923</w:t>
            </w:r>
          </w:p>
        </w:tc>
        <w:tc>
          <w:tcPr>
            <w:tcW w:w="1134" w:type="dxa"/>
            <w:tcBorders>
              <w:top w:val="nil"/>
              <w:left w:val="nil"/>
              <w:bottom w:val="single" w:sz="8" w:space="0" w:color="auto"/>
              <w:right w:val="single" w:sz="8" w:space="0" w:color="auto"/>
            </w:tcBorders>
            <w:shd w:val="clear" w:color="auto" w:fill="auto"/>
            <w:noWrap/>
            <w:vAlign w:val="center"/>
            <w:hideMark/>
          </w:tcPr>
          <w:p w14:paraId="46B254A2"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1 627 714</w:t>
            </w:r>
          </w:p>
        </w:tc>
        <w:tc>
          <w:tcPr>
            <w:tcW w:w="993" w:type="dxa"/>
            <w:tcBorders>
              <w:top w:val="nil"/>
              <w:left w:val="nil"/>
              <w:bottom w:val="single" w:sz="8" w:space="0" w:color="auto"/>
              <w:right w:val="single" w:sz="8" w:space="0" w:color="auto"/>
            </w:tcBorders>
            <w:shd w:val="clear" w:color="auto" w:fill="auto"/>
            <w:noWrap/>
            <w:vAlign w:val="center"/>
            <w:hideMark/>
          </w:tcPr>
          <w:p w14:paraId="4265B64D"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989 645</w:t>
            </w:r>
          </w:p>
        </w:tc>
        <w:tc>
          <w:tcPr>
            <w:tcW w:w="992" w:type="dxa"/>
            <w:tcBorders>
              <w:top w:val="nil"/>
              <w:left w:val="nil"/>
              <w:bottom w:val="single" w:sz="8" w:space="0" w:color="auto"/>
              <w:right w:val="single" w:sz="8" w:space="0" w:color="auto"/>
            </w:tcBorders>
            <w:shd w:val="clear" w:color="auto" w:fill="auto"/>
            <w:noWrap/>
            <w:vAlign w:val="center"/>
            <w:hideMark/>
          </w:tcPr>
          <w:p w14:paraId="530F6D95"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846 308</w:t>
            </w:r>
          </w:p>
        </w:tc>
        <w:tc>
          <w:tcPr>
            <w:tcW w:w="850" w:type="dxa"/>
            <w:tcBorders>
              <w:top w:val="nil"/>
              <w:left w:val="nil"/>
              <w:bottom w:val="single" w:sz="8" w:space="0" w:color="auto"/>
              <w:right w:val="single" w:sz="8" w:space="0" w:color="auto"/>
            </w:tcBorders>
            <w:shd w:val="clear" w:color="auto" w:fill="auto"/>
            <w:noWrap/>
            <w:vAlign w:val="center"/>
            <w:hideMark/>
          </w:tcPr>
          <w:p w14:paraId="11EBBD28"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59 576</w:t>
            </w:r>
          </w:p>
        </w:tc>
        <w:tc>
          <w:tcPr>
            <w:tcW w:w="993" w:type="dxa"/>
            <w:tcBorders>
              <w:top w:val="nil"/>
              <w:left w:val="nil"/>
              <w:bottom w:val="single" w:sz="8" w:space="0" w:color="auto"/>
              <w:right w:val="single" w:sz="8" w:space="0" w:color="auto"/>
            </w:tcBorders>
            <w:shd w:val="clear" w:color="auto" w:fill="auto"/>
            <w:noWrap/>
            <w:vAlign w:val="center"/>
            <w:hideMark/>
          </w:tcPr>
          <w:p w14:paraId="1BC45AB6"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826 136</w:t>
            </w:r>
          </w:p>
        </w:tc>
        <w:tc>
          <w:tcPr>
            <w:tcW w:w="992" w:type="dxa"/>
            <w:tcBorders>
              <w:top w:val="nil"/>
              <w:left w:val="nil"/>
              <w:bottom w:val="single" w:sz="8" w:space="0" w:color="auto"/>
              <w:right w:val="single" w:sz="8" w:space="0" w:color="auto"/>
            </w:tcBorders>
            <w:shd w:val="clear" w:color="auto" w:fill="auto"/>
            <w:noWrap/>
            <w:vAlign w:val="center"/>
            <w:hideMark/>
          </w:tcPr>
          <w:p w14:paraId="56D8ADEA"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762 424</w:t>
            </w:r>
          </w:p>
        </w:tc>
        <w:tc>
          <w:tcPr>
            <w:tcW w:w="1134" w:type="dxa"/>
            <w:tcBorders>
              <w:top w:val="nil"/>
              <w:left w:val="nil"/>
              <w:bottom w:val="single" w:sz="8" w:space="0" w:color="auto"/>
              <w:right w:val="single" w:sz="8" w:space="0" w:color="auto"/>
            </w:tcBorders>
            <w:shd w:val="clear" w:color="auto" w:fill="auto"/>
            <w:noWrap/>
            <w:vAlign w:val="center"/>
            <w:hideMark/>
          </w:tcPr>
          <w:p w14:paraId="5194D3E1"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1 526 144</w:t>
            </w:r>
          </w:p>
        </w:tc>
        <w:tc>
          <w:tcPr>
            <w:tcW w:w="992" w:type="dxa"/>
            <w:tcBorders>
              <w:top w:val="nil"/>
              <w:left w:val="nil"/>
              <w:bottom w:val="single" w:sz="8" w:space="0" w:color="auto"/>
              <w:right w:val="single" w:sz="8" w:space="0" w:color="auto"/>
            </w:tcBorders>
            <w:shd w:val="clear" w:color="auto" w:fill="auto"/>
            <w:noWrap/>
            <w:vAlign w:val="center"/>
            <w:hideMark/>
          </w:tcPr>
          <w:p w14:paraId="559151D4"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985 946</w:t>
            </w:r>
          </w:p>
        </w:tc>
        <w:tc>
          <w:tcPr>
            <w:tcW w:w="1134" w:type="dxa"/>
            <w:tcBorders>
              <w:top w:val="nil"/>
              <w:left w:val="nil"/>
              <w:bottom w:val="single" w:sz="8" w:space="0" w:color="auto"/>
              <w:right w:val="single" w:sz="8" w:space="0" w:color="auto"/>
            </w:tcBorders>
            <w:shd w:val="clear" w:color="auto" w:fill="auto"/>
            <w:noWrap/>
            <w:vAlign w:val="center"/>
            <w:hideMark/>
          </w:tcPr>
          <w:p w14:paraId="42FD0BDB"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1 106 736</w:t>
            </w:r>
          </w:p>
        </w:tc>
        <w:tc>
          <w:tcPr>
            <w:tcW w:w="992" w:type="dxa"/>
            <w:tcBorders>
              <w:top w:val="nil"/>
              <w:left w:val="nil"/>
              <w:bottom w:val="single" w:sz="8" w:space="0" w:color="auto"/>
              <w:right w:val="single" w:sz="8" w:space="0" w:color="auto"/>
            </w:tcBorders>
            <w:shd w:val="clear" w:color="auto" w:fill="auto"/>
            <w:noWrap/>
            <w:vAlign w:val="center"/>
            <w:hideMark/>
          </w:tcPr>
          <w:p w14:paraId="00BCA23C" w14:textId="77777777" w:rsidR="00F03F06" w:rsidRPr="00243148" w:rsidRDefault="00F03F06" w:rsidP="00613F23">
            <w:pPr>
              <w:spacing w:after="0" w:line="240" w:lineRule="auto"/>
              <w:jc w:val="right"/>
              <w:rPr>
                <w:rFonts w:eastAsia="Times New Roman"/>
                <w:sz w:val="20"/>
                <w:szCs w:val="20"/>
              </w:rPr>
            </w:pPr>
            <w:r w:rsidRPr="00243148">
              <w:rPr>
                <w:rFonts w:eastAsia="Times New Roman"/>
                <w:sz w:val="20"/>
                <w:szCs w:val="20"/>
              </w:rPr>
              <w:t>139 439</w:t>
            </w:r>
          </w:p>
        </w:tc>
        <w:tc>
          <w:tcPr>
            <w:tcW w:w="1417" w:type="dxa"/>
            <w:tcBorders>
              <w:top w:val="nil"/>
              <w:left w:val="nil"/>
              <w:bottom w:val="single" w:sz="8" w:space="0" w:color="auto"/>
              <w:right w:val="single" w:sz="8" w:space="0" w:color="auto"/>
            </w:tcBorders>
            <w:shd w:val="clear" w:color="auto" w:fill="auto"/>
            <w:vAlign w:val="center"/>
            <w:hideMark/>
          </w:tcPr>
          <w:p w14:paraId="5FA88AD2" w14:textId="4323BADE" w:rsidR="00F03F06" w:rsidRPr="00C84058" w:rsidRDefault="004E298C" w:rsidP="004E298C">
            <w:pPr>
              <w:pStyle w:val="Odstavecseseznamem"/>
              <w:spacing w:after="0" w:line="240" w:lineRule="auto"/>
              <w:jc w:val="center"/>
              <w:rPr>
                <w:rFonts w:eastAsia="Times New Roman"/>
                <w:b/>
                <w:bCs/>
                <w:sz w:val="20"/>
                <w:szCs w:val="20"/>
              </w:rPr>
            </w:pPr>
            <w:r>
              <w:rPr>
                <w:rFonts w:eastAsia="Times New Roman"/>
                <w:b/>
                <w:bCs/>
                <w:sz w:val="20"/>
                <w:szCs w:val="20"/>
              </w:rPr>
              <w:t>10</w:t>
            </w:r>
            <w:r w:rsidR="0073727F" w:rsidRPr="00E8525A">
              <w:rPr>
                <w:rFonts w:eastAsia="Times New Roman"/>
                <w:b/>
                <w:bCs/>
                <w:sz w:val="20"/>
                <w:szCs w:val="20"/>
              </w:rPr>
              <w:t>547049</w:t>
            </w:r>
          </w:p>
        </w:tc>
      </w:tr>
    </w:tbl>
    <w:p w14:paraId="32F4E37C" w14:textId="77777777" w:rsidR="00C633AF" w:rsidRDefault="00C633AF" w:rsidP="00F03F06"/>
    <w:p w14:paraId="119024F5" w14:textId="79D7A940" w:rsidR="00967F25" w:rsidRDefault="00C633AF" w:rsidP="00F03F06">
      <w:pPr>
        <w:sectPr w:rsidR="00967F25" w:rsidSect="0099103B">
          <w:pgSz w:w="16838" w:h="11906" w:orient="landscape"/>
          <w:pgMar w:top="1418" w:right="1418" w:bottom="1418" w:left="1418" w:header="709" w:footer="709" w:gutter="0"/>
          <w:cols w:space="708"/>
          <w:docGrid w:linePitch="360"/>
        </w:sectPr>
      </w:pPr>
      <w:r>
        <w:t xml:space="preserve">Hyperkrychle pro přesnost je v příloze – </w:t>
      </w:r>
      <w:r w:rsidRPr="00C633AF">
        <w:t>Quality_report_annex_QHC2</w:t>
      </w:r>
      <w:r>
        <w:t>.xls.</w:t>
      </w:r>
    </w:p>
    <w:p w14:paraId="61E68EF6" w14:textId="77777777" w:rsidR="00F03F06" w:rsidRDefault="00C84058" w:rsidP="00C84058">
      <w:pPr>
        <w:pStyle w:val="Nadpis2"/>
        <w:numPr>
          <w:ilvl w:val="0"/>
          <w:numId w:val="0"/>
        </w:numPr>
        <w:ind w:left="851" w:hanging="851"/>
      </w:pPr>
      <w:bookmarkStart w:id="37" w:name="_Toc166756722"/>
      <w:r>
        <w:lastRenderedPageBreak/>
        <w:t>4.5</w:t>
      </w:r>
      <w:r>
        <w:tab/>
        <w:t>Úplnost</w:t>
      </w:r>
      <w:bookmarkEnd w:id="37"/>
    </w:p>
    <w:p w14:paraId="650769E7" w14:textId="77777777" w:rsidR="00C84058" w:rsidRDefault="00C84058" w:rsidP="00C84058">
      <w:r w:rsidRPr="00C84058">
        <w:t xml:space="preserve">Pro zajištění úplnosti ČSÚ </w:t>
      </w:r>
      <w:r w:rsidR="00F26C5B">
        <w:t xml:space="preserve">prováděl </w:t>
      </w:r>
      <w:r w:rsidRPr="00C84058">
        <w:t>řadu činností, jako jsou osvětové kampaně, cílené oslovování obtížně dostupných skupin obyvatelstva a přísná opatření pro kontrolu kvality. Kombinace údajů z registru obyvatel, dalších administrativních zdrojů dat a celoplošného sč</w:t>
      </w:r>
      <w:r w:rsidR="00F26C5B">
        <w:t>ítání by měla zajistit, že každá</w:t>
      </w:r>
      <w:r w:rsidRPr="00C84058">
        <w:t xml:space="preserve"> </w:t>
      </w:r>
      <w:r w:rsidR="00F26C5B">
        <w:t>osoba</w:t>
      </w:r>
      <w:r w:rsidRPr="00C84058">
        <w:t xml:space="preserve"> a každá domácnost na území České republiky byla k referenčnímu datu sečtena. </w:t>
      </w:r>
      <w:r w:rsidR="00F26C5B">
        <w:t>Osoba</w:t>
      </w:r>
      <w:r w:rsidRPr="00C84058">
        <w:t xml:space="preserve"> mohl</w:t>
      </w:r>
      <w:r w:rsidR="00F26C5B">
        <w:t>a</w:t>
      </w:r>
      <w:r w:rsidRPr="00C84058">
        <w:t xml:space="preserve"> zůstat nesečten</w:t>
      </w:r>
      <w:r w:rsidR="00F26C5B">
        <w:t>a</w:t>
      </w:r>
      <w:r w:rsidRPr="00C84058">
        <w:t xml:space="preserve"> pouze v případě, že nebyl</w:t>
      </w:r>
      <w:r w:rsidR="00F26C5B">
        <w:t>a</w:t>
      </w:r>
      <w:r w:rsidRPr="00C84058">
        <w:t xml:space="preserve"> zapsán</w:t>
      </w:r>
      <w:r w:rsidR="00F26C5B">
        <w:t>a</w:t>
      </w:r>
      <w:r w:rsidRPr="00C84058">
        <w:t xml:space="preserve"> v registru obyvatel a nevyplnil</w:t>
      </w:r>
      <w:r w:rsidR="00F26C5B">
        <w:t>a</w:t>
      </w:r>
      <w:r w:rsidRPr="00C84058">
        <w:t xml:space="preserve"> sčítací formulář.</w:t>
      </w:r>
    </w:p>
    <w:p w14:paraId="6876AA64" w14:textId="77777777" w:rsidR="00C83542" w:rsidRDefault="00086DDC" w:rsidP="00375F0D">
      <w:pPr>
        <w:pStyle w:val="Nadpis2"/>
        <w:numPr>
          <w:ilvl w:val="1"/>
          <w:numId w:val="18"/>
        </w:numPr>
        <w:ind w:hanging="795"/>
      </w:pPr>
      <w:bookmarkStart w:id="38" w:name="_Toc166756723"/>
      <w:r>
        <w:t>Relevance</w:t>
      </w:r>
      <w:bookmarkEnd w:id="38"/>
    </w:p>
    <w:p w14:paraId="2B73B89D" w14:textId="77777777" w:rsidR="00086DDC" w:rsidRDefault="00086DDC" w:rsidP="00086DDC">
      <w:r>
        <w:t>Sčítání lidu, domů a bytů 2021 bylo navrženo tak, aby maximálně splňovalo požadavky klíčových uživatelů sčítání, tj. vládních a veřejných institucí České republiky a Evropské unie (Eurostatu). To vše na základě analýzy požadavků vyplývajících z národní legislativy, evropských předpisů a mezinárodních doporučení. Při analýze potřeb uživatelů dat ze sčítání byly zohledněny požadavky vybraných uživatelů z řad veřejných institucí (ministerstva, kraje, ústřední orgány) a odborných pracovišť (vysokoškolské katedry). Výstupy z konzultací s uživateli byly využity při definování Strategie a Prioritních úkolů v rámci Sčítání lidu, domů a bytů 2021. Současně bylo analyzováno využití údajů z předchozího sčítání v roce 2011.</w:t>
      </w:r>
    </w:p>
    <w:p w14:paraId="117E234C" w14:textId="77777777" w:rsidR="00086DDC" w:rsidRDefault="00086DDC" w:rsidP="00086DDC">
      <w:r>
        <w:t>Speciální průzkum spokojenosti uživatelů s výsledky sčítání 2021 nebyl organizován. Šetření spokojenosti uživatelů k posouzení kvality statistických výstupů a služeb ČSÚ je však organizováno každé 2-3 roky a naposledy proběhlo na jaře 2022, takže se týkalo i výsledků Sčítání 2021. Při přípravě dotazníku byly jako inspirace použity informace z materiálu OSN "Měření hodnoty oficiální statistiky". Výsledky všech uživatelských šetření jsou projednávány na zasedání Kolegia předsedy ČSÚ a hlavní výsledky jsou veřejně dostupné na webových stránkách ČSÚ. Pracovníci ČSÚ si neustále rozšiřují vzdělání, spolupracují nejen interně, ale i externě s dalšími národními i mezinárodními subjekty s cílem uspokojit potřeby uživatelů na co nejvyšší úrovni.</w:t>
      </w:r>
    </w:p>
    <w:p w14:paraId="2F1CE04B" w14:textId="77777777" w:rsidR="004D6804" w:rsidRDefault="004D6804" w:rsidP="004D6804">
      <w:pPr>
        <w:pStyle w:val="Nadpis1"/>
      </w:pPr>
      <w:bookmarkStart w:id="39" w:name="_Toc166756724"/>
      <w:r>
        <w:t>VĚCNÁ KVALITA</w:t>
      </w:r>
      <w:bookmarkEnd w:id="39"/>
    </w:p>
    <w:p w14:paraId="01D5743E" w14:textId="77777777" w:rsidR="004D6804" w:rsidRPr="00033CD7" w:rsidRDefault="004D6804" w:rsidP="004D6804">
      <w:pPr>
        <w:spacing w:line="288" w:lineRule="auto"/>
      </w:pPr>
      <w:r w:rsidRPr="00033CD7">
        <w:t>Řízení kvality bylo zaměřeno na všechny procesy, které se podílely jak na přípravě sčítání (jak terénních prací, tak i podkladů pro pochůzky sčítacích komisařů, tisk listinných formulářů a dalších materiálů), tak jeho realizaci – distribuci a sběru listinných formulářů, kontrola digitalizace dat, kontroly na základě reportů předávaných z informačních systémů České pošty (např. objektů označených za neexistující či neobydlené, kontrola terénního došetření).</w:t>
      </w:r>
    </w:p>
    <w:p w14:paraId="74D91D93" w14:textId="77777777" w:rsidR="004D6804" w:rsidRPr="00033CD7" w:rsidRDefault="004D6804" w:rsidP="004D6804">
      <w:pPr>
        <w:spacing w:line="288" w:lineRule="auto"/>
      </w:pPr>
      <w:r w:rsidRPr="00033CD7">
        <w:lastRenderedPageBreak/>
        <w:t>Kontroly kvality byly prováděny při zkušebním sčítání v druhé polovině roku 2020 i během reálného sčítání v první polovině roku 2021. Kontroly kvality při zkušebním sčítání pomohly zpřesnit odhad náročnosti jednotlivých prací, především ale odhalily, na které procesy je třeba zaměřit pozornost, aby sebraná data měla co nejvyšší vypovídací hodnotu. Průběžné vyhodnocování kontrol mělo za cíl objevit slabá místa jednotlivých procesů a možnost včas reagovat na případné problémy a zajistit jejich nápravu.</w:t>
      </w:r>
    </w:p>
    <w:p w14:paraId="4850934E" w14:textId="77777777" w:rsidR="004D6804" w:rsidRPr="00033CD7" w:rsidRDefault="004D6804" w:rsidP="004D6804">
      <w:pPr>
        <w:spacing w:line="288" w:lineRule="auto"/>
      </w:pPr>
      <w:r w:rsidRPr="00033CD7">
        <w:t>Podkladem pro kontroly kvality byly Metodické listy kontrol, které přesně popsaly místo kontroly, kontrolní období, předmět kontroly, kontrolní a procesní postup, požadovanou součinnost s kontrolovaným objektem, způsob výběru kontrolovaného objektu a velikost kontrolního vzorku, standardní dobu trvání kontroly, limitní hodnoty. Na ně navazovaly pracovní postupy, které kontrolorům ČSÚ podrobně a po jednotlivých po sobě následujících krocích určily průběh a obsah kontroly. O každé provedené kontrole byl veden záznam.</w:t>
      </w:r>
    </w:p>
    <w:p w14:paraId="562FEE54" w14:textId="77777777" w:rsidR="004D6804" w:rsidRPr="00033CD7" w:rsidRDefault="004D6804" w:rsidP="004D6804">
      <w:pPr>
        <w:spacing w:line="288" w:lineRule="auto"/>
      </w:pPr>
      <w:r w:rsidRPr="00033CD7">
        <w:t xml:space="preserve">Ve zkušebním sčítání bylo provedeno celkem 635 kontrol na kontaktních a sběrných místech České pošty (dále „ČP“), dále 131 kontrol sběru listinných sčítacích formulářů (dále „LSF“) ve vybraných sčítacích obvodech, 135 kontrol vyplnění LSF, kontroly rozvozu LSF na sběrná místa, kontroly ověřeného a doplněného popisu a mapy standardních sčítacích obvodů – objektů. Kvůli šíření onemocnění COVID-19 bylo mnoho kontrol zrušeno – jak na jednotlivých sběrných místech ČP, tak i úplné zrušení kontroly ověřeného a doplněného seznamu bytů (aby kontroloři ČSÚ nevcházeli do uzavřených prostor v domech). </w:t>
      </w:r>
    </w:p>
    <w:p w14:paraId="07D6E1F0" w14:textId="77777777" w:rsidR="004D6804" w:rsidRPr="00033CD7" w:rsidRDefault="004D6804" w:rsidP="004D6804">
      <w:pPr>
        <w:spacing w:line="288" w:lineRule="auto"/>
      </w:pPr>
      <w:r w:rsidRPr="00033CD7">
        <w:t>V období reálného sčítání proběhlo celkem 2719 kontrol kontaktních míst, a 62 kontrol sběrných míst (kontrola dokumentace, monitoring činností, bezpečnost nakládání s listinnými formuláři). Dále proběhlo 469 kontrol pochůzek (distribuce LSF).</w:t>
      </w:r>
    </w:p>
    <w:p w14:paraId="59A66A5C" w14:textId="77777777" w:rsidR="004D6804" w:rsidRPr="00033CD7" w:rsidRDefault="004D6804" w:rsidP="004D6804">
      <w:pPr>
        <w:spacing w:line="288" w:lineRule="auto"/>
      </w:pPr>
      <w:r w:rsidRPr="00033CD7">
        <w:t xml:space="preserve">Na základě náhodně vybraného vzorku 258 standardních sčítacích obvodů s více než 12,2 tisíci náhodně vybranými objekty proběhla kontrola popisu a map standardních sčítacích obvodů za objekty. Kontrolu prováděli krajští pracovníci SLDB. Pracovní postup byl rozdělen do dvou fází - přípravné a terénní. V přípravné fázi proběhla na pracovišti ČSÚ prvotní kontrola souboru budov s využitím dostupných online zdrojů (např. Registr územní identifikace, adres a nemovitostí, Registr sčítacích obvodů, Katastr nemovitostí apod.). Jejím účelem bylo identifikovat rozdíly v obdržených datech z informační pochůzky s evidovanými administrativními </w:t>
      </w:r>
      <w:r w:rsidRPr="00033CD7">
        <w:lastRenderedPageBreak/>
        <w:t>daty a na tyto rozdíly se následně zaměřit při kontrole v terénu. Následně kontroloři ČSÚ provedli fyzickou kontrolu evidovaných hodnot atributů vybraných budov zjištěním skutečného stavu v terénu, jelikož při posuzování správnosti údaje byl vždy rozhodující zjištěný stav v terénu, kterým se řídil i sčítací komisař při informační pochůzce.</w:t>
      </w:r>
    </w:p>
    <w:p w14:paraId="604B31C6" w14:textId="77777777" w:rsidR="004D6804" w:rsidRPr="00033CD7" w:rsidRDefault="004D6804" w:rsidP="004D6804">
      <w:pPr>
        <w:spacing w:line="288" w:lineRule="auto"/>
      </w:pPr>
      <w:r w:rsidRPr="00033CD7">
        <w:t>Dalšími důležitými kontrolami byly kontroly informační pochůzky. V období průběhu informační pochůzky (od 20. 3. 2021 do 14. 4. 2021) byly primárně kontrolovány objekty, které sčítací komisaři ČP označili jako neexistující či neobydlené. Důvodem této kontroly byl fakt, že neobydlené a neexistující objekty byly následně vyřazeny z terénního došetření a neprobíhala zde distribuce listinných sčítacích formulářů. Cílem této kontroly tedy bylo minimalizovat případy chybného vyřazení objektů z terénního došetření. Celkem bylo takto zkontrolováno 12 sčítacích obvodů s vysokou koncentrací neexistujících objektů, 6 sčítacích obvodů s vysokou koncentrací neobydlených objektů, 178 neexistujících bytových domů a 189 neobydlených bytových domů. Po konci informační pochůzky bylo provedeno vyhodnocení podkladů od krajských pracovníků a objekty, u kterých byl zjištěn rozpor mezi zjištěním sčítacího komisaře a příslušných krajských pracovníků, byly reklamovány České poště, tzn., byla požadována změna stavu objektu.</w:t>
      </w:r>
    </w:p>
    <w:p w14:paraId="3FC1576A" w14:textId="77777777" w:rsidR="004D6804" w:rsidRPr="004030A9" w:rsidRDefault="004D6804" w:rsidP="004D6804">
      <w:pPr>
        <w:keepLines/>
        <w:spacing w:line="288" w:lineRule="auto"/>
        <w:rPr>
          <w:sz w:val="20"/>
          <w:szCs w:val="20"/>
        </w:rPr>
      </w:pPr>
      <w:r w:rsidRPr="00033CD7">
        <w:t>Kontrola terénního došetření byla realizována obdobně jako kontrola informační pochůzky. První z kontrolovaných oblastí byl počet distribuovaných formulářů sčítacími komisaři na úrovni jednotlivých sčítacích obvodů. Cílem této kontroly bylo nalezení oblastí s potenciálním problémem v kvalitě distribuce listinných formulářů sčítacími komisaři. Tento ukazatel byl sledován průběžně a byl také komunikován s Českou poštou.</w:t>
      </w:r>
      <w:r w:rsidRPr="004030A9">
        <w:rPr>
          <w:sz w:val="20"/>
          <w:szCs w:val="20"/>
        </w:rPr>
        <w:t xml:space="preserve"> </w:t>
      </w:r>
    </w:p>
    <w:p w14:paraId="77435938" w14:textId="77777777" w:rsidR="004D6804" w:rsidRPr="004D6804" w:rsidRDefault="004D6804" w:rsidP="004D6804"/>
    <w:sectPr w:rsidR="004D6804" w:rsidRPr="004D6804" w:rsidSect="00C8405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BC99" w14:textId="77777777" w:rsidR="00710340" w:rsidRDefault="00710340" w:rsidP="00613F23">
      <w:pPr>
        <w:spacing w:after="0" w:line="240" w:lineRule="auto"/>
      </w:pPr>
      <w:r>
        <w:separator/>
      </w:r>
    </w:p>
  </w:endnote>
  <w:endnote w:type="continuationSeparator" w:id="0">
    <w:p w14:paraId="6A17ED31" w14:textId="77777777" w:rsidR="00710340" w:rsidRDefault="00710340" w:rsidP="0061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A6957" w14:textId="77777777" w:rsidR="00710340" w:rsidRDefault="00710340" w:rsidP="00613F23">
      <w:pPr>
        <w:spacing w:after="0" w:line="240" w:lineRule="auto"/>
      </w:pPr>
      <w:r>
        <w:separator/>
      </w:r>
    </w:p>
  </w:footnote>
  <w:footnote w:type="continuationSeparator" w:id="0">
    <w:p w14:paraId="3E27A0B7" w14:textId="77777777" w:rsidR="00710340" w:rsidRDefault="00710340" w:rsidP="00613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9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54B35"/>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 w15:restartNumberingAfterBreak="0">
    <w:nsid w:val="151B6F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50C68"/>
    <w:multiLevelType w:val="hybridMultilevel"/>
    <w:tmpl w:val="28048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607B72"/>
    <w:multiLevelType w:val="hybridMultilevel"/>
    <w:tmpl w:val="BDC822FE"/>
    <w:lvl w:ilvl="0" w:tplc="BF88454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B7B83"/>
    <w:multiLevelType w:val="hybridMultilevel"/>
    <w:tmpl w:val="564E8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B86909"/>
    <w:multiLevelType w:val="hybridMultilevel"/>
    <w:tmpl w:val="9D08A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921E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F7077"/>
    <w:multiLevelType w:val="hybridMultilevel"/>
    <w:tmpl w:val="9110A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546D67"/>
    <w:multiLevelType w:val="multilevel"/>
    <w:tmpl w:val="4F62F1EA"/>
    <w:lvl w:ilvl="0">
      <w:start w:val="1"/>
      <w:numFmt w:val="decimal"/>
      <w:lvlText w:val="%1."/>
      <w:lvlJc w:val="left"/>
      <w:pPr>
        <w:ind w:left="360" w:hanging="360"/>
      </w:pPr>
    </w:lvl>
    <w:lvl w:ilvl="1">
      <w:start w:val="1"/>
      <w:numFmt w:val="decimal"/>
      <w:pStyle w:val="Nadpis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C33978"/>
    <w:multiLevelType w:val="multilevel"/>
    <w:tmpl w:val="83A619FE"/>
    <w:lvl w:ilvl="0">
      <w:start w:val="1"/>
      <w:numFmt w:val="decimal"/>
      <w:pStyle w:val="Nadpis1"/>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232D0E"/>
    <w:multiLevelType w:val="hybridMultilevel"/>
    <w:tmpl w:val="A38A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1433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9"/>
  </w:num>
  <w:num w:numId="4">
    <w:abstractNumId w:val="2"/>
  </w:num>
  <w:num w:numId="5">
    <w:abstractNumId w:val="0"/>
  </w:num>
  <w:num w:numId="6">
    <w:abstractNumId w:val="12"/>
  </w:num>
  <w:num w:numId="7">
    <w:abstractNumId w:val="7"/>
  </w:num>
  <w:num w:numId="8">
    <w:abstractNumId w:val="3"/>
  </w:num>
  <w:num w:numId="9">
    <w:abstractNumId w:val="6"/>
  </w:num>
  <w:num w:numId="10">
    <w:abstractNumId w:val="8"/>
  </w:num>
  <w:num w:numId="11">
    <w:abstractNumId w:val="5"/>
  </w:num>
  <w:num w:numId="12">
    <w:abstractNumId w:val="10"/>
    <w:lvlOverride w:ilvl="0">
      <w:startOverride w:val="2"/>
    </w:lvlOverride>
    <w:lvlOverride w:ilvl="1">
      <w:startOverride w:val="4"/>
    </w:lvlOverride>
  </w:num>
  <w:num w:numId="13">
    <w:abstractNumId w:val="11"/>
  </w:num>
  <w:num w:numId="14">
    <w:abstractNumId w:val="10"/>
    <w:lvlOverride w:ilvl="0">
      <w:startOverride w:val="4"/>
    </w:lvlOverride>
    <w:lvlOverride w:ilvl="1">
      <w:startOverride w:val="2"/>
    </w:lvlOverride>
  </w:num>
  <w:num w:numId="15">
    <w:abstractNumId w:val="10"/>
    <w:lvlOverride w:ilvl="0">
      <w:startOverride w:val="4"/>
    </w:lvlOverride>
    <w:lvlOverride w:ilvl="1">
      <w:startOverride w:val="4"/>
    </w:lvlOverride>
  </w:num>
  <w:num w:numId="16">
    <w:abstractNumId w:val="10"/>
    <w:lvlOverride w:ilvl="0">
      <w:startOverride w:val="4"/>
    </w:lvlOverride>
    <w:lvlOverride w:ilvl="1">
      <w:startOverride w:val="4"/>
    </w:lvlOverride>
  </w:num>
  <w:num w:numId="17">
    <w:abstractNumId w:val="4"/>
  </w:num>
  <w:num w:numId="18">
    <w:abstractNumId w:val="10"/>
    <w:lvlOverride w:ilvl="0">
      <w:startOverride w:val="4"/>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26"/>
    <w:rsid w:val="0002601D"/>
    <w:rsid w:val="00026A62"/>
    <w:rsid w:val="000311CE"/>
    <w:rsid w:val="00033CD7"/>
    <w:rsid w:val="00051088"/>
    <w:rsid w:val="00084BED"/>
    <w:rsid w:val="00086DDC"/>
    <w:rsid w:val="000919E4"/>
    <w:rsid w:val="00093034"/>
    <w:rsid w:val="0009618C"/>
    <w:rsid w:val="000B1105"/>
    <w:rsid w:val="000D3611"/>
    <w:rsid w:val="000F6202"/>
    <w:rsid w:val="00100076"/>
    <w:rsid w:val="00112C05"/>
    <w:rsid w:val="00116C32"/>
    <w:rsid w:val="00123898"/>
    <w:rsid w:val="0014030B"/>
    <w:rsid w:val="00170A8E"/>
    <w:rsid w:val="00177E98"/>
    <w:rsid w:val="001A0B46"/>
    <w:rsid w:val="001A4A90"/>
    <w:rsid w:val="001A7705"/>
    <w:rsid w:val="001D6985"/>
    <w:rsid w:val="001E2A6C"/>
    <w:rsid w:val="001F1E00"/>
    <w:rsid w:val="00236E59"/>
    <w:rsid w:val="00243148"/>
    <w:rsid w:val="00270A62"/>
    <w:rsid w:val="00285E55"/>
    <w:rsid w:val="0029746D"/>
    <w:rsid w:val="002A494A"/>
    <w:rsid w:val="002A4BCB"/>
    <w:rsid w:val="002C47C9"/>
    <w:rsid w:val="002D3B2C"/>
    <w:rsid w:val="0031705B"/>
    <w:rsid w:val="00334B46"/>
    <w:rsid w:val="0033632D"/>
    <w:rsid w:val="00341D03"/>
    <w:rsid w:val="00351A74"/>
    <w:rsid w:val="0035750D"/>
    <w:rsid w:val="00371399"/>
    <w:rsid w:val="00375F0D"/>
    <w:rsid w:val="003909F2"/>
    <w:rsid w:val="00391743"/>
    <w:rsid w:val="003A245B"/>
    <w:rsid w:val="003A725E"/>
    <w:rsid w:val="003A7426"/>
    <w:rsid w:val="003B02FE"/>
    <w:rsid w:val="003C5970"/>
    <w:rsid w:val="003E479C"/>
    <w:rsid w:val="00413B29"/>
    <w:rsid w:val="0042125B"/>
    <w:rsid w:val="00423509"/>
    <w:rsid w:val="0042367C"/>
    <w:rsid w:val="00424A34"/>
    <w:rsid w:val="004427AE"/>
    <w:rsid w:val="0045419E"/>
    <w:rsid w:val="00461B37"/>
    <w:rsid w:val="00473748"/>
    <w:rsid w:val="004937DE"/>
    <w:rsid w:val="004B2D05"/>
    <w:rsid w:val="004B6352"/>
    <w:rsid w:val="004C347C"/>
    <w:rsid w:val="004D053D"/>
    <w:rsid w:val="004D6804"/>
    <w:rsid w:val="004E298C"/>
    <w:rsid w:val="00501F14"/>
    <w:rsid w:val="005041E0"/>
    <w:rsid w:val="00521B95"/>
    <w:rsid w:val="00555D68"/>
    <w:rsid w:val="0057209E"/>
    <w:rsid w:val="00572F7E"/>
    <w:rsid w:val="00592B23"/>
    <w:rsid w:val="005A737C"/>
    <w:rsid w:val="005D044D"/>
    <w:rsid w:val="005D1A31"/>
    <w:rsid w:val="00613F23"/>
    <w:rsid w:val="00643E58"/>
    <w:rsid w:val="006764A2"/>
    <w:rsid w:val="00681970"/>
    <w:rsid w:val="006A612A"/>
    <w:rsid w:val="006A7BA2"/>
    <w:rsid w:val="006B2D7C"/>
    <w:rsid w:val="00710340"/>
    <w:rsid w:val="00723933"/>
    <w:rsid w:val="0073727F"/>
    <w:rsid w:val="00747AE3"/>
    <w:rsid w:val="007648E1"/>
    <w:rsid w:val="007653AD"/>
    <w:rsid w:val="007A4577"/>
    <w:rsid w:val="007B5895"/>
    <w:rsid w:val="007C07E2"/>
    <w:rsid w:val="007C7620"/>
    <w:rsid w:val="008231DB"/>
    <w:rsid w:val="00830E83"/>
    <w:rsid w:val="00831742"/>
    <w:rsid w:val="00843F43"/>
    <w:rsid w:val="00853838"/>
    <w:rsid w:val="00854CE1"/>
    <w:rsid w:val="008621DE"/>
    <w:rsid w:val="00862619"/>
    <w:rsid w:val="00873E04"/>
    <w:rsid w:val="008850D8"/>
    <w:rsid w:val="008877CF"/>
    <w:rsid w:val="008964C5"/>
    <w:rsid w:val="008D373C"/>
    <w:rsid w:val="008F10F1"/>
    <w:rsid w:val="00910B54"/>
    <w:rsid w:val="00910C3C"/>
    <w:rsid w:val="00921056"/>
    <w:rsid w:val="009624CB"/>
    <w:rsid w:val="009676FB"/>
    <w:rsid w:val="009677A8"/>
    <w:rsid w:val="00967F25"/>
    <w:rsid w:val="0098505E"/>
    <w:rsid w:val="0099103B"/>
    <w:rsid w:val="009D70BC"/>
    <w:rsid w:val="009F7BC6"/>
    <w:rsid w:val="00A4563D"/>
    <w:rsid w:val="00A46026"/>
    <w:rsid w:val="00A54007"/>
    <w:rsid w:val="00AD16AD"/>
    <w:rsid w:val="00AD462A"/>
    <w:rsid w:val="00AE3594"/>
    <w:rsid w:val="00AF1708"/>
    <w:rsid w:val="00AF3311"/>
    <w:rsid w:val="00B0028C"/>
    <w:rsid w:val="00B1029A"/>
    <w:rsid w:val="00B11AC6"/>
    <w:rsid w:val="00B25CDB"/>
    <w:rsid w:val="00B5656C"/>
    <w:rsid w:val="00B85A79"/>
    <w:rsid w:val="00B90ADB"/>
    <w:rsid w:val="00B9200F"/>
    <w:rsid w:val="00B94DD0"/>
    <w:rsid w:val="00BD085C"/>
    <w:rsid w:val="00BD6D29"/>
    <w:rsid w:val="00BE21B6"/>
    <w:rsid w:val="00BE267E"/>
    <w:rsid w:val="00BE6B77"/>
    <w:rsid w:val="00BE742F"/>
    <w:rsid w:val="00C03B32"/>
    <w:rsid w:val="00C065ED"/>
    <w:rsid w:val="00C208D5"/>
    <w:rsid w:val="00C342EA"/>
    <w:rsid w:val="00C37590"/>
    <w:rsid w:val="00C62E69"/>
    <w:rsid w:val="00C633AF"/>
    <w:rsid w:val="00C83542"/>
    <w:rsid w:val="00C84058"/>
    <w:rsid w:val="00C97A0D"/>
    <w:rsid w:val="00CA4238"/>
    <w:rsid w:val="00CD4CF7"/>
    <w:rsid w:val="00CD76EA"/>
    <w:rsid w:val="00D3154C"/>
    <w:rsid w:val="00D55721"/>
    <w:rsid w:val="00D75EF2"/>
    <w:rsid w:val="00D86265"/>
    <w:rsid w:val="00D93FD0"/>
    <w:rsid w:val="00D97375"/>
    <w:rsid w:val="00DA2B0C"/>
    <w:rsid w:val="00DA2C1B"/>
    <w:rsid w:val="00DC1689"/>
    <w:rsid w:val="00DE7BB6"/>
    <w:rsid w:val="00DF49F6"/>
    <w:rsid w:val="00E04641"/>
    <w:rsid w:val="00E50653"/>
    <w:rsid w:val="00E73DDA"/>
    <w:rsid w:val="00E75DD8"/>
    <w:rsid w:val="00E77677"/>
    <w:rsid w:val="00EA237D"/>
    <w:rsid w:val="00EC7D9E"/>
    <w:rsid w:val="00EF126A"/>
    <w:rsid w:val="00EF5769"/>
    <w:rsid w:val="00F03F06"/>
    <w:rsid w:val="00F1471A"/>
    <w:rsid w:val="00F26C5B"/>
    <w:rsid w:val="00F4508F"/>
    <w:rsid w:val="00F45F53"/>
    <w:rsid w:val="00F579DB"/>
    <w:rsid w:val="00F62908"/>
    <w:rsid w:val="00F62D00"/>
    <w:rsid w:val="00F80AD4"/>
    <w:rsid w:val="00FB4D7E"/>
    <w:rsid w:val="00FB67BE"/>
    <w:rsid w:val="00FE4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AA69"/>
  <w15:chartTrackingRefBased/>
  <w15:docId w15:val="{4BD92D77-76D5-48BC-BD8A-2497983F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2D7C"/>
    <w:pPr>
      <w:jc w:val="both"/>
    </w:pPr>
    <w:rPr>
      <w:rFonts w:ascii="Arial" w:hAnsi="Arial" w:cs="Arial"/>
    </w:rPr>
  </w:style>
  <w:style w:type="paragraph" w:styleId="Nadpis1">
    <w:name w:val="heading 1"/>
    <w:basedOn w:val="Odstavecseseznamem"/>
    <w:next w:val="Normln"/>
    <w:link w:val="Nadpis1Char"/>
    <w:uiPriority w:val="9"/>
    <w:qFormat/>
    <w:rsid w:val="006B2D7C"/>
    <w:pPr>
      <w:numPr>
        <w:numId w:val="2"/>
      </w:numPr>
      <w:ind w:left="709" w:hanging="709"/>
      <w:outlineLvl w:val="0"/>
    </w:pPr>
    <w:rPr>
      <w:b/>
    </w:rPr>
  </w:style>
  <w:style w:type="paragraph" w:styleId="Nadpis2">
    <w:name w:val="heading 2"/>
    <w:basedOn w:val="Odstavecseseznamem"/>
    <w:next w:val="Normln"/>
    <w:link w:val="Nadpis2Char"/>
    <w:uiPriority w:val="9"/>
    <w:unhideWhenUsed/>
    <w:qFormat/>
    <w:rsid w:val="006B2D7C"/>
    <w:pPr>
      <w:numPr>
        <w:ilvl w:val="1"/>
        <w:numId w:val="3"/>
      </w:numPr>
      <w:ind w:left="709" w:hanging="709"/>
      <w:outlineLvl w:val="1"/>
    </w:pPr>
    <w:rPr>
      <w:b/>
    </w:rPr>
  </w:style>
  <w:style w:type="paragraph" w:styleId="Nadpis3">
    <w:name w:val="heading 3"/>
    <w:basedOn w:val="Normln"/>
    <w:next w:val="Normln"/>
    <w:link w:val="Nadpis3Char"/>
    <w:uiPriority w:val="9"/>
    <w:unhideWhenUsed/>
    <w:qFormat/>
    <w:rsid w:val="006B2D7C"/>
    <w:pPr>
      <w:outlineLvl w:val="2"/>
    </w:pPr>
    <w:rPr>
      <w:b/>
    </w:rPr>
  </w:style>
  <w:style w:type="paragraph" w:styleId="Nadpis4">
    <w:name w:val="heading 4"/>
    <w:basedOn w:val="Normln"/>
    <w:next w:val="Normln"/>
    <w:link w:val="Nadpis4Char"/>
    <w:uiPriority w:val="9"/>
    <w:semiHidden/>
    <w:unhideWhenUsed/>
    <w:qFormat/>
    <w:rsid w:val="00592B2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92B2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92B2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92B2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92B2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92B2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2D7C"/>
    <w:rPr>
      <w:rFonts w:ascii="Arial" w:hAnsi="Arial" w:cs="Arial"/>
      <w:b/>
    </w:rPr>
  </w:style>
  <w:style w:type="character" w:customStyle="1" w:styleId="Nadpis2Char">
    <w:name w:val="Nadpis 2 Char"/>
    <w:basedOn w:val="Standardnpsmoodstavce"/>
    <w:link w:val="Nadpis2"/>
    <w:uiPriority w:val="9"/>
    <w:rsid w:val="006B2D7C"/>
    <w:rPr>
      <w:rFonts w:ascii="Arial" w:hAnsi="Arial" w:cs="Arial"/>
      <w:b/>
    </w:rPr>
  </w:style>
  <w:style w:type="character" w:customStyle="1" w:styleId="Nadpis3Char">
    <w:name w:val="Nadpis 3 Char"/>
    <w:basedOn w:val="Standardnpsmoodstavce"/>
    <w:link w:val="Nadpis3"/>
    <w:uiPriority w:val="9"/>
    <w:rsid w:val="006B2D7C"/>
    <w:rPr>
      <w:rFonts w:ascii="Arial" w:hAnsi="Arial" w:cs="Arial"/>
      <w:b/>
    </w:rPr>
  </w:style>
  <w:style w:type="character" w:customStyle="1" w:styleId="Nadpis4Char">
    <w:name w:val="Nadpis 4 Char"/>
    <w:basedOn w:val="Standardnpsmoodstavce"/>
    <w:link w:val="Nadpis4"/>
    <w:uiPriority w:val="9"/>
    <w:semiHidden/>
    <w:rsid w:val="00592B23"/>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92B2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92B2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92B2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92B2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92B23"/>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uiPriority w:val="34"/>
    <w:qFormat/>
    <w:rsid w:val="00592B23"/>
    <w:pPr>
      <w:ind w:left="720"/>
      <w:contextualSpacing/>
    </w:pPr>
  </w:style>
  <w:style w:type="paragraph" w:styleId="Zhlav">
    <w:name w:val="header"/>
    <w:basedOn w:val="Normln"/>
    <w:link w:val="ZhlavChar"/>
    <w:uiPriority w:val="99"/>
    <w:unhideWhenUsed/>
    <w:rsid w:val="00613F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3F23"/>
    <w:rPr>
      <w:rFonts w:ascii="Arial" w:hAnsi="Arial" w:cs="Arial"/>
    </w:rPr>
  </w:style>
  <w:style w:type="paragraph" w:styleId="Zpat">
    <w:name w:val="footer"/>
    <w:basedOn w:val="Normln"/>
    <w:link w:val="ZpatChar"/>
    <w:uiPriority w:val="99"/>
    <w:unhideWhenUsed/>
    <w:rsid w:val="00613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613F23"/>
    <w:rPr>
      <w:rFonts w:ascii="Arial" w:hAnsi="Arial" w:cs="Arial"/>
    </w:rPr>
  </w:style>
  <w:style w:type="paragraph" w:styleId="Nadpisobsahu">
    <w:name w:val="TOC Heading"/>
    <w:basedOn w:val="Nadpis1"/>
    <w:next w:val="Normln"/>
    <w:uiPriority w:val="39"/>
    <w:unhideWhenUsed/>
    <w:qFormat/>
    <w:rsid w:val="00613F23"/>
    <w:pPr>
      <w:keepNext/>
      <w:keepLines/>
      <w:numPr>
        <w:numId w:val="0"/>
      </w:numPr>
      <w:spacing w:before="240" w:after="0"/>
      <w:contextualSpacing w:val="0"/>
      <w:jc w:val="left"/>
      <w:outlineLvl w:val="9"/>
    </w:pPr>
    <w:rPr>
      <w:rFonts w:asciiTheme="majorHAnsi" w:eastAsiaTheme="majorEastAsia" w:hAnsiTheme="majorHAnsi" w:cstheme="majorBidi"/>
      <w:b w:val="0"/>
      <w:color w:val="2E74B5" w:themeColor="accent1" w:themeShade="BF"/>
      <w:sz w:val="32"/>
      <w:szCs w:val="32"/>
      <w:lang w:eastAsia="cs-CZ"/>
    </w:rPr>
  </w:style>
  <w:style w:type="paragraph" w:styleId="Obsah1">
    <w:name w:val="toc 1"/>
    <w:basedOn w:val="Normln"/>
    <w:next w:val="Normln"/>
    <w:autoRedefine/>
    <w:uiPriority w:val="39"/>
    <w:unhideWhenUsed/>
    <w:rsid w:val="00613F23"/>
    <w:pPr>
      <w:spacing w:after="100"/>
    </w:pPr>
  </w:style>
  <w:style w:type="paragraph" w:styleId="Obsah2">
    <w:name w:val="toc 2"/>
    <w:basedOn w:val="Normln"/>
    <w:next w:val="Normln"/>
    <w:autoRedefine/>
    <w:uiPriority w:val="39"/>
    <w:unhideWhenUsed/>
    <w:rsid w:val="00613F23"/>
    <w:pPr>
      <w:spacing w:after="100"/>
      <w:ind w:left="220"/>
    </w:pPr>
  </w:style>
  <w:style w:type="paragraph" w:styleId="Obsah3">
    <w:name w:val="toc 3"/>
    <w:basedOn w:val="Normln"/>
    <w:next w:val="Normln"/>
    <w:autoRedefine/>
    <w:uiPriority w:val="39"/>
    <w:unhideWhenUsed/>
    <w:rsid w:val="00613F23"/>
    <w:pPr>
      <w:spacing w:after="100"/>
      <w:ind w:left="440"/>
    </w:pPr>
  </w:style>
  <w:style w:type="character" w:styleId="Hypertextovodkaz">
    <w:name w:val="Hyperlink"/>
    <w:basedOn w:val="Standardnpsmoodstavce"/>
    <w:uiPriority w:val="99"/>
    <w:unhideWhenUsed/>
    <w:rsid w:val="00613F23"/>
    <w:rPr>
      <w:color w:val="0563C1" w:themeColor="hyperlink"/>
      <w:u w:val="single"/>
    </w:rPr>
  </w:style>
  <w:style w:type="paragraph" w:styleId="Textbubliny">
    <w:name w:val="Balloon Text"/>
    <w:basedOn w:val="Normln"/>
    <w:link w:val="TextbublinyChar"/>
    <w:uiPriority w:val="99"/>
    <w:semiHidden/>
    <w:unhideWhenUsed/>
    <w:rsid w:val="00116C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32"/>
    <w:rPr>
      <w:rFonts w:ascii="Segoe UI" w:hAnsi="Segoe UI" w:cs="Segoe UI"/>
      <w:sz w:val="18"/>
      <w:szCs w:val="18"/>
    </w:rPr>
  </w:style>
  <w:style w:type="character" w:styleId="Odkaznakoment">
    <w:name w:val="annotation reference"/>
    <w:basedOn w:val="Standardnpsmoodstavce"/>
    <w:uiPriority w:val="99"/>
    <w:semiHidden/>
    <w:unhideWhenUsed/>
    <w:rsid w:val="00D86265"/>
    <w:rPr>
      <w:sz w:val="16"/>
      <w:szCs w:val="16"/>
    </w:rPr>
  </w:style>
  <w:style w:type="paragraph" w:styleId="Textkomente">
    <w:name w:val="annotation text"/>
    <w:basedOn w:val="Normln"/>
    <w:link w:val="TextkomenteChar"/>
    <w:uiPriority w:val="99"/>
    <w:semiHidden/>
    <w:unhideWhenUsed/>
    <w:rsid w:val="00D8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D86265"/>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D86265"/>
    <w:rPr>
      <w:b/>
      <w:bCs/>
    </w:rPr>
  </w:style>
  <w:style w:type="character" w:customStyle="1" w:styleId="PedmtkomenteChar">
    <w:name w:val="Předmět komentáře Char"/>
    <w:basedOn w:val="TextkomenteChar"/>
    <w:link w:val="Pedmtkomente"/>
    <w:uiPriority w:val="99"/>
    <w:semiHidden/>
    <w:rsid w:val="00D8626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00437171265E4499E8708B7702A942" ma:contentTypeVersion="11" ma:contentTypeDescription="Vytvoří nový dokument" ma:contentTypeScope="" ma:versionID="6be03753b0a54277de87f3d405ed1692">
  <xsd:schema xmlns:xsd="http://www.w3.org/2001/XMLSchema" xmlns:xs="http://www.w3.org/2001/XMLSchema" xmlns:p="http://schemas.microsoft.com/office/2006/metadata/properties" xmlns:ns3="cea71f16-58d5-422b-b620-f42c8614bac5" targetNamespace="http://schemas.microsoft.com/office/2006/metadata/properties" ma:root="true" ma:fieldsID="41f260e7459d8045673e56c66435b68f" ns3:_="">
    <xsd:import namespace="cea71f16-58d5-422b-b620-f42c8614bac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1f16-58d5-422b-b620-f42c8614ba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a71f16-58d5-422b-b620-f42c8614ba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6EB4-374A-49FB-8F25-60EE6CB47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1f16-58d5-422b-b620-f42c8614b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826EA-A913-43CA-A3CB-99AE9885CAE5}">
  <ds:schemaRefs>
    <ds:schemaRef ds:uri="http://schemas.microsoft.com/sharepoint/v3/contenttype/forms"/>
  </ds:schemaRefs>
</ds:datastoreItem>
</file>

<file path=customXml/itemProps3.xml><?xml version="1.0" encoding="utf-8"?>
<ds:datastoreItem xmlns:ds="http://schemas.openxmlformats.org/officeDocument/2006/customXml" ds:itemID="{F71C9B50-8282-40CD-AFAB-3D99AD003B22}">
  <ds:schemaRefs>
    <ds:schemaRef ds:uri="http://schemas.microsoft.com/office/2006/metadata/properties"/>
    <ds:schemaRef ds:uri="http://schemas.openxmlformats.org/package/2006/metadata/core-properties"/>
    <ds:schemaRef ds:uri="http://purl.org/dc/elements/1.1/"/>
    <ds:schemaRef ds:uri="cea71f16-58d5-422b-b620-f42c8614bac5"/>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72DB5EC2-ACB6-49B6-B615-82B7ED70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7519</Words>
  <Characters>44366</Characters>
  <Application>Microsoft Office Word</Application>
  <DocSecurity>4</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Tomková Tereza</dc:creator>
  <cp:keywords/>
  <dc:description/>
  <cp:lastModifiedBy>Seidlová Pavlína</cp:lastModifiedBy>
  <cp:revision>2</cp:revision>
  <dcterms:created xsi:type="dcterms:W3CDTF">2025-03-27T12:40:00Z</dcterms:created>
  <dcterms:modified xsi:type="dcterms:W3CDTF">2025-03-27T12:40:00Z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0x0101003700437171265E4499E8708B7702A942</vt:lpwstr>
  </property>
</Properties>
</file>