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88" w:rsidRPr="00C9745C" w:rsidRDefault="00BC10C0" w:rsidP="00C9745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9745C">
        <w:rPr>
          <w:rFonts w:ascii="Times New Roman" w:hAnsi="Times New Roman"/>
          <w:b/>
          <w:sz w:val="32"/>
          <w:szCs w:val="32"/>
          <w:u w:val="single"/>
        </w:rPr>
        <w:t>Standardní r</w:t>
      </w:r>
      <w:r w:rsidR="00D53088" w:rsidRPr="00C9745C">
        <w:rPr>
          <w:rFonts w:ascii="Times New Roman" w:hAnsi="Times New Roman"/>
          <w:b/>
          <w:sz w:val="32"/>
          <w:szCs w:val="32"/>
          <w:u w:val="single"/>
        </w:rPr>
        <w:t>evize indexu cen zemědělských výrobců</w:t>
      </w:r>
    </w:p>
    <w:p w:rsidR="00BC10C0" w:rsidRDefault="00BC10C0" w:rsidP="005F7555">
      <w:pPr>
        <w:pStyle w:val="Normlnweb"/>
        <w:spacing w:line="276" w:lineRule="auto"/>
        <w:jc w:val="both"/>
      </w:pPr>
      <w:r>
        <w:t xml:space="preserve">Účelem revize je aktualizace systému tvorby cenové statistiky, a to zejména z důvodů nahromaděných změn v reálné popisované oblasti. Tato aktualizace se týká výběrových souborů reprezentantů a respondentů, váhového schématu, cenového základu a </w:t>
      </w:r>
      <w:r w:rsidR="00290AE5">
        <w:t xml:space="preserve">eventuálně </w:t>
      </w:r>
      <w:r w:rsidR="00BD03BE">
        <w:t>metodika</w:t>
      </w:r>
      <w:r>
        <w:t xml:space="preserve"> výpočtu. Revize se provádí plánovaně, obvykle v pětil</w:t>
      </w:r>
      <w:r w:rsidR="00EE3D81">
        <w:t>etých periodách.</w:t>
      </w:r>
    </w:p>
    <w:p w:rsidR="00D53088" w:rsidRPr="00147221" w:rsidRDefault="00AA4A6B" w:rsidP="00147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průběhu roku 2022</w:t>
      </w:r>
      <w:r w:rsidR="00BC10C0">
        <w:rPr>
          <w:rFonts w:ascii="Times New Roman" w:hAnsi="Times New Roman"/>
          <w:sz w:val="24"/>
          <w:szCs w:val="24"/>
        </w:rPr>
        <w:t xml:space="preserve"> byl podroben i</w:t>
      </w:r>
      <w:r w:rsidR="00D53088" w:rsidRPr="00147221">
        <w:rPr>
          <w:rFonts w:ascii="Times New Roman" w:hAnsi="Times New Roman"/>
          <w:sz w:val="24"/>
          <w:szCs w:val="24"/>
        </w:rPr>
        <w:t xml:space="preserve">ndex cen zemědělských výrobců </w:t>
      </w:r>
      <w:r w:rsidR="00BC10C0">
        <w:rPr>
          <w:rFonts w:ascii="Times New Roman" w:hAnsi="Times New Roman"/>
          <w:sz w:val="24"/>
          <w:szCs w:val="24"/>
        </w:rPr>
        <w:t xml:space="preserve">standardní </w:t>
      </w:r>
      <w:r w:rsidR="00D53088" w:rsidRPr="00147221">
        <w:rPr>
          <w:rFonts w:ascii="Times New Roman" w:hAnsi="Times New Roman"/>
          <w:sz w:val="24"/>
          <w:szCs w:val="24"/>
        </w:rPr>
        <w:t xml:space="preserve">komplexní revizi. </w:t>
      </w:r>
    </w:p>
    <w:p w:rsidR="0064204A" w:rsidRPr="00147221" w:rsidRDefault="00D53088" w:rsidP="001E726C">
      <w:pPr>
        <w:jc w:val="both"/>
        <w:rPr>
          <w:rFonts w:ascii="Times New Roman" w:hAnsi="Times New Roman"/>
          <w:sz w:val="24"/>
          <w:szCs w:val="24"/>
        </w:rPr>
      </w:pPr>
      <w:r w:rsidRPr="00147221">
        <w:rPr>
          <w:rFonts w:ascii="Times New Roman" w:hAnsi="Times New Roman"/>
          <w:sz w:val="24"/>
          <w:szCs w:val="24"/>
        </w:rPr>
        <w:t xml:space="preserve">V rámci </w:t>
      </w:r>
      <w:r w:rsidR="00BC10C0">
        <w:rPr>
          <w:rFonts w:ascii="Times New Roman" w:hAnsi="Times New Roman"/>
          <w:sz w:val="24"/>
          <w:szCs w:val="24"/>
        </w:rPr>
        <w:t xml:space="preserve">této </w:t>
      </w:r>
      <w:r w:rsidRPr="00147221">
        <w:rPr>
          <w:rFonts w:ascii="Times New Roman" w:hAnsi="Times New Roman"/>
          <w:sz w:val="24"/>
          <w:szCs w:val="24"/>
        </w:rPr>
        <w:t>revize byl revidován výběr reprezentantů</w:t>
      </w:r>
      <w:r w:rsidR="00BC10C0">
        <w:rPr>
          <w:rFonts w:ascii="Times New Roman" w:hAnsi="Times New Roman"/>
          <w:sz w:val="24"/>
          <w:szCs w:val="24"/>
        </w:rPr>
        <w:t xml:space="preserve"> a respondentů</w:t>
      </w:r>
      <w:r w:rsidRPr="00147221">
        <w:rPr>
          <w:rFonts w:ascii="Times New Roman" w:hAnsi="Times New Roman"/>
          <w:sz w:val="24"/>
          <w:szCs w:val="24"/>
        </w:rPr>
        <w:t>, byl stanoven nov</w:t>
      </w:r>
      <w:r w:rsidR="00142EF2">
        <w:rPr>
          <w:rFonts w:ascii="Times New Roman" w:hAnsi="Times New Roman"/>
          <w:sz w:val="24"/>
          <w:szCs w:val="24"/>
        </w:rPr>
        <w:t>ý</w:t>
      </w:r>
      <w:r w:rsidRPr="00147221">
        <w:rPr>
          <w:rFonts w:ascii="Times New Roman" w:hAnsi="Times New Roman"/>
          <w:sz w:val="24"/>
          <w:szCs w:val="24"/>
        </w:rPr>
        <w:t xml:space="preserve"> </w:t>
      </w:r>
      <w:r w:rsidR="00142EF2">
        <w:rPr>
          <w:rFonts w:ascii="Times New Roman" w:hAnsi="Times New Roman"/>
          <w:sz w:val="24"/>
          <w:szCs w:val="24"/>
        </w:rPr>
        <w:t xml:space="preserve">cenový a indexní </w:t>
      </w:r>
      <w:r w:rsidRPr="00147221">
        <w:rPr>
          <w:rFonts w:ascii="Times New Roman" w:hAnsi="Times New Roman"/>
          <w:sz w:val="24"/>
          <w:szCs w:val="24"/>
        </w:rPr>
        <w:t xml:space="preserve">základ a zavedena nová váhová struktura na bázi struktury tržeb za zemědělskou produkci v jednotlivých měsících. </w:t>
      </w:r>
    </w:p>
    <w:p w:rsidR="00D53088" w:rsidRPr="00147221" w:rsidRDefault="00D53088" w:rsidP="00147221">
      <w:pPr>
        <w:jc w:val="both"/>
        <w:rPr>
          <w:rFonts w:ascii="Times New Roman" w:hAnsi="Times New Roman"/>
          <w:sz w:val="24"/>
          <w:szCs w:val="24"/>
        </w:rPr>
      </w:pPr>
      <w:r w:rsidRPr="00147221">
        <w:rPr>
          <w:rFonts w:ascii="Times New Roman" w:hAnsi="Times New Roman"/>
          <w:sz w:val="24"/>
          <w:szCs w:val="24"/>
        </w:rPr>
        <w:t xml:space="preserve">Cenové </w:t>
      </w:r>
      <w:r w:rsidRPr="00147221">
        <w:rPr>
          <w:rFonts w:ascii="Times New Roman" w:hAnsi="Times New Roman"/>
          <w:b/>
          <w:sz w:val="24"/>
          <w:szCs w:val="24"/>
        </w:rPr>
        <w:t>indexy zemědělských výrobců</w:t>
      </w:r>
      <w:r w:rsidR="00AA4A6B">
        <w:rPr>
          <w:rFonts w:ascii="Times New Roman" w:hAnsi="Times New Roman"/>
          <w:sz w:val="24"/>
          <w:szCs w:val="24"/>
        </w:rPr>
        <w:t xml:space="preserve"> jsou od ledna 2023</w:t>
      </w:r>
      <w:r w:rsidRPr="00147221">
        <w:rPr>
          <w:rFonts w:ascii="Times New Roman" w:hAnsi="Times New Roman"/>
          <w:sz w:val="24"/>
          <w:szCs w:val="24"/>
        </w:rPr>
        <w:t xml:space="preserve"> počítány na nových váhových schématech odvozených </w:t>
      </w:r>
      <w:r w:rsidR="00290AE5">
        <w:rPr>
          <w:rFonts w:ascii="Times New Roman" w:hAnsi="Times New Roman"/>
          <w:sz w:val="24"/>
          <w:szCs w:val="24"/>
        </w:rPr>
        <w:t xml:space="preserve">z tržeb zprůměrovaných </w:t>
      </w:r>
      <w:r w:rsidRPr="00147221">
        <w:rPr>
          <w:rFonts w:ascii="Times New Roman" w:hAnsi="Times New Roman"/>
          <w:sz w:val="24"/>
          <w:szCs w:val="24"/>
        </w:rPr>
        <w:t>za roky 20</w:t>
      </w:r>
      <w:r w:rsidR="00AA4A6B">
        <w:rPr>
          <w:rFonts w:ascii="Times New Roman" w:hAnsi="Times New Roman"/>
          <w:sz w:val="24"/>
          <w:szCs w:val="24"/>
        </w:rPr>
        <w:t>19, 2020 a 2021</w:t>
      </w:r>
      <w:r w:rsidRPr="00147221">
        <w:rPr>
          <w:rFonts w:ascii="Times New Roman" w:hAnsi="Times New Roman"/>
          <w:sz w:val="24"/>
          <w:szCs w:val="24"/>
        </w:rPr>
        <w:t xml:space="preserve">. Indexy </w:t>
      </w:r>
      <w:r w:rsidR="00142EF2">
        <w:rPr>
          <w:rFonts w:ascii="Times New Roman" w:hAnsi="Times New Roman"/>
          <w:sz w:val="24"/>
          <w:szCs w:val="24"/>
        </w:rPr>
        <w:t>jsou</w:t>
      </w:r>
      <w:r w:rsidRPr="00147221">
        <w:rPr>
          <w:rFonts w:ascii="Times New Roman" w:hAnsi="Times New Roman"/>
          <w:sz w:val="24"/>
          <w:szCs w:val="24"/>
        </w:rPr>
        <w:t xml:space="preserve"> počítány k novému cenovému základu </w:t>
      </w:r>
      <w:r w:rsidR="00AA4A6B">
        <w:rPr>
          <w:rFonts w:ascii="Times New Roman" w:hAnsi="Times New Roman"/>
          <w:b/>
          <w:sz w:val="24"/>
          <w:szCs w:val="24"/>
        </w:rPr>
        <w:t>průměr roku 2020</w:t>
      </w:r>
      <w:r w:rsidRPr="00147221">
        <w:rPr>
          <w:rFonts w:ascii="Times New Roman" w:hAnsi="Times New Roman"/>
          <w:b/>
          <w:sz w:val="24"/>
          <w:szCs w:val="24"/>
        </w:rPr>
        <w:t xml:space="preserve"> = 100</w:t>
      </w:r>
      <w:r w:rsidRPr="00147221">
        <w:rPr>
          <w:rFonts w:ascii="Times New Roman" w:hAnsi="Times New Roman"/>
          <w:sz w:val="24"/>
          <w:szCs w:val="24"/>
        </w:rPr>
        <w:t>.</w:t>
      </w:r>
    </w:p>
    <w:p w:rsidR="00B660B1" w:rsidRDefault="00142EF2" w:rsidP="00C9745C">
      <w:pPr>
        <w:jc w:val="both"/>
        <w:rPr>
          <w:rFonts w:ascii="Times New Roman" w:hAnsi="Times New Roman"/>
          <w:sz w:val="24"/>
          <w:szCs w:val="24"/>
        </w:rPr>
      </w:pPr>
      <w:r w:rsidRPr="00EE3D81">
        <w:rPr>
          <w:rFonts w:ascii="Times New Roman" w:hAnsi="Times New Roman"/>
          <w:sz w:val="24"/>
          <w:szCs w:val="24"/>
        </w:rPr>
        <w:t xml:space="preserve">Zrevidovaná časová řada </w:t>
      </w:r>
      <w:r w:rsidR="002B1B8D">
        <w:rPr>
          <w:rFonts w:ascii="Times New Roman" w:hAnsi="Times New Roman"/>
          <w:sz w:val="24"/>
          <w:szCs w:val="24"/>
        </w:rPr>
        <w:t xml:space="preserve">bazických </w:t>
      </w:r>
      <w:r w:rsidRPr="00EE3D81">
        <w:rPr>
          <w:rFonts w:ascii="Times New Roman" w:hAnsi="Times New Roman"/>
          <w:sz w:val="24"/>
          <w:szCs w:val="24"/>
        </w:rPr>
        <w:t>cenových indexů</w:t>
      </w:r>
      <w:r w:rsidR="002B1B8D">
        <w:rPr>
          <w:rFonts w:ascii="Times New Roman" w:hAnsi="Times New Roman"/>
          <w:sz w:val="24"/>
          <w:szCs w:val="24"/>
        </w:rPr>
        <w:t>,</w:t>
      </w:r>
      <w:r w:rsidRPr="00EE3D81">
        <w:rPr>
          <w:rFonts w:ascii="Times New Roman" w:hAnsi="Times New Roman"/>
          <w:sz w:val="24"/>
          <w:szCs w:val="24"/>
        </w:rPr>
        <w:t xml:space="preserve"> spočtená na no</w:t>
      </w:r>
      <w:r w:rsidR="00AA4A6B">
        <w:rPr>
          <w:rFonts w:ascii="Times New Roman" w:hAnsi="Times New Roman"/>
          <w:sz w:val="24"/>
          <w:szCs w:val="24"/>
        </w:rPr>
        <w:t>vém váhovém schématu za roky 2020, 2021, a 2022</w:t>
      </w:r>
      <w:r w:rsidR="002B1B8D">
        <w:rPr>
          <w:rFonts w:ascii="Times New Roman" w:hAnsi="Times New Roman"/>
          <w:sz w:val="24"/>
          <w:szCs w:val="24"/>
        </w:rPr>
        <w:t>,</w:t>
      </w:r>
      <w:r w:rsidRPr="00EE3D81">
        <w:rPr>
          <w:rFonts w:ascii="Times New Roman" w:hAnsi="Times New Roman"/>
          <w:sz w:val="24"/>
          <w:szCs w:val="24"/>
        </w:rPr>
        <w:t xml:space="preserve"> je současně publikována se zpětnou platností</w:t>
      </w:r>
      <w:r w:rsidR="006D4FBF">
        <w:rPr>
          <w:rFonts w:ascii="Times New Roman" w:hAnsi="Times New Roman"/>
          <w:sz w:val="24"/>
          <w:szCs w:val="24"/>
        </w:rPr>
        <w:t xml:space="preserve"> spolu s cenovými a</w:t>
      </w:r>
      <w:r w:rsidR="00262D10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AA4A6B">
        <w:rPr>
          <w:rFonts w:ascii="Times New Roman" w:hAnsi="Times New Roman"/>
          <w:sz w:val="24"/>
          <w:szCs w:val="24"/>
        </w:rPr>
        <w:t>indexními výstupy za leden 2023</w:t>
      </w:r>
      <w:r w:rsidRPr="00EE3D81">
        <w:rPr>
          <w:rFonts w:ascii="Times New Roman" w:hAnsi="Times New Roman"/>
          <w:sz w:val="24"/>
          <w:szCs w:val="24"/>
        </w:rPr>
        <w:t xml:space="preserve">. Tato nová časová řada bazických indexů má základ </w:t>
      </w:r>
      <w:r w:rsidR="00AA4A6B">
        <w:rPr>
          <w:rFonts w:ascii="Times New Roman" w:hAnsi="Times New Roman"/>
          <w:b/>
          <w:sz w:val="24"/>
          <w:szCs w:val="24"/>
        </w:rPr>
        <w:t>průměr roku 2020</w:t>
      </w:r>
      <w:r w:rsidRPr="00EE3D81">
        <w:rPr>
          <w:rFonts w:ascii="Times New Roman" w:hAnsi="Times New Roman"/>
          <w:b/>
          <w:sz w:val="24"/>
          <w:szCs w:val="24"/>
        </w:rPr>
        <w:t> = 100</w:t>
      </w:r>
      <w:r w:rsidRPr="00EE3D81">
        <w:rPr>
          <w:rFonts w:ascii="Times New Roman" w:hAnsi="Times New Roman"/>
          <w:sz w:val="24"/>
          <w:szCs w:val="24"/>
        </w:rPr>
        <w:t>.</w:t>
      </w:r>
    </w:p>
    <w:p w:rsidR="00C9745C" w:rsidRDefault="00C9745C" w:rsidP="00C9745C">
      <w:pPr>
        <w:jc w:val="both"/>
        <w:rPr>
          <w:rFonts w:ascii="Times New Roman" w:hAnsi="Times New Roman"/>
          <w:sz w:val="24"/>
          <w:szCs w:val="24"/>
        </w:rPr>
      </w:pPr>
    </w:p>
    <w:p w:rsidR="00B275DD" w:rsidRPr="00C9745C" w:rsidRDefault="00406A31" w:rsidP="00CF581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4"/>
          <w:szCs w:val="24"/>
        </w:rPr>
      </w:pPr>
      <w:r w:rsidRPr="009B3AC2">
        <w:rPr>
          <w:rFonts w:ascii="Times New Roman" w:hAnsi="Times New Roman"/>
          <w:b/>
          <w:sz w:val="24"/>
          <w:szCs w:val="24"/>
        </w:rPr>
        <w:t>Porovnání váhov</w:t>
      </w:r>
      <w:r w:rsidR="00EE3D81" w:rsidRPr="009B3AC2">
        <w:rPr>
          <w:rFonts w:ascii="Times New Roman" w:hAnsi="Times New Roman"/>
          <w:b/>
          <w:sz w:val="24"/>
          <w:szCs w:val="24"/>
        </w:rPr>
        <w:t>ého</w:t>
      </w:r>
      <w:r w:rsidRPr="009B3AC2">
        <w:rPr>
          <w:rFonts w:ascii="Times New Roman" w:hAnsi="Times New Roman"/>
          <w:b/>
          <w:sz w:val="24"/>
          <w:szCs w:val="24"/>
        </w:rPr>
        <w:t xml:space="preserve"> </w:t>
      </w:r>
      <w:r w:rsidR="00EE3D81" w:rsidRPr="009B3AC2">
        <w:rPr>
          <w:rFonts w:ascii="Times New Roman" w:hAnsi="Times New Roman"/>
          <w:b/>
          <w:sz w:val="24"/>
          <w:szCs w:val="24"/>
        </w:rPr>
        <w:t>zastoupení zemědělských výrobků</w:t>
      </w:r>
      <w:r w:rsidRPr="009B3AC2">
        <w:rPr>
          <w:rFonts w:ascii="Times New Roman" w:hAnsi="Times New Roman"/>
          <w:b/>
          <w:sz w:val="24"/>
          <w:szCs w:val="24"/>
        </w:rPr>
        <w:t xml:space="preserve"> </w:t>
      </w:r>
      <w:r w:rsidR="00C04992">
        <w:rPr>
          <w:rFonts w:ascii="Times New Roman" w:hAnsi="Times New Roman"/>
          <w:b/>
          <w:sz w:val="24"/>
          <w:szCs w:val="24"/>
        </w:rPr>
        <w:t>v</w:t>
      </w:r>
      <w:r w:rsidR="00EE3D81" w:rsidRPr="009B3AC2">
        <w:rPr>
          <w:rFonts w:ascii="Times New Roman" w:hAnsi="Times New Roman"/>
          <w:b/>
          <w:sz w:val="24"/>
          <w:szCs w:val="24"/>
        </w:rPr>
        <w:t xml:space="preserve"> předchozí a </w:t>
      </w:r>
      <w:r w:rsidRPr="009B3AC2">
        <w:rPr>
          <w:rFonts w:ascii="Times New Roman" w:hAnsi="Times New Roman"/>
          <w:b/>
          <w:sz w:val="24"/>
          <w:szCs w:val="24"/>
        </w:rPr>
        <w:t>revidované struktu</w:t>
      </w:r>
      <w:r w:rsidR="00EE3D81" w:rsidRPr="009B3AC2">
        <w:rPr>
          <w:rFonts w:ascii="Times New Roman" w:hAnsi="Times New Roman"/>
          <w:b/>
          <w:sz w:val="24"/>
          <w:szCs w:val="24"/>
        </w:rPr>
        <w:t>ře</w:t>
      </w:r>
      <w:r w:rsidRPr="009B3AC2">
        <w:rPr>
          <w:rFonts w:ascii="Times New Roman" w:hAnsi="Times New Roman"/>
          <w:b/>
          <w:sz w:val="24"/>
          <w:szCs w:val="24"/>
        </w:rPr>
        <w:t xml:space="preserve"> indexu cen zemědělských výrobců</w:t>
      </w:r>
    </w:p>
    <w:p w:rsidR="004D3CED" w:rsidRDefault="004D3CED" w:rsidP="004D3C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b/>
          <w:sz w:val="24"/>
        </w:rPr>
      </w:pPr>
    </w:p>
    <w:p w:rsidR="00284972" w:rsidRDefault="003E677D" w:rsidP="004D3C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drawing>
          <wp:inline distT="0" distB="0" distL="0" distR="0">
            <wp:extent cx="5673725" cy="32518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25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1FA" w:rsidRDefault="003E677D" w:rsidP="005B2D1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lastRenderedPageBreak/>
        <w:drawing>
          <wp:inline distT="0" distB="0" distL="0" distR="0">
            <wp:extent cx="5678170" cy="32562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32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1FA" w:rsidRDefault="007D41FA" w:rsidP="005B2D1B">
      <w:pPr>
        <w:jc w:val="both"/>
        <w:rPr>
          <w:rFonts w:ascii="Times New Roman" w:hAnsi="Times New Roman"/>
          <w:szCs w:val="24"/>
        </w:rPr>
      </w:pPr>
    </w:p>
    <w:p w:rsidR="005B2D1B" w:rsidRDefault="00AA4A6B" w:rsidP="005B2D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Z</w:t>
      </w:r>
      <w:r w:rsidR="005B2D1B" w:rsidRPr="00EE3D81">
        <w:rPr>
          <w:rFonts w:ascii="Times New Roman" w:hAnsi="Times New Roman"/>
          <w:sz w:val="24"/>
          <w:szCs w:val="24"/>
        </w:rPr>
        <w:t xml:space="preserve"> výpočtu </w:t>
      </w:r>
      <w:r w:rsidR="005B2D1B" w:rsidRPr="00260E56">
        <w:rPr>
          <w:rFonts w:ascii="Times New Roman" w:hAnsi="Times New Roman"/>
          <w:sz w:val="24"/>
          <w:szCs w:val="24"/>
        </w:rPr>
        <w:t>Indexu cen zemědělských výrobců</w:t>
      </w:r>
      <w:r>
        <w:rPr>
          <w:rFonts w:ascii="Times New Roman" w:hAnsi="Times New Roman"/>
          <w:sz w:val="24"/>
          <w:szCs w:val="24"/>
        </w:rPr>
        <w:t xml:space="preserve"> byl vyřazen </w:t>
      </w:r>
      <w:r w:rsidR="008D6F78">
        <w:rPr>
          <w:rFonts w:ascii="Times New Roman" w:hAnsi="Times New Roman"/>
          <w:sz w:val="24"/>
          <w:szCs w:val="24"/>
        </w:rPr>
        <w:t xml:space="preserve">jeden </w:t>
      </w:r>
      <w:r>
        <w:rPr>
          <w:rFonts w:ascii="Times New Roman" w:hAnsi="Times New Roman"/>
          <w:sz w:val="24"/>
          <w:szCs w:val="24"/>
        </w:rPr>
        <w:t>reprezentant s nízkým objemem</w:t>
      </w:r>
      <w:r w:rsidR="00CF5819">
        <w:rPr>
          <w:rFonts w:ascii="Times New Roman" w:hAnsi="Times New Roman"/>
          <w:sz w:val="24"/>
          <w:szCs w:val="24"/>
        </w:rPr>
        <w:t xml:space="preserve"> tržeb na tuzemském trhu v letech</w:t>
      </w:r>
      <w:r w:rsidR="005B2D1B" w:rsidRPr="00EE3D8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 – 2021</w:t>
      </w:r>
      <w:r w:rsidR="005B2D1B" w:rsidRPr="00EE3D81">
        <w:rPr>
          <w:rFonts w:ascii="Times New Roman" w:hAnsi="Times New Roman"/>
          <w:sz w:val="24"/>
          <w:szCs w:val="24"/>
        </w:rPr>
        <w:t>:</w:t>
      </w:r>
    </w:p>
    <w:p w:rsidR="005B2D1B" w:rsidRDefault="005B2D1B" w:rsidP="005B2D1B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B2D1B" w:rsidSect="005B2D1B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D1B" w:rsidRPr="00BD03BE" w:rsidRDefault="00AA4A6B" w:rsidP="00BD03BE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3070</w:t>
      </w:r>
      <w:r w:rsidR="005B2D1B" w:rsidRPr="00BD03BE">
        <w:rPr>
          <w:rFonts w:ascii="Times New Roman" w:hAnsi="Times New Roman"/>
          <w:b/>
          <w:sz w:val="24"/>
          <w:szCs w:val="24"/>
        </w:rPr>
        <w:t xml:space="preserve"> </w:t>
      </w:r>
      <w:r w:rsidR="0092270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kapusta hlávková</w:t>
      </w:r>
    </w:p>
    <w:p w:rsidR="005B2D1B" w:rsidRPr="00BD03BE" w:rsidRDefault="005B2D1B" w:rsidP="00BD03B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B2D1B" w:rsidRDefault="005B2D1B" w:rsidP="005B2D1B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B2D1B" w:rsidSect="002849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03BE" w:rsidRDefault="00BD03BE" w:rsidP="004D3C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F6C29" w:rsidRPr="00ED393D" w:rsidRDefault="00FF6C29" w:rsidP="00FF6C29">
      <w:pPr>
        <w:spacing w:after="0" w:line="240" w:lineRule="auto"/>
        <w:jc w:val="center"/>
        <w:rPr>
          <w:rFonts w:eastAsia="Times New Roman"/>
          <w:b/>
          <w:bCs/>
          <w:color w:val="000000"/>
          <w:u w:val="single"/>
          <w:lang w:eastAsia="cs-CZ"/>
        </w:rPr>
      </w:pPr>
      <w:r w:rsidRPr="00ED393D">
        <w:rPr>
          <w:rFonts w:eastAsia="Times New Roman"/>
          <w:b/>
          <w:bCs/>
          <w:color w:val="000000"/>
          <w:u w:val="single"/>
          <w:lang w:eastAsia="cs-CZ"/>
        </w:rPr>
        <w:t>Proměnlivé měsíční váhy zemědělských výrobků v ‰</w:t>
      </w:r>
    </w:p>
    <w:p w:rsidR="00FF6C29" w:rsidRDefault="00FF6C29" w:rsidP="00FF6C2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05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5"/>
      </w:tblGrid>
      <w:tr w:rsidR="00E53D71" w:rsidRPr="00E53D71" w:rsidTr="00E53D71">
        <w:trPr>
          <w:trHeight w:val="2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2"/>
                <w:szCs w:val="12"/>
                <w:lang w:eastAsia="cs-CZ"/>
              </w:rPr>
              <w:t>kód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color w:val="000000"/>
                <w:sz w:val="16"/>
                <w:szCs w:val="16"/>
                <w:lang w:eastAsia="cs-CZ"/>
              </w:rPr>
              <w:t>název/měsíc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</w:pPr>
            <w:r w:rsidRPr="00E53D71">
              <w:rPr>
                <w:rFonts w:ascii="Arial" w:eastAsia="Times New Roman" w:hAnsi="Arial" w:cs="Calibri"/>
                <w:b/>
                <w:bCs/>
                <w:sz w:val="16"/>
                <w:szCs w:val="16"/>
                <w:lang w:eastAsia="cs-CZ"/>
              </w:rPr>
              <w:t>12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000000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>ZEMĚDĚLSKÁ VÝROBA včetně ryb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1 000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140000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 xml:space="preserve">ZEMĚDĚLSKÁ VÝROBA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991,81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991,46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991,78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991,68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991,81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991,65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992,90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994,59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993,22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992,42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141000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 xml:space="preserve">ZEMĚDĚLSKÁ VÝROBA, bez ovoce a zeleniny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957,24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960,90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868,95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914,84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974,45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942,65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920,05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914,99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915,85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765,79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883,72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948,22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100000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 xml:space="preserve">ROSTLINNÁ VÝROBA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551,64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532,35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575,11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549,47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514,98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544,26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551,35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542,34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611,07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703,67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628,72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584,76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101000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>ROSTLINNÁ VÝROBA, bez ovoce a zeleniny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517,07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501,78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451,81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472,53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498,29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495,23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479,59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465,69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534,02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474,87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519,22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540,57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102000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>OVOCE A ZELENINA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34,57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123,30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76,94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71,76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76,65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77,05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228,80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109,50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44,20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 xml:space="preserve">OBILOVINY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290,83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275,61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314,61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295,62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291,02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296,87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252,28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192,22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240,83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269,35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4"/>
                <w:szCs w:val="14"/>
                <w:lang w:eastAsia="cs-CZ"/>
              </w:rPr>
              <w:t>pšenice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184,00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191,92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174,37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184,89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199,05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187,03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184,12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187,82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159,61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121,61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152,37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170,41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011110.1011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pšenice potravinářská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104,48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108,97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104,98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113,02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106,20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104,55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106,65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90,63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69,05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86,52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96,76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011110.1012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pšenice krmná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79,53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82,95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75,36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79,91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86,03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80,84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79,58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81,18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68,98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52,56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65,85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73,65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žito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4,51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012110.1031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žito potravinářské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4,51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013000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ječmen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60,32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62,92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60,62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65,26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60,36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52,33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39,87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55,87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013110.1023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ječmen krmný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27,67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22,90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25,61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013210.1021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ječmen sladovnický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32,67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34,08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35,34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33,21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21,59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30,26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014000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oves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014110.1042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oves krmný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015000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kukuřice na zrno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33,44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20,43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28,63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015110.1052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kukuřice krmná (na zrno)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33,44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20,43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28,63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019000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obiloviny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3,80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019110.1032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AF2824" w:rsidP="00780672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tritik</w:t>
            </w:r>
            <w:r w:rsidR="00780672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á</w:t>
            </w:r>
            <w:r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le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3,80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PRŮMYSLOVÉ PLODINY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176,97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147,60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128,25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133,61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143,84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135,16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133,06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135,73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182,83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197,78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216,26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225,46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lastRenderedPageBreak/>
              <w:t>021000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olejniny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132,26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123,44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128,51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138,35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127,98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130,55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116,45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92,22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113,87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122,71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021110.1210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semeno řepky olejné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114,19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119,10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108,21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114,74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123,53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116,07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114,26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116,56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99,05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75,47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94,56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105,75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021210.1230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semeno slunečnice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7,96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021910.1220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semeno máku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14,29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14,83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11,35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12,69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luskoviny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022110.1102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hrách krmný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024000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cukrová řepa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39,63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58,36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77,42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80,93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024110.1510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cukrovka technická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39,63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58,36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77,42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80,93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029000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průmyslové plodiny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43,86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20,77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17,12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029210.1310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chmel sušený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43,86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20,77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17,12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030000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KRMNÉ PLODINY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28,20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21,59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24,14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ZELENINA A ZAHRADNICKĚ PRODUKTY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117,40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71,10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63,72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66,29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205,79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96,00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36,73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čerstvá zelenina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63,72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66,29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34,40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36,73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květák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041110.3090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květák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041200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rajčata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041210.3161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rajčata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041900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čerstvá zelenina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42,95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34,40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36,73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041910.3100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zelí bílé hlávkové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041910.3101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zelí červené hlávkové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0,45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041920.3200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salát hlávkový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041940.3134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okurky salátové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041950.3032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mrkev bez natě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11,82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12,81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041960.3172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cibule kuchyňská suchá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6,80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5,37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041999.3012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celer bez natě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4,17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9,92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041999.3042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petržel bez natě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4,80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041999.3061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kedlubny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8,43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041999.3150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paprika zeleninová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sazenice a květiny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101,72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67,74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160,82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042100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školkařské výpěstky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101,72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67,74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160,82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BRAMBORY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11,63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37,96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53,96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31,17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21,62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konzumní brambory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37,96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41,19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16,55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15,03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051110.1610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brambory rané (bez sadby)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36,41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FC463A" w:rsidP="00E53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0512</w:t>
            </w:r>
            <w:r w:rsidR="00E53D71" w:rsidRPr="00E53D71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10.1620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brambory pozdní konzumní (bez sadby)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41,19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16,55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15,03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sadba brambor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052110.1640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sadba brambor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059000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brambory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5,72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059110.1630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brambory průmyslové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5,72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OVOCE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7,47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čerstvé ovoce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32,87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13,50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7,47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stolní jablka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12,32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6,52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061110.2011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konzumní jablka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10,59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4,64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3,12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061120.2012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průmyslová jablka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7,68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061200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stolní hrušky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061210.2020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hrušky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0,95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061300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broskve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061310.2030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broskve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061900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čerstvé ovoce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061910.2060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třešně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061920.2050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švestky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061930.2111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jahody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30,45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061990.2040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meruňky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061990.2070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višně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070000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VÍNO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35,31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072110.1710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čerstvé vinné hrozny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35,31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 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130000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ŽIVOČIŠNÁ VÝROBA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440,17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459,12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417,13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442,30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476,17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447,42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440,46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449,31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381,83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290,92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364,50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407,66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HOSPODÁŘSKÁ ZVÍŘATA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185,26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193,23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175,56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186,16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200,41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188,31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185,38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189,10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160,70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122,44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153,41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171,57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skot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56,44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54,37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58,54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55,00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54,15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55,23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46,94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35,76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44,81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50,11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skot bez telat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50,90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53,09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51,14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55,06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51,73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51,95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33,64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42,15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47,14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111110.4110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cs-CZ"/>
              </w:rPr>
            </w:pPr>
            <w:r w:rsidRPr="00E53D71">
              <w:rPr>
                <w:rFonts w:eastAsia="Times New Roman" w:cs="Calibri"/>
                <w:sz w:val="14"/>
                <w:szCs w:val="14"/>
                <w:lang w:eastAsia="cs-CZ"/>
              </w:rPr>
              <w:t xml:space="preserve">býci jateční v živém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25,07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26,15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23,76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25,20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27,13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25,49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25,09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25,60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21,75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16,57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20,76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23,22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111120.4210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cs-CZ"/>
              </w:rPr>
            </w:pPr>
            <w:r w:rsidRPr="00E53D71">
              <w:rPr>
                <w:rFonts w:eastAsia="Times New Roman" w:cs="Calibri"/>
                <w:sz w:val="14"/>
                <w:szCs w:val="14"/>
                <w:lang w:eastAsia="cs-CZ"/>
              </w:rPr>
              <w:t>jalovice jatečné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7,58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8,17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6,94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5,29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6,63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7,41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lastRenderedPageBreak/>
              <w:t>111130.4310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cs-CZ"/>
              </w:rPr>
            </w:pPr>
            <w:r w:rsidRPr="00E53D71">
              <w:rPr>
                <w:rFonts w:eastAsia="Times New Roman" w:cs="Calibri"/>
                <w:sz w:val="14"/>
                <w:szCs w:val="14"/>
                <w:lang w:eastAsia="cs-CZ"/>
              </w:rPr>
              <w:t>krávy jatečné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17,82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18,59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16,89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17,91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19,28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18,11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17,83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18,19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15,46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11,78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14,76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2"/>
                <w:lang w:eastAsia="cs-CZ"/>
              </w:rPr>
            </w:pPr>
            <w:r w:rsidRPr="00E53D71">
              <w:rPr>
                <w:rFonts w:eastAsia="Times New Roman" w:cs="Calibri"/>
                <w:sz w:val="12"/>
                <w:szCs w:val="12"/>
                <w:lang w:eastAsia="cs-CZ"/>
              </w:rPr>
              <w:t>16,50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111200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telata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2,66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2,98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111210.4410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telata jatečná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2,66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2,98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prasata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74,24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77,44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70,36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74,60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80,31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75,46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74,29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75,78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64,40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61,48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68,76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112110.4610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prasata jatečná v živém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73,27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76,42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69,44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73,63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79,26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74,48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73,32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74,79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63,56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48,43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60,67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67,86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112120.5610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odstavená selata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0,81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0,90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drůbež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56,91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59,35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53,93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57,18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61,56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57,84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56,94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58,09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37,61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47,12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52,70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115100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kuřata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45,58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52,03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41,72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39,83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44,54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115110.5011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kuřata jatečná v živém, I. tř. </w:t>
            </w:r>
            <w:proofErr w:type="gramStart"/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jakosti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50,17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45,58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52,03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48,13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49,09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41,72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31,79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39,83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44,54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115900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ostatní drůbež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8,85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9,53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7,29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8,16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115910.5031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krůty brojlerové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4,85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115910.5041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kachny jatečné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3,01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1,95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2,44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2,73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120000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ŽIVOČIŠNÉ VÝROBKY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254,91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265,88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241,57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256,15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275,76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259,11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255,08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260,20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221,12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168,48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211,09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236,08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121000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mléko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229,10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238,96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217,11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230,21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247,84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232,87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229,25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233,86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198,74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151,42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189,72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212,18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121110.4911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mléko kravské, třída jakosti Q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229,10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238,96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217,11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230,21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247,84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232,87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229,25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233,86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198,74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151,42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189,72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212,18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122000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 xml:space="preserve">vejce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21,37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23,90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color w:val="000000"/>
                <w:sz w:val="12"/>
                <w:szCs w:val="12"/>
                <w:lang w:eastAsia="cs-CZ"/>
              </w:rPr>
              <w:t>122110.5512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vejce slepičí konzumní tříděná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24,46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27,92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25,83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26,35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22,39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17,06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21,37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23,90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200000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4"/>
                <w:szCs w:val="14"/>
                <w:lang w:eastAsia="cs-CZ"/>
              </w:rPr>
              <w:t>RYBY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8,85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8,35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5,41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6,78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Calibri"/>
                <w:sz w:val="12"/>
                <w:szCs w:val="12"/>
                <w:lang w:eastAsia="cs-CZ"/>
              </w:rPr>
              <w:t>7,58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211111.5812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kapr tř. I. v živém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7,52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8,13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7,52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7,68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6,52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6,23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6,96</w:t>
            </w:r>
          </w:p>
        </w:tc>
      </w:tr>
      <w:tr w:rsidR="00E53D71" w:rsidRPr="00E53D71" w:rsidTr="00E53D71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211111.5823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pstruh v živém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0,72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0,58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0,44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71" w:rsidRPr="00E53D71" w:rsidRDefault="00E53D71" w:rsidP="00E53D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E53D7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0,62</w:t>
            </w:r>
          </w:p>
        </w:tc>
      </w:tr>
    </w:tbl>
    <w:p w:rsidR="00E53D71" w:rsidRDefault="00E53D71" w:rsidP="004D3C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D3CED" w:rsidRPr="00C9745C" w:rsidRDefault="00284972" w:rsidP="004D3C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745C">
        <w:rPr>
          <w:rFonts w:ascii="Times New Roman" w:hAnsi="Times New Roman"/>
          <w:b/>
          <w:sz w:val="28"/>
          <w:szCs w:val="28"/>
          <w:u w:val="single"/>
        </w:rPr>
        <w:t>Platná m</w:t>
      </w:r>
      <w:r w:rsidR="004D3CED" w:rsidRPr="00C9745C">
        <w:rPr>
          <w:rFonts w:ascii="Times New Roman" w:hAnsi="Times New Roman"/>
          <w:b/>
          <w:sz w:val="28"/>
          <w:szCs w:val="28"/>
          <w:u w:val="single"/>
        </w:rPr>
        <w:t xml:space="preserve">etodika </w:t>
      </w:r>
    </w:p>
    <w:p w:rsidR="00284972" w:rsidRDefault="00284972" w:rsidP="0000645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Platná metodika výpočtu indexu cen zemědělských výrobců vychází z</w:t>
      </w:r>
      <w:r w:rsidR="0025702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metodiky</w:t>
      </w:r>
      <w:r w:rsidR="00257025">
        <w:rPr>
          <w:rFonts w:ascii="Times New Roman" w:hAnsi="Times New Roman"/>
          <w:sz w:val="24"/>
        </w:rPr>
        <w:t xml:space="preserve"> </w:t>
      </w:r>
      <w:proofErr w:type="spellStart"/>
      <w:r w:rsidR="00BD03BE">
        <w:rPr>
          <w:rFonts w:ascii="Times New Roman" w:hAnsi="Times New Roman"/>
          <w:sz w:val="24"/>
        </w:rPr>
        <w:t>Eurostatu</w:t>
      </w:r>
      <w:proofErr w:type="spellEnd"/>
      <w:r>
        <w:rPr>
          <w:rFonts w:ascii="Times New Roman" w:hAnsi="Times New Roman"/>
          <w:sz w:val="24"/>
        </w:rPr>
        <w:t>.</w:t>
      </w:r>
    </w:p>
    <w:p w:rsidR="00260E56" w:rsidRDefault="00006459" w:rsidP="0000645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</w:t>
      </w:r>
      <w:r w:rsidR="0064204A" w:rsidRPr="00147221">
        <w:rPr>
          <w:rFonts w:ascii="Times New Roman" w:hAnsi="Times New Roman"/>
          <w:sz w:val="24"/>
        </w:rPr>
        <w:t>áhové podíly zemědělských</w:t>
      </w:r>
      <w:r w:rsidR="000D6817" w:rsidRPr="00147221">
        <w:rPr>
          <w:rFonts w:ascii="Times New Roman" w:hAnsi="Times New Roman"/>
          <w:sz w:val="24"/>
        </w:rPr>
        <w:t xml:space="preserve"> </w:t>
      </w:r>
      <w:r w:rsidR="0064204A" w:rsidRPr="00147221">
        <w:rPr>
          <w:rFonts w:ascii="Times New Roman" w:hAnsi="Times New Roman"/>
          <w:sz w:val="24"/>
        </w:rPr>
        <w:t xml:space="preserve">sezónních </w:t>
      </w:r>
      <w:r w:rsidR="00E521AD">
        <w:rPr>
          <w:rFonts w:ascii="Times New Roman" w:hAnsi="Times New Roman"/>
          <w:sz w:val="24"/>
        </w:rPr>
        <w:t xml:space="preserve">a nesezónních </w:t>
      </w:r>
      <w:r w:rsidR="0064204A" w:rsidRPr="00147221">
        <w:rPr>
          <w:rFonts w:ascii="Times New Roman" w:hAnsi="Times New Roman"/>
          <w:sz w:val="24"/>
        </w:rPr>
        <w:t xml:space="preserve">komodit se v různých měsících roku od sebe navzájem liší, </w:t>
      </w:r>
      <w:r w:rsidR="00E521AD">
        <w:rPr>
          <w:rFonts w:ascii="Times New Roman" w:hAnsi="Times New Roman"/>
          <w:sz w:val="24"/>
        </w:rPr>
        <w:t>proto bylo</w:t>
      </w:r>
      <w:r w:rsidR="0064204A" w:rsidRPr="00147221">
        <w:rPr>
          <w:rFonts w:ascii="Times New Roman" w:hAnsi="Times New Roman"/>
          <w:sz w:val="24"/>
        </w:rPr>
        <w:t xml:space="preserve"> </w:t>
      </w:r>
      <w:r w:rsidR="00406A31" w:rsidRPr="00147221">
        <w:rPr>
          <w:rFonts w:ascii="Times New Roman" w:hAnsi="Times New Roman"/>
          <w:sz w:val="24"/>
        </w:rPr>
        <w:t xml:space="preserve">ve </w:t>
      </w:r>
      <w:r w:rsidR="0064204A" w:rsidRPr="00147221">
        <w:rPr>
          <w:rFonts w:ascii="Times New Roman" w:hAnsi="Times New Roman"/>
          <w:sz w:val="24"/>
        </w:rPr>
        <w:t>výpočtu indexu použ</w:t>
      </w:r>
      <w:r w:rsidR="00E521AD">
        <w:rPr>
          <w:rFonts w:ascii="Times New Roman" w:hAnsi="Times New Roman"/>
          <w:sz w:val="24"/>
        </w:rPr>
        <w:t>ito</w:t>
      </w:r>
      <w:r w:rsidR="0064204A" w:rsidRPr="00147221">
        <w:rPr>
          <w:rFonts w:ascii="Times New Roman" w:hAnsi="Times New Roman"/>
          <w:sz w:val="24"/>
        </w:rPr>
        <w:t xml:space="preserve"> dvourozměrného, váhového schématu ve tvaru matice. Jeden rozměr je určen pro vertikální agregaci od úrovně reprezentantů až po nejvyšší úroveň</w:t>
      </w:r>
      <w:r w:rsidR="000D6817" w:rsidRPr="00147221">
        <w:rPr>
          <w:rFonts w:ascii="Times New Roman" w:hAnsi="Times New Roman"/>
          <w:sz w:val="24"/>
        </w:rPr>
        <w:t>, druhý rozměr je pro 12 měsíců v roce. Nominálnímu součtu 1000 je pak roven součet v</w:t>
      </w:r>
      <w:r w:rsidR="005B2D1B">
        <w:rPr>
          <w:rFonts w:ascii="Times New Roman" w:hAnsi="Times New Roman"/>
          <w:sz w:val="24"/>
        </w:rPr>
        <w:t>ah nejvyšší agregace „Zemědělská výroba včetně ryb</w:t>
      </w:r>
      <w:r w:rsidR="00406A31" w:rsidRPr="00147221">
        <w:rPr>
          <w:rFonts w:ascii="Times New Roman" w:hAnsi="Times New Roman"/>
          <w:sz w:val="24"/>
        </w:rPr>
        <w:t>“ za každý měsíc v roce.</w:t>
      </w:r>
      <w:r w:rsidR="00E521AD">
        <w:rPr>
          <w:rFonts w:ascii="Times New Roman" w:hAnsi="Times New Roman"/>
          <w:sz w:val="24"/>
        </w:rPr>
        <w:t xml:space="preserve"> </w:t>
      </w:r>
      <w:r w:rsidR="000B2328">
        <w:rPr>
          <w:rFonts w:ascii="Times New Roman" w:hAnsi="Times New Roman"/>
          <w:sz w:val="24"/>
        </w:rPr>
        <w:t>P</w:t>
      </w:r>
      <w:r w:rsidR="000B2328" w:rsidRPr="00E521AD">
        <w:rPr>
          <w:rFonts w:ascii="Times New Roman" w:hAnsi="Times New Roman"/>
          <w:sz w:val="24"/>
        </w:rPr>
        <w:t>ro výpočet indexu cen zemědělských výrobců</w:t>
      </w:r>
      <w:r w:rsidR="000B2328">
        <w:rPr>
          <w:rFonts w:ascii="Times New Roman" w:hAnsi="Times New Roman"/>
          <w:sz w:val="24"/>
        </w:rPr>
        <w:t xml:space="preserve"> se tudíž využívá</w:t>
      </w:r>
      <w:r w:rsidR="00ED7ABE">
        <w:rPr>
          <w:rFonts w:ascii="Times New Roman" w:hAnsi="Times New Roman"/>
          <w:sz w:val="24"/>
        </w:rPr>
        <w:t xml:space="preserve"> </w:t>
      </w:r>
      <w:r w:rsidR="00E521AD" w:rsidRPr="00E521AD">
        <w:rPr>
          <w:rFonts w:ascii="Times New Roman" w:hAnsi="Times New Roman"/>
          <w:sz w:val="24"/>
        </w:rPr>
        <w:t xml:space="preserve">proměnlivých měsíčních </w:t>
      </w:r>
      <w:r w:rsidR="00406A31" w:rsidRPr="00E521AD">
        <w:rPr>
          <w:rFonts w:ascii="Times New Roman" w:hAnsi="Times New Roman"/>
          <w:sz w:val="24"/>
        </w:rPr>
        <w:t>v</w:t>
      </w:r>
      <w:r w:rsidR="00E521AD" w:rsidRPr="00E521AD">
        <w:rPr>
          <w:rFonts w:ascii="Times New Roman" w:hAnsi="Times New Roman"/>
          <w:sz w:val="24"/>
        </w:rPr>
        <w:t>ah</w:t>
      </w:r>
      <w:r w:rsidR="000D6817" w:rsidRPr="00E521AD">
        <w:rPr>
          <w:rFonts w:ascii="Times New Roman" w:hAnsi="Times New Roman"/>
          <w:sz w:val="24"/>
        </w:rPr>
        <w:t xml:space="preserve"> </w:t>
      </w:r>
      <w:r w:rsidR="000B2328">
        <w:rPr>
          <w:rFonts w:ascii="Times New Roman" w:hAnsi="Times New Roman"/>
          <w:sz w:val="24"/>
        </w:rPr>
        <w:t>(názorně uvedeno v tabulce</w:t>
      </w:r>
      <w:r w:rsidR="00E521AD">
        <w:rPr>
          <w:rFonts w:ascii="Times New Roman" w:hAnsi="Times New Roman"/>
          <w:sz w:val="24"/>
        </w:rPr>
        <w:t xml:space="preserve"> níže)</w:t>
      </w:r>
      <w:r w:rsidR="000D6817" w:rsidRPr="00E521AD">
        <w:rPr>
          <w:rFonts w:ascii="Times New Roman" w:hAnsi="Times New Roman"/>
          <w:sz w:val="24"/>
        </w:rPr>
        <w:t>.</w:t>
      </w:r>
      <w:r w:rsidR="00250639" w:rsidRPr="00250639">
        <w:rPr>
          <w:rFonts w:ascii="Times New Roman" w:hAnsi="Times New Roman"/>
          <w:sz w:val="24"/>
          <w:szCs w:val="24"/>
        </w:rPr>
        <w:t xml:space="preserve"> </w:t>
      </w:r>
    </w:p>
    <w:p w:rsidR="00FF6C29" w:rsidRDefault="00FF6C29" w:rsidP="0025063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sz w:val="24"/>
          <w:szCs w:val="24"/>
        </w:rPr>
      </w:pPr>
    </w:p>
    <w:p w:rsidR="00250639" w:rsidRPr="00147221" w:rsidRDefault="00250639" w:rsidP="0025063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Společně s bazickými indexy počítan</w:t>
      </w:r>
      <w:r w:rsidR="00E521AD">
        <w:rPr>
          <w:rFonts w:ascii="Times New Roman" w:hAnsi="Times New Roman"/>
          <w:sz w:val="24"/>
          <w:szCs w:val="24"/>
        </w:rPr>
        <w:t>ými</w:t>
      </w:r>
      <w:r>
        <w:rPr>
          <w:rFonts w:ascii="Times New Roman" w:hAnsi="Times New Roman"/>
          <w:sz w:val="24"/>
          <w:szCs w:val="24"/>
        </w:rPr>
        <w:t xml:space="preserve"> k cenovému základu </w:t>
      </w:r>
      <w:r w:rsidRPr="00250639">
        <w:rPr>
          <w:rFonts w:ascii="Times New Roman" w:hAnsi="Times New Roman"/>
          <w:b/>
          <w:sz w:val="24"/>
          <w:szCs w:val="24"/>
        </w:rPr>
        <w:t>průměr rok</w:t>
      </w:r>
      <w:r w:rsidR="00AA4A6B">
        <w:rPr>
          <w:rFonts w:ascii="Times New Roman" w:hAnsi="Times New Roman"/>
          <w:b/>
          <w:sz w:val="24"/>
          <w:szCs w:val="24"/>
        </w:rPr>
        <w:t>u 2020</w:t>
      </w:r>
      <w:r w:rsidR="00290DFF">
        <w:rPr>
          <w:rFonts w:ascii="Times New Roman" w:hAnsi="Times New Roman"/>
          <w:b/>
          <w:sz w:val="24"/>
          <w:szCs w:val="24"/>
        </w:rPr>
        <w:t xml:space="preserve"> </w:t>
      </w:r>
      <w:r w:rsidRPr="00250639">
        <w:rPr>
          <w:rFonts w:ascii="Times New Roman" w:hAnsi="Times New Roman"/>
          <w:b/>
          <w:sz w:val="24"/>
          <w:szCs w:val="24"/>
        </w:rPr>
        <w:t>=</w:t>
      </w:r>
      <w:r w:rsidR="00290DFF">
        <w:rPr>
          <w:rFonts w:ascii="Times New Roman" w:hAnsi="Times New Roman"/>
          <w:b/>
          <w:sz w:val="24"/>
          <w:szCs w:val="24"/>
        </w:rPr>
        <w:t xml:space="preserve"> </w:t>
      </w:r>
      <w:r w:rsidRPr="00250639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, se nadále kalkulují a zveřejňují indexy s odvozenými cenovými základy. Přehled všech typů indexů je následující: </w:t>
      </w:r>
      <w:r w:rsidRPr="00147221">
        <w:rPr>
          <w:rFonts w:ascii="Times New Roman" w:hAnsi="Times New Roman"/>
          <w:sz w:val="24"/>
          <w:szCs w:val="24"/>
        </w:rPr>
        <w:t xml:space="preserve">  </w:t>
      </w:r>
    </w:p>
    <w:p w:rsidR="00250639" w:rsidRPr="00147221" w:rsidRDefault="00AA4A6B" w:rsidP="008C596A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 roku 2020</w:t>
      </w:r>
      <w:r w:rsidR="00250639" w:rsidRPr="00147221">
        <w:rPr>
          <w:rFonts w:ascii="Times New Roman" w:hAnsi="Times New Roman"/>
          <w:sz w:val="24"/>
          <w:szCs w:val="24"/>
        </w:rPr>
        <w:t xml:space="preserve"> = 100 (základní index počítaný z cen)</w:t>
      </w:r>
    </w:p>
    <w:p w:rsidR="00250639" w:rsidRPr="00147221" w:rsidRDefault="00250639" w:rsidP="008C596A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221">
        <w:rPr>
          <w:rFonts w:ascii="Times New Roman" w:hAnsi="Times New Roman"/>
          <w:sz w:val="24"/>
          <w:szCs w:val="24"/>
        </w:rPr>
        <w:t>stejné období předchozího roku = 100</w:t>
      </w:r>
    </w:p>
    <w:p w:rsidR="00250639" w:rsidRPr="00147221" w:rsidRDefault="00250639" w:rsidP="008C596A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221">
        <w:rPr>
          <w:rFonts w:ascii="Times New Roman" w:hAnsi="Times New Roman"/>
          <w:sz w:val="24"/>
          <w:szCs w:val="24"/>
        </w:rPr>
        <w:t>předchozí měsíc = 100</w:t>
      </w:r>
    </w:p>
    <w:p w:rsidR="00250639" w:rsidRPr="00147221" w:rsidRDefault="00250639" w:rsidP="008C596A">
      <w:pPr>
        <w:numPr>
          <w:ilvl w:val="0"/>
          <w:numId w:val="1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221">
        <w:rPr>
          <w:rFonts w:ascii="Times New Roman" w:hAnsi="Times New Roman"/>
          <w:sz w:val="24"/>
          <w:szCs w:val="24"/>
        </w:rPr>
        <w:t>podíl klouzavých průměrů indexů</w:t>
      </w:r>
    </w:p>
    <w:p w:rsidR="00250639" w:rsidRPr="00147221" w:rsidRDefault="00250639" w:rsidP="0025063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50639" w:rsidRPr="00147221" w:rsidRDefault="00250639" w:rsidP="0025063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06A31" w:rsidRPr="00032899" w:rsidRDefault="00250639" w:rsidP="00032899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24"/>
          <w:szCs w:val="24"/>
        </w:rPr>
      </w:pPr>
      <w:r w:rsidRPr="00250639">
        <w:rPr>
          <w:rFonts w:ascii="Times New Roman" w:hAnsi="Times New Roman"/>
          <w:b/>
          <w:sz w:val="24"/>
          <w:szCs w:val="24"/>
        </w:rPr>
        <w:t>Indexy typu a), c), d) pro jakékoliv agregace odrážejí nejen změnu cen svých podpoložek, ale i změnu váhové struktury, jakou se tyto na dané agregaci pro daný měsíc podílejí. Naopak, v indexu typu b) jsou srovnávané pouze období se stejnou váhovou strukturou a proto indexy cen vyšších agregací odrážejí pouze čistou změnu cenových</w:t>
      </w:r>
      <w:r w:rsidR="00FF6C29">
        <w:rPr>
          <w:rFonts w:ascii="Times New Roman" w:hAnsi="Times New Roman"/>
          <w:b/>
          <w:sz w:val="24"/>
          <w:szCs w:val="24"/>
        </w:rPr>
        <w:t xml:space="preserve"> hladin v zemědělské produkci.</w:t>
      </w:r>
    </w:p>
    <w:sectPr w:rsidR="00406A31" w:rsidRPr="00032899" w:rsidSect="0028497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E8" w:rsidRDefault="00D50CE8">
      <w:pPr>
        <w:spacing w:after="0" w:line="240" w:lineRule="auto"/>
      </w:pPr>
      <w:r>
        <w:separator/>
      </w:r>
    </w:p>
  </w:endnote>
  <w:endnote w:type="continuationSeparator" w:id="0">
    <w:p w:rsidR="00D50CE8" w:rsidRDefault="00D5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 oby ejné">
    <w:altName w:val="Lucida Console"/>
    <w:charset w:val="00"/>
    <w:family w:val="swiss"/>
    <w:pitch w:val="fixed"/>
    <w:sig w:usb0="00000003" w:usb1="00000000" w:usb2="00000000" w:usb3="00000000" w:csb0="00000001" w:csb1="00000000"/>
  </w:font>
  <w:font w:name="Arial obyèejné">
    <w:altName w:val="Arial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D1B" w:rsidRDefault="005B2D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pat"/>
      <w:framePr w:wrap="around" w:vAnchor="text" w:hAnchor="margin" w:xAlign="right" w:y="1"/>
      <w:rPr>
        <w:rStyle w:val="slostrnky"/>
      </w:rPr>
    </w:pPr>
  </w:p>
  <w:p w:rsidR="005B2D1B" w:rsidRDefault="005B2D1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D1B" w:rsidRDefault="005B2D1B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pat"/>
      <w:framePr w:wrap="around" w:vAnchor="text" w:hAnchor="margin" w:xAlign="right" w:y="1"/>
      <w:rPr>
        <w:rStyle w:val="slostrnky"/>
      </w:rPr>
    </w:pPr>
  </w:p>
  <w:p w:rsidR="005B2D1B" w:rsidRDefault="005B2D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E8" w:rsidRDefault="00D50CE8">
      <w:pPr>
        <w:spacing w:after="0" w:line="240" w:lineRule="auto"/>
      </w:pPr>
      <w:r>
        <w:separator/>
      </w:r>
    </w:p>
  </w:footnote>
  <w:footnote w:type="continuationSeparator" w:id="0">
    <w:p w:rsidR="00D50CE8" w:rsidRDefault="00D5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D1B" w:rsidRDefault="005B2D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</w:t>
    </w:r>
  </w:p>
  <w:p w:rsidR="005B2D1B" w:rsidRDefault="005B2D1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D1B" w:rsidRDefault="005B2D1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B" w:rsidRDefault="005B2D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</w:t>
    </w:r>
  </w:p>
  <w:p w:rsidR="005B2D1B" w:rsidRDefault="005B2D1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177D"/>
    <w:multiLevelType w:val="hybridMultilevel"/>
    <w:tmpl w:val="C0D0A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71CE8"/>
    <w:multiLevelType w:val="hybridMultilevel"/>
    <w:tmpl w:val="709C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8"/>
    <w:rsid w:val="0000129B"/>
    <w:rsid w:val="00006459"/>
    <w:rsid w:val="00032899"/>
    <w:rsid w:val="000A66A8"/>
    <w:rsid w:val="000B2328"/>
    <w:rsid w:val="000D6817"/>
    <w:rsid w:val="001209E8"/>
    <w:rsid w:val="001275AA"/>
    <w:rsid w:val="00142EF2"/>
    <w:rsid w:val="00147221"/>
    <w:rsid w:val="00167101"/>
    <w:rsid w:val="001B6C1E"/>
    <w:rsid w:val="001E726C"/>
    <w:rsid w:val="0020520F"/>
    <w:rsid w:val="0022795C"/>
    <w:rsid w:val="00250639"/>
    <w:rsid w:val="002518B0"/>
    <w:rsid w:val="00257025"/>
    <w:rsid w:val="00260E56"/>
    <w:rsid w:val="00262D10"/>
    <w:rsid w:val="00284972"/>
    <w:rsid w:val="00290AE5"/>
    <w:rsid w:val="00290DFF"/>
    <w:rsid w:val="002B1B8D"/>
    <w:rsid w:val="002B22D7"/>
    <w:rsid w:val="002D1E5D"/>
    <w:rsid w:val="00306649"/>
    <w:rsid w:val="0038315F"/>
    <w:rsid w:val="003E47B6"/>
    <w:rsid w:val="003E677D"/>
    <w:rsid w:val="00402B1F"/>
    <w:rsid w:val="00406A31"/>
    <w:rsid w:val="00487C0A"/>
    <w:rsid w:val="00497353"/>
    <w:rsid w:val="004B7F69"/>
    <w:rsid w:val="004D3CED"/>
    <w:rsid w:val="005120B7"/>
    <w:rsid w:val="005B2D1B"/>
    <w:rsid w:val="005B554E"/>
    <w:rsid w:val="005C7858"/>
    <w:rsid w:val="005D09BF"/>
    <w:rsid w:val="005F3FEF"/>
    <w:rsid w:val="005F7555"/>
    <w:rsid w:val="0060418F"/>
    <w:rsid w:val="00641BDF"/>
    <w:rsid w:val="0064204A"/>
    <w:rsid w:val="00683457"/>
    <w:rsid w:val="00685312"/>
    <w:rsid w:val="006D4FBF"/>
    <w:rsid w:val="00707F35"/>
    <w:rsid w:val="00717FB0"/>
    <w:rsid w:val="007437CC"/>
    <w:rsid w:val="00774CA8"/>
    <w:rsid w:val="00780672"/>
    <w:rsid w:val="007A2EFC"/>
    <w:rsid w:val="007C7100"/>
    <w:rsid w:val="007D41FA"/>
    <w:rsid w:val="007F2B94"/>
    <w:rsid w:val="00820602"/>
    <w:rsid w:val="008562F2"/>
    <w:rsid w:val="008A0119"/>
    <w:rsid w:val="008C135D"/>
    <w:rsid w:val="008C596A"/>
    <w:rsid w:val="008D03E9"/>
    <w:rsid w:val="008D6F78"/>
    <w:rsid w:val="008E06F0"/>
    <w:rsid w:val="008F2A2E"/>
    <w:rsid w:val="0092270C"/>
    <w:rsid w:val="00925859"/>
    <w:rsid w:val="009264EC"/>
    <w:rsid w:val="009644A2"/>
    <w:rsid w:val="0096580F"/>
    <w:rsid w:val="00993848"/>
    <w:rsid w:val="009B3AC2"/>
    <w:rsid w:val="009D4265"/>
    <w:rsid w:val="00A36A1D"/>
    <w:rsid w:val="00A95C3A"/>
    <w:rsid w:val="00AA4A6B"/>
    <w:rsid w:val="00AB542A"/>
    <w:rsid w:val="00AB7C8E"/>
    <w:rsid w:val="00AF027D"/>
    <w:rsid w:val="00AF2824"/>
    <w:rsid w:val="00B275DD"/>
    <w:rsid w:val="00B519C8"/>
    <w:rsid w:val="00B660B1"/>
    <w:rsid w:val="00BA57FE"/>
    <w:rsid w:val="00BB67BD"/>
    <w:rsid w:val="00BC10C0"/>
    <w:rsid w:val="00BD03BE"/>
    <w:rsid w:val="00BF79A8"/>
    <w:rsid w:val="00C04992"/>
    <w:rsid w:val="00C3437F"/>
    <w:rsid w:val="00C55726"/>
    <w:rsid w:val="00C9745C"/>
    <w:rsid w:val="00CB0823"/>
    <w:rsid w:val="00CF5819"/>
    <w:rsid w:val="00D15C7B"/>
    <w:rsid w:val="00D15F28"/>
    <w:rsid w:val="00D17353"/>
    <w:rsid w:val="00D50CE8"/>
    <w:rsid w:val="00D53088"/>
    <w:rsid w:val="00D858F1"/>
    <w:rsid w:val="00D950BF"/>
    <w:rsid w:val="00DB54B1"/>
    <w:rsid w:val="00E031E1"/>
    <w:rsid w:val="00E20CEF"/>
    <w:rsid w:val="00E237F0"/>
    <w:rsid w:val="00E40038"/>
    <w:rsid w:val="00E43372"/>
    <w:rsid w:val="00E521AD"/>
    <w:rsid w:val="00E53D71"/>
    <w:rsid w:val="00E973C1"/>
    <w:rsid w:val="00ED393D"/>
    <w:rsid w:val="00ED7ABE"/>
    <w:rsid w:val="00EE1033"/>
    <w:rsid w:val="00EE3D81"/>
    <w:rsid w:val="00EE6438"/>
    <w:rsid w:val="00F03C37"/>
    <w:rsid w:val="00F10EE0"/>
    <w:rsid w:val="00F63D9A"/>
    <w:rsid w:val="00F84FD9"/>
    <w:rsid w:val="00F9557D"/>
    <w:rsid w:val="00FA6D34"/>
    <w:rsid w:val="00FC463A"/>
    <w:rsid w:val="00FF2A00"/>
    <w:rsid w:val="00FF476C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591C"/>
  <w15:chartTrackingRefBased/>
  <w15:docId w15:val="{FE5D958F-DA0D-4C05-AA17-AE67939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8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53088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Arial CE oby ejné" w:eastAsia="Times New Roman" w:hAnsi="Arial CE oby ejné"/>
      <w:b/>
      <w:sz w:val="24"/>
      <w:szCs w:val="20"/>
      <w:lang w:val="x-none" w:eastAsia="cs-CZ"/>
    </w:rPr>
  </w:style>
  <w:style w:type="character" w:customStyle="1" w:styleId="NzevChar">
    <w:name w:val="Název Char"/>
    <w:link w:val="Nzev"/>
    <w:rsid w:val="00D53088"/>
    <w:rPr>
      <w:rFonts w:ascii="Arial CE oby ejné" w:eastAsia="Times New Roman" w:hAnsi="Arial CE oby ejné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D5308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ZhlavChar">
    <w:name w:val="Záhlaví Char"/>
    <w:link w:val="Zhlav"/>
    <w:semiHidden/>
    <w:rsid w:val="00D5308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semiHidden/>
    <w:rsid w:val="00D53088"/>
  </w:style>
  <w:style w:type="paragraph" w:styleId="Zpat">
    <w:name w:val="footer"/>
    <w:basedOn w:val="Normln"/>
    <w:link w:val="ZpatChar"/>
    <w:semiHidden/>
    <w:rsid w:val="00D5308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ZpatChar">
    <w:name w:val="Zápatí Char"/>
    <w:link w:val="Zpat"/>
    <w:semiHidden/>
    <w:rsid w:val="00D5308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semiHidden/>
    <w:rsid w:val="00D53088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obyèejné" w:eastAsia="Times New Roman" w:hAnsi="Arial obyèejné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D53088"/>
    <w:rPr>
      <w:rFonts w:ascii="Arial obyèejné" w:eastAsia="Times New Roman" w:hAnsi="Arial obyèejné" w:cs="Times New Roman"/>
      <w:sz w:val="24"/>
      <w:szCs w:val="20"/>
      <w:lang w:eastAsia="cs-CZ"/>
    </w:rPr>
  </w:style>
  <w:style w:type="paragraph" w:customStyle="1" w:styleId="Style0">
    <w:name w:val="Style0"/>
    <w:rsid w:val="00D53088"/>
    <w:rPr>
      <w:rFonts w:ascii="MS Sans Serif" w:eastAsia="Times New Roman" w:hAnsi="MS Sans Serif"/>
      <w:snapToGrid w:val="0"/>
      <w:sz w:val="24"/>
    </w:rPr>
  </w:style>
  <w:style w:type="paragraph" w:styleId="Bezmezer">
    <w:name w:val="No Spacing"/>
    <w:uiPriority w:val="1"/>
    <w:qFormat/>
    <w:rsid w:val="00147221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7FB0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7FB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9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D393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semiHidden/>
    <w:unhideWhenUsed/>
    <w:rsid w:val="00E53D71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E53D71"/>
    <w:rPr>
      <w:color w:val="954F72"/>
      <w:u w:val="single"/>
    </w:rPr>
  </w:style>
  <w:style w:type="paragraph" w:customStyle="1" w:styleId="msonormal0">
    <w:name w:val="msonormal"/>
    <w:basedOn w:val="Normln"/>
    <w:rsid w:val="00E5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5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E53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E5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E5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E53D71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70">
    <w:name w:val="xl70"/>
    <w:basedOn w:val="Normln"/>
    <w:rsid w:val="00E53D7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71">
    <w:name w:val="xl71"/>
    <w:basedOn w:val="Normln"/>
    <w:rsid w:val="00E53D71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72">
    <w:name w:val="xl72"/>
    <w:basedOn w:val="Normln"/>
    <w:rsid w:val="00E53D71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3">
    <w:name w:val="xl73"/>
    <w:basedOn w:val="Normln"/>
    <w:rsid w:val="00E53D7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4">
    <w:name w:val="xl74"/>
    <w:basedOn w:val="Normln"/>
    <w:rsid w:val="00E53D71"/>
    <w:pP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5">
    <w:name w:val="xl75"/>
    <w:basedOn w:val="Normln"/>
    <w:rsid w:val="00E53D71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6">
    <w:name w:val="xl76"/>
    <w:basedOn w:val="Normln"/>
    <w:rsid w:val="00E53D71"/>
    <w:pP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7">
    <w:name w:val="xl77"/>
    <w:basedOn w:val="Normln"/>
    <w:rsid w:val="00E53D71"/>
    <w:pPr>
      <w:pBdr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8">
    <w:name w:val="xl78"/>
    <w:basedOn w:val="Normln"/>
    <w:rsid w:val="00E53D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79">
    <w:name w:val="xl79"/>
    <w:basedOn w:val="Normln"/>
    <w:rsid w:val="00E53D71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80">
    <w:name w:val="xl80"/>
    <w:basedOn w:val="Normln"/>
    <w:rsid w:val="00E53D71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81">
    <w:name w:val="xl81"/>
    <w:basedOn w:val="Normln"/>
    <w:rsid w:val="00E53D71"/>
    <w:pPr>
      <w:pBdr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82">
    <w:name w:val="xl82"/>
    <w:basedOn w:val="Normln"/>
    <w:rsid w:val="00E53D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3">
    <w:name w:val="xl83"/>
    <w:basedOn w:val="Normln"/>
    <w:rsid w:val="00E53D7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E53D71"/>
    <w:pP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85">
    <w:name w:val="xl85"/>
    <w:basedOn w:val="Normln"/>
    <w:rsid w:val="00E53D71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86">
    <w:name w:val="xl86"/>
    <w:basedOn w:val="Normln"/>
    <w:rsid w:val="00E53D7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7">
    <w:name w:val="xl87"/>
    <w:basedOn w:val="Normln"/>
    <w:rsid w:val="00E53D7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8">
    <w:name w:val="xl88"/>
    <w:basedOn w:val="Normln"/>
    <w:rsid w:val="00E53D7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89">
    <w:name w:val="xl89"/>
    <w:basedOn w:val="Normln"/>
    <w:rsid w:val="00E5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0">
    <w:name w:val="xl90"/>
    <w:basedOn w:val="Normln"/>
    <w:rsid w:val="00E5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cs-CZ"/>
    </w:rPr>
  </w:style>
  <w:style w:type="paragraph" w:customStyle="1" w:styleId="xl91">
    <w:name w:val="xl91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92">
    <w:name w:val="xl92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93">
    <w:name w:val="xl93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94">
    <w:name w:val="xl94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95">
    <w:name w:val="xl95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96">
    <w:name w:val="xl96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2"/>
      <w:szCs w:val="12"/>
      <w:lang w:eastAsia="cs-CZ"/>
    </w:rPr>
  </w:style>
  <w:style w:type="paragraph" w:customStyle="1" w:styleId="xl97">
    <w:name w:val="xl97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98">
    <w:name w:val="xl98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cs-CZ"/>
    </w:rPr>
  </w:style>
  <w:style w:type="paragraph" w:customStyle="1" w:styleId="xl99">
    <w:name w:val="xl99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0">
    <w:name w:val="xl100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1">
    <w:name w:val="xl101"/>
    <w:basedOn w:val="Normln"/>
    <w:rsid w:val="00E5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102">
    <w:name w:val="xl102"/>
    <w:basedOn w:val="Normln"/>
    <w:rsid w:val="00E5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3">
    <w:name w:val="xl103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4"/>
      <w:szCs w:val="14"/>
      <w:lang w:eastAsia="cs-CZ"/>
    </w:rPr>
  </w:style>
  <w:style w:type="paragraph" w:customStyle="1" w:styleId="xl104">
    <w:name w:val="xl104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4"/>
      <w:szCs w:val="14"/>
      <w:lang w:eastAsia="cs-CZ"/>
    </w:rPr>
  </w:style>
  <w:style w:type="paragraph" w:customStyle="1" w:styleId="xl105">
    <w:name w:val="xl105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4"/>
      <w:szCs w:val="14"/>
      <w:lang w:eastAsia="cs-CZ"/>
    </w:rPr>
  </w:style>
  <w:style w:type="paragraph" w:customStyle="1" w:styleId="xl106">
    <w:name w:val="xl106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07">
    <w:name w:val="xl107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08">
    <w:name w:val="xl108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09">
    <w:name w:val="xl109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10">
    <w:name w:val="xl110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11">
    <w:name w:val="xl111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12">
    <w:name w:val="xl112"/>
    <w:basedOn w:val="Normln"/>
    <w:rsid w:val="00E53D71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4"/>
      <w:szCs w:val="14"/>
      <w:lang w:eastAsia="cs-CZ"/>
    </w:rPr>
  </w:style>
  <w:style w:type="paragraph" w:customStyle="1" w:styleId="xl113">
    <w:name w:val="xl113"/>
    <w:basedOn w:val="Normln"/>
    <w:rsid w:val="00E5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14">
    <w:name w:val="xl114"/>
    <w:basedOn w:val="Normln"/>
    <w:rsid w:val="00E5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Kratochvílová Ludmila</cp:lastModifiedBy>
  <cp:revision>3</cp:revision>
  <cp:lastPrinted>2018-02-23T12:44:00Z</cp:lastPrinted>
  <dcterms:created xsi:type="dcterms:W3CDTF">2023-02-28T09:08:00Z</dcterms:created>
  <dcterms:modified xsi:type="dcterms:W3CDTF">2023-02-28T09:10:00Z</dcterms:modified>
</cp:coreProperties>
</file>