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1.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3.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4.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5.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6.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7.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027BF" w14:textId="5A801058" w:rsidR="00F74230" w:rsidRPr="00F74230" w:rsidRDefault="007033AB" w:rsidP="00F74230">
      <w:pPr>
        <w:pStyle w:val="Nadpis1"/>
        <w:numPr>
          <w:ilvl w:val="0"/>
          <w:numId w:val="0"/>
        </w:numPr>
        <w:spacing w:before="1320"/>
        <w:ind w:left="431" w:hanging="431"/>
        <w:rPr>
          <w:color w:val="BD1B21"/>
          <w:sz w:val="56"/>
          <w:szCs w:val="56"/>
        </w:rPr>
      </w:pPr>
      <w:bookmarkStart w:id="0" w:name="_Toc408832671"/>
      <w:r w:rsidRPr="007D4834">
        <w:rPr>
          <w:b w:val="0"/>
          <w:bCs w:val="0"/>
          <w:noProof/>
          <w:color w:val="BD1B21"/>
          <w:sz w:val="56"/>
          <w:szCs w:val="56"/>
          <w:lang w:val="cs-CZ" w:eastAsia="cs-CZ"/>
        </w:rPr>
        <w:drawing>
          <wp:anchor distT="0" distB="0" distL="114300" distR="114300" simplePos="0" relativeHeight="251659264" behindDoc="0" locked="0" layoutInCell="1" allowOverlap="1" wp14:anchorId="27E16D8E" wp14:editId="21D6C490">
            <wp:simplePos x="0" y="0"/>
            <wp:positionH relativeFrom="margin">
              <wp:align>left</wp:align>
            </wp:positionH>
            <wp:positionV relativeFrom="page">
              <wp:posOffset>504825</wp:posOffset>
            </wp:positionV>
            <wp:extent cx="6000750" cy="438150"/>
            <wp:effectExtent l="0" t="0" r="0" b="0"/>
            <wp:wrapNone/>
            <wp:docPr id="2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1" cstate="print">
                      <a:extLst>
                        <a:ext uri="{28A0092B-C50C-407E-A947-70E740481C1C}">
                          <a14:useLocalDpi xmlns:a14="http://schemas.microsoft.com/office/drawing/2010/main" val="0"/>
                        </a:ext>
                      </a:extLst>
                    </a:blip>
                    <a:srcRect r="-4391" b="57982"/>
                    <a:stretch>
                      <a:fillRect/>
                    </a:stretch>
                  </pic:blipFill>
                  <pic:spPr bwMode="auto">
                    <a:xfrm>
                      <a:off x="0" y="0"/>
                      <a:ext cx="6000750" cy="438150"/>
                    </a:xfrm>
                    <a:prstGeom prst="rect">
                      <a:avLst/>
                    </a:prstGeom>
                    <a:noFill/>
                  </pic:spPr>
                </pic:pic>
              </a:graphicData>
            </a:graphic>
            <wp14:sizeRelH relativeFrom="page">
              <wp14:pctWidth>0</wp14:pctWidth>
            </wp14:sizeRelH>
            <wp14:sizeRelV relativeFrom="page">
              <wp14:pctHeight>0</wp14:pctHeight>
            </wp14:sizeRelV>
          </wp:anchor>
        </w:drawing>
      </w:r>
      <w:r w:rsidR="00034970" w:rsidRPr="007D4834">
        <w:rPr>
          <w:color w:val="BD1B21"/>
          <w:sz w:val="56"/>
          <w:szCs w:val="56"/>
        </w:rPr>
        <w:t xml:space="preserve">Životní podmínky </w:t>
      </w:r>
      <w:r w:rsidR="00E67DEF" w:rsidRPr="007D4834">
        <w:rPr>
          <w:color w:val="BD1B21"/>
          <w:sz w:val="56"/>
          <w:szCs w:val="56"/>
        </w:rPr>
        <w:t>20</w:t>
      </w:r>
      <w:r w:rsidR="00C376E1" w:rsidRPr="007D4834">
        <w:rPr>
          <w:color w:val="BD1B21"/>
          <w:sz w:val="56"/>
          <w:szCs w:val="56"/>
          <w:lang w:val="cs-CZ"/>
        </w:rPr>
        <w:t>2</w:t>
      </w:r>
      <w:r w:rsidR="005F47E6">
        <w:rPr>
          <w:color w:val="BD1B21"/>
          <w:sz w:val="56"/>
          <w:szCs w:val="56"/>
          <w:lang w:val="cs-CZ"/>
        </w:rPr>
        <w:t>4</w:t>
      </w:r>
    </w:p>
    <w:p w14:paraId="40D46468" w14:textId="3094899D" w:rsidR="00034970" w:rsidRPr="00661496" w:rsidRDefault="00034970" w:rsidP="0046357B">
      <w:pPr>
        <w:pStyle w:val="2Text0"/>
        <w:rPr>
          <w:b/>
          <w:sz w:val="26"/>
          <w:szCs w:val="26"/>
        </w:rPr>
      </w:pPr>
      <w:r w:rsidRPr="00661496">
        <w:rPr>
          <w:b/>
          <w:sz w:val="26"/>
          <w:szCs w:val="26"/>
        </w:rPr>
        <w:t>Šetření Životní podmínky</w:t>
      </w:r>
    </w:p>
    <w:p w14:paraId="0725345E" w14:textId="4A58947D" w:rsidR="00025FAC" w:rsidRDefault="00C406A3" w:rsidP="0046357B">
      <w:pPr>
        <w:spacing w:after="120" w:line="288" w:lineRule="auto"/>
        <w:jc w:val="both"/>
        <w:rPr>
          <w:rFonts w:ascii="Arial Narrow" w:hAnsi="Arial Narrow"/>
          <w:sz w:val="24"/>
          <w:szCs w:val="32"/>
        </w:rPr>
      </w:pPr>
      <w:r w:rsidRPr="00C406A3">
        <w:rPr>
          <w:rFonts w:ascii="Arial Narrow" w:hAnsi="Arial Narrow"/>
          <w:sz w:val="24"/>
          <w:szCs w:val="32"/>
        </w:rPr>
        <w:t>Výběrové šetření</w:t>
      </w:r>
      <w:r w:rsidR="00C376E1">
        <w:rPr>
          <w:rFonts w:ascii="Arial Narrow" w:hAnsi="Arial Narrow"/>
          <w:sz w:val="24"/>
          <w:szCs w:val="32"/>
        </w:rPr>
        <w:t xml:space="preserve"> </w:t>
      </w:r>
      <w:r w:rsidR="000C5447">
        <w:rPr>
          <w:rFonts w:ascii="Arial Narrow" w:hAnsi="Arial Narrow"/>
          <w:sz w:val="24"/>
          <w:szCs w:val="32"/>
        </w:rPr>
        <w:t>p</w:t>
      </w:r>
      <w:r w:rsidR="00C376E1">
        <w:rPr>
          <w:rFonts w:ascii="Arial Narrow" w:hAnsi="Arial Narrow"/>
          <w:sz w:val="24"/>
          <w:szCs w:val="32"/>
        </w:rPr>
        <w:t>od</w:t>
      </w:r>
      <w:r w:rsidRPr="000C5447">
        <w:rPr>
          <w:rFonts w:ascii="Arial Narrow" w:hAnsi="Arial Narrow"/>
          <w:spacing w:val="-20"/>
          <w:sz w:val="24"/>
          <w:szCs w:val="32"/>
        </w:rPr>
        <w:t> </w:t>
      </w:r>
      <w:r>
        <w:rPr>
          <w:rFonts w:ascii="Arial Narrow" w:hAnsi="Arial Narrow"/>
          <w:sz w:val="24"/>
          <w:szCs w:val="32"/>
        </w:rPr>
        <w:t xml:space="preserve">názvem </w:t>
      </w:r>
      <w:r w:rsidRPr="00FA64C3">
        <w:rPr>
          <w:rFonts w:ascii="Arial Narrow" w:hAnsi="Arial Narrow"/>
          <w:i/>
          <w:sz w:val="24"/>
          <w:szCs w:val="32"/>
        </w:rPr>
        <w:t>Životní</w:t>
      </w:r>
      <w:r w:rsidRPr="000C5447">
        <w:rPr>
          <w:rFonts w:ascii="Arial Narrow" w:hAnsi="Arial Narrow"/>
          <w:i/>
          <w:spacing w:val="-20"/>
          <w:sz w:val="24"/>
          <w:szCs w:val="32"/>
        </w:rPr>
        <w:t xml:space="preserve"> </w:t>
      </w:r>
      <w:r w:rsidRPr="00FA64C3">
        <w:rPr>
          <w:rFonts w:ascii="Arial Narrow" w:hAnsi="Arial Narrow"/>
          <w:i/>
          <w:sz w:val="24"/>
          <w:szCs w:val="32"/>
        </w:rPr>
        <w:t>podmínky</w:t>
      </w:r>
      <w:r w:rsidR="00025FAC">
        <w:rPr>
          <w:rFonts w:ascii="Arial Narrow" w:hAnsi="Arial Narrow"/>
          <w:sz w:val="24"/>
          <w:szCs w:val="32"/>
        </w:rPr>
        <w:t xml:space="preserve"> p</w:t>
      </w:r>
      <w:r w:rsidR="00025FAC" w:rsidRPr="00C406A3">
        <w:rPr>
          <w:rFonts w:ascii="Arial Narrow" w:hAnsi="Arial Narrow"/>
          <w:sz w:val="24"/>
          <w:szCs w:val="32"/>
        </w:rPr>
        <w:t>oskytuje informace o životní úrovni českých domácností</w:t>
      </w:r>
      <w:r w:rsidR="00C376E1">
        <w:rPr>
          <w:rFonts w:ascii="Arial Narrow" w:hAnsi="Arial Narrow"/>
          <w:sz w:val="24"/>
          <w:szCs w:val="32"/>
        </w:rPr>
        <w:t>. V</w:t>
      </w:r>
      <w:r>
        <w:rPr>
          <w:rFonts w:ascii="Arial Narrow" w:hAnsi="Arial Narrow"/>
          <w:sz w:val="24"/>
          <w:szCs w:val="32"/>
        </w:rPr>
        <w:t xml:space="preserve"> České republice </w:t>
      </w:r>
      <w:r w:rsidR="00C376E1">
        <w:rPr>
          <w:rFonts w:ascii="Arial Narrow" w:hAnsi="Arial Narrow"/>
          <w:sz w:val="24"/>
          <w:szCs w:val="32"/>
        </w:rPr>
        <w:t xml:space="preserve">probíhá již </w:t>
      </w:r>
      <w:r>
        <w:rPr>
          <w:rFonts w:ascii="Arial Narrow" w:hAnsi="Arial Narrow"/>
          <w:sz w:val="24"/>
          <w:szCs w:val="32"/>
        </w:rPr>
        <w:t>od roku 2005</w:t>
      </w:r>
      <w:r w:rsidR="00C376E1">
        <w:rPr>
          <w:rFonts w:ascii="Arial Narrow" w:hAnsi="Arial Narrow"/>
          <w:sz w:val="24"/>
          <w:szCs w:val="32"/>
        </w:rPr>
        <w:t xml:space="preserve"> jakožto národní verze </w:t>
      </w:r>
      <w:r>
        <w:rPr>
          <w:rFonts w:ascii="Arial Narrow" w:hAnsi="Arial Narrow"/>
          <w:sz w:val="24"/>
          <w:szCs w:val="32"/>
        </w:rPr>
        <w:t xml:space="preserve">evropského statistického </w:t>
      </w:r>
      <w:r w:rsidR="004728DB">
        <w:rPr>
          <w:rFonts w:ascii="Arial Narrow" w:hAnsi="Arial Narrow"/>
          <w:sz w:val="24"/>
          <w:szCs w:val="32"/>
        </w:rPr>
        <w:t xml:space="preserve">zjišťování  </w:t>
      </w:r>
      <w:r w:rsidRPr="009D31DA">
        <w:rPr>
          <w:rFonts w:ascii="Arial Narrow" w:hAnsi="Arial Narrow"/>
          <w:sz w:val="24"/>
          <w:szCs w:val="32"/>
        </w:rPr>
        <w:t>EU</w:t>
      </w:r>
      <w:r>
        <w:rPr>
          <w:rFonts w:ascii="Arial Narrow" w:hAnsi="Arial Narrow"/>
          <w:sz w:val="24"/>
          <w:szCs w:val="32"/>
        </w:rPr>
        <w:t>-</w:t>
      </w:r>
      <w:r w:rsidRPr="009D31DA">
        <w:rPr>
          <w:rFonts w:ascii="Arial Narrow" w:hAnsi="Arial Narrow"/>
          <w:sz w:val="24"/>
          <w:szCs w:val="32"/>
        </w:rPr>
        <w:t>SILC (European Union</w:t>
      </w:r>
      <w:r>
        <w:rPr>
          <w:rFonts w:ascii="Arial Narrow" w:hAnsi="Arial Narrow"/>
          <w:sz w:val="24"/>
          <w:szCs w:val="32"/>
        </w:rPr>
        <w:t xml:space="preserve"> – </w:t>
      </w:r>
      <w:r w:rsidRPr="009D31DA">
        <w:rPr>
          <w:rFonts w:ascii="Arial Narrow" w:hAnsi="Arial Narrow"/>
          <w:sz w:val="24"/>
          <w:szCs w:val="32"/>
        </w:rPr>
        <w:t>Statistics o</w:t>
      </w:r>
      <w:r>
        <w:rPr>
          <w:rFonts w:ascii="Arial Narrow" w:hAnsi="Arial Narrow"/>
          <w:sz w:val="24"/>
          <w:szCs w:val="32"/>
        </w:rPr>
        <w:t>n Income and Living Conditions).</w:t>
      </w:r>
    </w:p>
    <w:p w14:paraId="52E015C0" w14:textId="34904DC3" w:rsidR="00664E38" w:rsidRPr="00996EED" w:rsidRDefault="000C5447" w:rsidP="00664E38">
      <w:pPr>
        <w:spacing w:after="120" w:line="288" w:lineRule="auto"/>
        <w:jc w:val="both"/>
        <w:rPr>
          <w:rFonts w:ascii="Arial Narrow" w:hAnsi="Arial Narrow"/>
          <w:sz w:val="24"/>
          <w:szCs w:val="32"/>
        </w:rPr>
      </w:pPr>
      <w:r>
        <w:rPr>
          <w:rFonts w:ascii="Arial Narrow" w:hAnsi="Arial Narrow"/>
          <w:sz w:val="24"/>
          <w:szCs w:val="32"/>
        </w:rPr>
        <w:t>Podobně j</w:t>
      </w:r>
      <w:r w:rsidR="00025FAC">
        <w:rPr>
          <w:rFonts w:ascii="Arial Narrow" w:hAnsi="Arial Narrow"/>
          <w:sz w:val="24"/>
          <w:szCs w:val="32"/>
        </w:rPr>
        <w:t>ako v </w:t>
      </w:r>
      <w:r w:rsidR="000E10F9">
        <w:rPr>
          <w:rFonts w:ascii="Arial Narrow" w:hAnsi="Arial Narrow"/>
          <w:sz w:val="24"/>
          <w:szCs w:val="32"/>
        </w:rPr>
        <w:t>předchozích</w:t>
      </w:r>
      <w:r w:rsidR="00025FAC">
        <w:rPr>
          <w:rFonts w:ascii="Arial Narrow" w:hAnsi="Arial Narrow"/>
          <w:sz w:val="24"/>
          <w:szCs w:val="32"/>
        </w:rPr>
        <w:t xml:space="preserve"> letech bylo </w:t>
      </w:r>
      <w:r w:rsidR="000E10F9">
        <w:rPr>
          <w:rFonts w:ascii="Arial Narrow" w:hAnsi="Arial Narrow"/>
          <w:sz w:val="24"/>
          <w:szCs w:val="32"/>
        </w:rPr>
        <w:t>v roce 202</w:t>
      </w:r>
      <w:r w:rsidR="005F47E6">
        <w:rPr>
          <w:rFonts w:ascii="Arial Narrow" w:hAnsi="Arial Narrow"/>
          <w:sz w:val="24"/>
          <w:szCs w:val="32"/>
        </w:rPr>
        <w:t>4</w:t>
      </w:r>
      <w:r w:rsidR="000E10F9">
        <w:rPr>
          <w:rFonts w:ascii="Arial Narrow" w:hAnsi="Arial Narrow"/>
          <w:sz w:val="24"/>
          <w:szCs w:val="32"/>
        </w:rPr>
        <w:t xml:space="preserve"> </w:t>
      </w:r>
      <w:r w:rsidR="00025FAC">
        <w:rPr>
          <w:rFonts w:ascii="Arial Narrow" w:hAnsi="Arial Narrow"/>
          <w:sz w:val="24"/>
          <w:szCs w:val="32"/>
        </w:rPr>
        <w:t>o</w:t>
      </w:r>
      <w:r w:rsidR="0033001F">
        <w:rPr>
          <w:rFonts w:ascii="Arial Narrow" w:hAnsi="Arial Narrow"/>
          <w:sz w:val="24"/>
          <w:szCs w:val="32"/>
        </w:rPr>
        <w:t xml:space="preserve">sloveno </w:t>
      </w:r>
      <w:r w:rsidR="0033001F" w:rsidRPr="001E457B">
        <w:rPr>
          <w:rFonts w:ascii="Arial Narrow" w:hAnsi="Arial Narrow"/>
          <w:sz w:val="24"/>
          <w:szCs w:val="32"/>
        </w:rPr>
        <w:t>př</w:t>
      </w:r>
      <w:r w:rsidRPr="001E457B">
        <w:rPr>
          <w:rFonts w:ascii="Arial Narrow" w:hAnsi="Arial Narrow"/>
          <w:sz w:val="24"/>
          <w:szCs w:val="32"/>
        </w:rPr>
        <w:t xml:space="preserve">ibližně </w:t>
      </w:r>
      <w:r w:rsidRPr="002A2E8E">
        <w:rPr>
          <w:rFonts w:ascii="Arial Narrow" w:hAnsi="Arial Narrow"/>
          <w:sz w:val="24"/>
          <w:szCs w:val="32"/>
        </w:rPr>
        <w:t>11,</w:t>
      </w:r>
      <w:r w:rsidR="002A2E8E" w:rsidRPr="002A2E8E">
        <w:rPr>
          <w:rFonts w:ascii="Arial Narrow" w:hAnsi="Arial Narrow"/>
          <w:sz w:val="24"/>
          <w:szCs w:val="32"/>
        </w:rPr>
        <w:t>3</w:t>
      </w:r>
      <w:r w:rsidRPr="002A2E8E">
        <w:rPr>
          <w:rFonts w:ascii="Arial Narrow" w:hAnsi="Arial Narrow"/>
          <w:sz w:val="24"/>
          <w:szCs w:val="32"/>
        </w:rPr>
        <w:t xml:space="preserve"> tisíce domácností</w:t>
      </w:r>
      <w:r>
        <w:rPr>
          <w:rFonts w:ascii="Arial Narrow" w:hAnsi="Arial Narrow"/>
          <w:sz w:val="24"/>
          <w:szCs w:val="32"/>
        </w:rPr>
        <w:t xml:space="preserve"> v</w:t>
      </w:r>
      <w:r w:rsidR="0033001F">
        <w:rPr>
          <w:rFonts w:ascii="Arial Narrow" w:hAnsi="Arial Narrow"/>
          <w:sz w:val="24"/>
          <w:szCs w:val="32"/>
        </w:rPr>
        <w:t>e všech kraj</w:t>
      </w:r>
      <w:r>
        <w:rPr>
          <w:rFonts w:ascii="Arial Narrow" w:hAnsi="Arial Narrow"/>
          <w:sz w:val="24"/>
          <w:szCs w:val="32"/>
        </w:rPr>
        <w:t>ích r</w:t>
      </w:r>
      <w:r w:rsidR="0033001F">
        <w:rPr>
          <w:rFonts w:ascii="Arial Narrow" w:hAnsi="Arial Narrow"/>
          <w:sz w:val="24"/>
          <w:szCs w:val="32"/>
        </w:rPr>
        <w:t xml:space="preserve">epubliky. </w:t>
      </w:r>
      <w:r w:rsidR="000E10F9">
        <w:rPr>
          <w:rFonts w:ascii="Arial Narrow" w:hAnsi="Arial Narrow"/>
          <w:sz w:val="24"/>
          <w:szCs w:val="24"/>
        </w:rPr>
        <w:t>T</w:t>
      </w:r>
      <w:r w:rsidR="00025FAC">
        <w:rPr>
          <w:rFonts w:ascii="Arial Narrow" w:hAnsi="Arial Narrow"/>
          <w:sz w:val="24"/>
          <w:szCs w:val="24"/>
        </w:rPr>
        <w:t>azatelé</w:t>
      </w:r>
      <w:r w:rsidR="00034970" w:rsidRPr="0008215B">
        <w:rPr>
          <w:rFonts w:ascii="Arial Narrow" w:hAnsi="Arial Narrow"/>
          <w:sz w:val="24"/>
          <w:szCs w:val="24"/>
        </w:rPr>
        <w:t xml:space="preserve"> zjišť</w:t>
      </w:r>
      <w:r w:rsidR="00025FAC">
        <w:rPr>
          <w:rFonts w:ascii="Arial Narrow" w:hAnsi="Arial Narrow"/>
          <w:sz w:val="24"/>
          <w:szCs w:val="24"/>
        </w:rPr>
        <w:t>ovali</w:t>
      </w:r>
      <w:r w:rsidR="00034970" w:rsidRPr="0008215B">
        <w:rPr>
          <w:rFonts w:ascii="Arial Narrow" w:hAnsi="Arial Narrow"/>
          <w:sz w:val="24"/>
          <w:szCs w:val="24"/>
        </w:rPr>
        <w:t xml:space="preserve"> údaje o</w:t>
      </w:r>
      <w:r w:rsidR="00190BF7">
        <w:rPr>
          <w:rFonts w:ascii="Arial Narrow" w:hAnsi="Arial Narrow"/>
          <w:sz w:val="24"/>
          <w:szCs w:val="24"/>
        </w:rPr>
        <w:t> </w:t>
      </w:r>
      <w:r w:rsidR="00034970" w:rsidRPr="0008215B">
        <w:rPr>
          <w:rFonts w:ascii="Arial Narrow" w:hAnsi="Arial Narrow"/>
          <w:sz w:val="24"/>
          <w:szCs w:val="24"/>
        </w:rPr>
        <w:t xml:space="preserve">věku, </w:t>
      </w:r>
      <w:r>
        <w:rPr>
          <w:rFonts w:ascii="Arial Narrow" w:hAnsi="Arial Narrow"/>
          <w:sz w:val="24"/>
          <w:szCs w:val="24"/>
        </w:rPr>
        <w:t xml:space="preserve">vzdělání, </w:t>
      </w:r>
      <w:r w:rsidR="00034970" w:rsidRPr="0008215B">
        <w:rPr>
          <w:rFonts w:ascii="Arial Narrow" w:hAnsi="Arial Narrow"/>
          <w:sz w:val="24"/>
          <w:szCs w:val="24"/>
        </w:rPr>
        <w:t>ekonomické aktivitě, zdravotním stavu</w:t>
      </w:r>
      <w:r w:rsidR="00692196">
        <w:rPr>
          <w:rFonts w:ascii="Arial Narrow" w:hAnsi="Arial Narrow"/>
          <w:sz w:val="24"/>
          <w:szCs w:val="24"/>
        </w:rPr>
        <w:t>, sociálních podmínkách</w:t>
      </w:r>
      <w:r w:rsidR="00034970" w:rsidRPr="0008215B">
        <w:rPr>
          <w:rFonts w:ascii="Arial Narrow" w:hAnsi="Arial Narrow"/>
          <w:sz w:val="24"/>
          <w:szCs w:val="24"/>
        </w:rPr>
        <w:t xml:space="preserve"> </w:t>
      </w:r>
      <w:r w:rsidR="008B5990">
        <w:rPr>
          <w:rFonts w:ascii="Arial Narrow" w:hAnsi="Arial Narrow"/>
          <w:sz w:val="24"/>
          <w:szCs w:val="24"/>
        </w:rPr>
        <w:t>a</w:t>
      </w:r>
      <w:r w:rsidR="00357DB5">
        <w:rPr>
          <w:rFonts w:ascii="Arial Narrow" w:hAnsi="Arial Narrow"/>
          <w:sz w:val="24"/>
          <w:szCs w:val="24"/>
        </w:rPr>
        <w:t> </w:t>
      </w:r>
      <w:r w:rsidR="00034970" w:rsidRPr="0008215B">
        <w:rPr>
          <w:rFonts w:ascii="Arial Narrow" w:hAnsi="Arial Narrow"/>
          <w:sz w:val="24"/>
          <w:szCs w:val="24"/>
        </w:rPr>
        <w:t>příjmech</w:t>
      </w:r>
      <w:r w:rsidR="000E10F9">
        <w:rPr>
          <w:rFonts w:ascii="Arial Narrow" w:hAnsi="Arial Narrow"/>
          <w:sz w:val="24"/>
          <w:szCs w:val="24"/>
        </w:rPr>
        <w:t xml:space="preserve"> jednotlivých členů vybraných domácností</w:t>
      </w:r>
      <w:r w:rsidR="00034970" w:rsidRPr="0008215B">
        <w:rPr>
          <w:rFonts w:ascii="Arial Narrow" w:hAnsi="Arial Narrow"/>
          <w:sz w:val="24"/>
          <w:szCs w:val="24"/>
        </w:rPr>
        <w:t xml:space="preserve">. </w:t>
      </w:r>
      <w:r w:rsidR="00664E38" w:rsidRPr="00C21957">
        <w:rPr>
          <w:rFonts w:ascii="Arial Narrow" w:hAnsi="Arial Narrow"/>
          <w:sz w:val="24"/>
          <w:szCs w:val="24"/>
        </w:rPr>
        <w:t xml:space="preserve">Celé domácnosti se pak týkaly dotazy z dalších oblastí, </w:t>
      </w:r>
      <w:r w:rsidR="00034970" w:rsidRPr="00C21957">
        <w:rPr>
          <w:rFonts w:ascii="Arial Narrow" w:hAnsi="Arial Narrow"/>
          <w:sz w:val="24"/>
          <w:szCs w:val="24"/>
        </w:rPr>
        <w:t xml:space="preserve">jako jsou materiální podmínky či kvalita </w:t>
      </w:r>
      <w:r w:rsidR="00692196" w:rsidRPr="00C21957">
        <w:rPr>
          <w:rFonts w:ascii="Arial Narrow" w:hAnsi="Arial Narrow"/>
          <w:sz w:val="24"/>
          <w:szCs w:val="24"/>
        </w:rPr>
        <w:t xml:space="preserve">a finanční náročnost </w:t>
      </w:r>
      <w:r w:rsidR="00034970" w:rsidRPr="00C21957">
        <w:rPr>
          <w:rFonts w:ascii="Arial Narrow" w:hAnsi="Arial Narrow"/>
          <w:sz w:val="24"/>
          <w:szCs w:val="24"/>
        </w:rPr>
        <w:t>bydlení.</w:t>
      </w:r>
      <w:r w:rsidR="00034970" w:rsidRPr="0008215B">
        <w:rPr>
          <w:rFonts w:ascii="Arial Narrow" w:hAnsi="Arial Narrow"/>
          <w:sz w:val="24"/>
          <w:szCs w:val="24"/>
        </w:rPr>
        <w:t xml:space="preserve"> </w:t>
      </w:r>
    </w:p>
    <w:p w14:paraId="7E56F97A" w14:textId="618B7238" w:rsidR="009832C7" w:rsidRDefault="00664E38" w:rsidP="00664E38">
      <w:pPr>
        <w:spacing w:after="120" w:line="288" w:lineRule="auto"/>
        <w:jc w:val="both"/>
        <w:rPr>
          <w:rFonts w:ascii="Arial Narrow" w:hAnsi="Arial Narrow"/>
          <w:sz w:val="24"/>
          <w:szCs w:val="24"/>
        </w:rPr>
      </w:pPr>
      <w:r>
        <w:rPr>
          <w:rFonts w:ascii="Arial Narrow" w:hAnsi="Arial Narrow"/>
          <w:sz w:val="24"/>
          <w:szCs w:val="24"/>
        </w:rPr>
        <w:t>Součástí š</w:t>
      </w:r>
      <w:r w:rsidRPr="00664E38">
        <w:rPr>
          <w:rFonts w:ascii="Arial Narrow" w:hAnsi="Arial Narrow"/>
          <w:sz w:val="24"/>
          <w:szCs w:val="24"/>
        </w:rPr>
        <w:t xml:space="preserve">etření </w:t>
      </w:r>
      <w:r w:rsidRPr="00664E38">
        <w:rPr>
          <w:rFonts w:ascii="Arial Narrow" w:hAnsi="Arial Narrow"/>
          <w:i/>
          <w:iCs/>
          <w:sz w:val="24"/>
          <w:szCs w:val="24"/>
        </w:rPr>
        <w:t xml:space="preserve">Životní podmínky </w:t>
      </w:r>
      <w:r>
        <w:rPr>
          <w:rFonts w:ascii="Arial Narrow" w:hAnsi="Arial Narrow"/>
          <w:sz w:val="24"/>
          <w:szCs w:val="24"/>
        </w:rPr>
        <w:t>bývá každ</w:t>
      </w:r>
      <w:r w:rsidR="000C5447">
        <w:rPr>
          <w:rFonts w:ascii="Arial Narrow" w:hAnsi="Arial Narrow"/>
          <w:sz w:val="24"/>
          <w:szCs w:val="24"/>
        </w:rPr>
        <w:t>or</w:t>
      </w:r>
      <w:r>
        <w:rPr>
          <w:rFonts w:ascii="Arial Narrow" w:hAnsi="Arial Narrow"/>
          <w:sz w:val="24"/>
          <w:szCs w:val="24"/>
        </w:rPr>
        <w:t>o</w:t>
      </w:r>
      <w:r w:rsidR="000C5447">
        <w:rPr>
          <w:rFonts w:ascii="Arial Narrow" w:hAnsi="Arial Narrow"/>
          <w:sz w:val="24"/>
          <w:szCs w:val="24"/>
        </w:rPr>
        <w:t xml:space="preserve">čně </w:t>
      </w:r>
      <w:r w:rsidRPr="00664E38">
        <w:rPr>
          <w:rFonts w:ascii="Arial Narrow" w:hAnsi="Arial Narrow"/>
          <w:sz w:val="24"/>
          <w:szCs w:val="24"/>
        </w:rPr>
        <w:t>také tematický modul</w:t>
      </w:r>
      <w:r>
        <w:rPr>
          <w:rFonts w:ascii="Arial Narrow" w:hAnsi="Arial Narrow"/>
          <w:sz w:val="24"/>
          <w:szCs w:val="24"/>
        </w:rPr>
        <w:t xml:space="preserve"> s okruhem otázek, které</w:t>
      </w:r>
      <w:r w:rsidRPr="00664E38">
        <w:rPr>
          <w:rFonts w:ascii="Arial Narrow" w:hAnsi="Arial Narrow"/>
          <w:sz w:val="24"/>
          <w:szCs w:val="24"/>
        </w:rPr>
        <w:t xml:space="preserve"> se </w:t>
      </w:r>
      <w:r>
        <w:rPr>
          <w:rFonts w:ascii="Arial Narrow" w:hAnsi="Arial Narrow"/>
          <w:sz w:val="24"/>
          <w:szCs w:val="24"/>
        </w:rPr>
        <w:t xml:space="preserve">vztahují k určité </w:t>
      </w:r>
      <w:r w:rsidRPr="00664E38">
        <w:rPr>
          <w:rFonts w:ascii="Arial Narrow" w:hAnsi="Arial Narrow"/>
          <w:sz w:val="24"/>
          <w:szCs w:val="24"/>
        </w:rPr>
        <w:t>oblasti související se životními podmínkam</w:t>
      </w:r>
      <w:r w:rsidR="00AC3D31">
        <w:rPr>
          <w:rFonts w:ascii="Arial Narrow" w:hAnsi="Arial Narrow"/>
          <w:sz w:val="24"/>
          <w:szCs w:val="24"/>
        </w:rPr>
        <w:t xml:space="preserve">i osob a domácností. </w:t>
      </w:r>
      <w:r w:rsidR="009832C7" w:rsidRPr="002A2E8E">
        <w:rPr>
          <w:rFonts w:ascii="Arial Narrow" w:hAnsi="Arial Narrow"/>
          <w:sz w:val="24"/>
          <w:szCs w:val="24"/>
        </w:rPr>
        <w:t xml:space="preserve">V roce 2024 se modul týkal několika témat, kterými byly mimo jiné </w:t>
      </w:r>
      <w:r w:rsidR="00A428D8" w:rsidRPr="002A2E8E">
        <w:rPr>
          <w:rFonts w:ascii="Arial Narrow" w:hAnsi="Arial Narrow"/>
          <w:sz w:val="24"/>
          <w:szCs w:val="24"/>
        </w:rPr>
        <w:t xml:space="preserve">zdraví a </w:t>
      </w:r>
      <w:r w:rsidR="009832C7" w:rsidRPr="002A2E8E">
        <w:rPr>
          <w:rFonts w:ascii="Arial Narrow" w:hAnsi="Arial Narrow"/>
          <w:sz w:val="24"/>
          <w:szCs w:val="24"/>
        </w:rPr>
        <w:t>životní podmínky dětí</w:t>
      </w:r>
      <w:r w:rsidR="006B0FC1" w:rsidRPr="002A2E8E">
        <w:rPr>
          <w:rFonts w:ascii="Arial Narrow" w:hAnsi="Arial Narrow"/>
          <w:sz w:val="24"/>
          <w:szCs w:val="24"/>
        </w:rPr>
        <w:t xml:space="preserve">, </w:t>
      </w:r>
      <w:r w:rsidR="009832C7" w:rsidRPr="002A2E8E">
        <w:rPr>
          <w:rFonts w:ascii="Arial Narrow" w:hAnsi="Arial Narrow"/>
          <w:sz w:val="24"/>
          <w:szCs w:val="24"/>
        </w:rPr>
        <w:t>domácí péče o dospělé</w:t>
      </w:r>
      <w:r w:rsidR="006B0FC1" w:rsidRPr="002A2E8E">
        <w:rPr>
          <w:rFonts w:ascii="Arial Narrow" w:hAnsi="Arial Narrow"/>
          <w:sz w:val="24"/>
          <w:szCs w:val="24"/>
        </w:rPr>
        <w:t xml:space="preserve"> </w:t>
      </w:r>
      <w:r w:rsidR="00F05D31">
        <w:rPr>
          <w:rFonts w:ascii="Arial Narrow" w:hAnsi="Arial Narrow"/>
          <w:sz w:val="24"/>
          <w:szCs w:val="24"/>
        </w:rPr>
        <w:t>a </w:t>
      </w:r>
      <w:r w:rsidR="00A428D8" w:rsidRPr="002A2E8E">
        <w:rPr>
          <w:rFonts w:ascii="Arial Narrow" w:hAnsi="Arial Narrow"/>
          <w:sz w:val="24"/>
          <w:szCs w:val="24"/>
        </w:rPr>
        <w:t xml:space="preserve">veřejná </w:t>
      </w:r>
      <w:r w:rsidR="00A94BC0" w:rsidRPr="002A2E8E">
        <w:rPr>
          <w:rFonts w:ascii="Arial Narrow" w:hAnsi="Arial Narrow"/>
          <w:sz w:val="24"/>
          <w:szCs w:val="24"/>
        </w:rPr>
        <w:t xml:space="preserve">hromadná </w:t>
      </w:r>
      <w:r w:rsidR="00A428D8" w:rsidRPr="002A2E8E">
        <w:rPr>
          <w:rFonts w:ascii="Arial Narrow" w:hAnsi="Arial Narrow"/>
          <w:sz w:val="24"/>
          <w:szCs w:val="24"/>
        </w:rPr>
        <w:t>doprava</w:t>
      </w:r>
      <w:r w:rsidR="009832C7" w:rsidRPr="002A2E8E">
        <w:rPr>
          <w:rFonts w:ascii="Arial Narrow" w:hAnsi="Arial Narrow"/>
          <w:sz w:val="24"/>
          <w:szCs w:val="24"/>
        </w:rPr>
        <w:t>.</w:t>
      </w:r>
    </w:p>
    <w:p w14:paraId="7B6A34DF" w14:textId="77777777" w:rsidR="00034970" w:rsidRPr="00661496" w:rsidRDefault="00034970" w:rsidP="0046357B">
      <w:pPr>
        <w:spacing w:before="240" w:after="120" w:line="288" w:lineRule="auto"/>
        <w:jc w:val="both"/>
        <w:rPr>
          <w:rFonts w:ascii="Arial Narrow" w:hAnsi="Arial Narrow"/>
          <w:b/>
          <w:sz w:val="26"/>
          <w:szCs w:val="26"/>
        </w:rPr>
      </w:pPr>
      <w:r w:rsidRPr="00661496">
        <w:rPr>
          <w:rFonts w:ascii="Arial Narrow" w:hAnsi="Arial Narrow"/>
          <w:b/>
          <w:sz w:val="26"/>
          <w:szCs w:val="26"/>
        </w:rPr>
        <w:t>Příjmy domácností</w:t>
      </w:r>
    </w:p>
    <w:p w14:paraId="303276D2" w14:textId="005643C4" w:rsidR="00A423AB" w:rsidRDefault="00034970" w:rsidP="0046357B">
      <w:pPr>
        <w:spacing w:after="120" w:line="288" w:lineRule="auto"/>
        <w:jc w:val="both"/>
        <w:rPr>
          <w:rFonts w:ascii="Arial Narrow" w:hAnsi="Arial Narrow"/>
          <w:sz w:val="24"/>
          <w:szCs w:val="24"/>
        </w:rPr>
      </w:pPr>
      <w:r>
        <w:rPr>
          <w:rFonts w:ascii="Arial Narrow" w:hAnsi="Arial Narrow"/>
          <w:sz w:val="24"/>
          <w:szCs w:val="32"/>
        </w:rPr>
        <w:t xml:space="preserve">Ukazatelem </w:t>
      </w:r>
      <w:r w:rsidR="00096364">
        <w:rPr>
          <w:rFonts w:ascii="Arial Narrow" w:hAnsi="Arial Narrow"/>
          <w:sz w:val="24"/>
          <w:szCs w:val="32"/>
        </w:rPr>
        <w:t>příjmové situace domácností je</w:t>
      </w:r>
      <w:r>
        <w:rPr>
          <w:rFonts w:ascii="Arial Narrow" w:hAnsi="Arial Narrow"/>
          <w:sz w:val="24"/>
          <w:szCs w:val="32"/>
        </w:rPr>
        <w:t> </w:t>
      </w:r>
      <w:r w:rsidR="00F41030">
        <w:rPr>
          <w:rFonts w:ascii="Arial Narrow" w:hAnsi="Arial Narrow"/>
          <w:sz w:val="24"/>
          <w:szCs w:val="32"/>
        </w:rPr>
        <w:t xml:space="preserve">v </w:t>
      </w:r>
      <w:r>
        <w:rPr>
          <w:rFonts w:ascii="Arial Narrow" w:hAnsi="Arial Narrow"/>
          <w:sz w:val="24"/>
          <w:szCs w:val="32"/>
        </w:rPr>
        <w:t xml:space="preserve">šetření </w:t>
      </w:r>
      <w:r w:rsidRPr="00FA64C3">
        <w:rPr>
          <w:rFonts w:ascii="Arial Narrow" w:hAnsi="Arial Narrow"/>
          <w:i/>
          <w:sz w:val="24"/>
          <w:szCs w:val="32"/>
        </w:rPr>
        <w:t>Životní podmínky</w:t>
      </w:r>
      <w:r>
        <w:rPr>
          <w:rFonts w:ascii="Arial Narrow" w:hAnsi="Arial Narrow"/>
          <w:sz w:val="24"/>
          <w:szCs w:val="32"/>
        </w:rPr>
        <w:t xml:space="preserve"> </w:t>
      </w:r>
      <w:r w:rsidRPr="00FC398F">
        <w:rPr>
          <w:rFonts w:ascii="Arial Narrow" w:hAnsi="Arial Narrow"/>
          <w:sz w:val="24"/>
          <w:szCs w:val="32"/>
          <w:u w:val="single"/>
        </w:rPr>
        <w:t xml:space="preserve">čistý </w:t>
      </w:r>
      <w:r w:rsidR="009C2FAA" w:rsidRPr="00FC398F">
        <w:rPr>
          <w:rFonts w:ascii="Arial Narrow" w:hAnsi="Arial Narrow"/>
          <w:sz w:val="24"/>
          <w:szCs w:val="32"/>
          <w:u w:val="single"/>
        </w:rPr>
        <w:t>peněžní</w:t>
      </w:r>
      <w:r w:rsidRPr="00FC398F">
        <w:rPr>
          <w:rFonts w:ascii="Arial Narrow" w:hAnsi="Arial Narrow"/>
          <w:sz w:val="24"/>
          <w:szCs w:val="32"/>
          <w:u w:val="single"/>
        </w:rPr>
        <w:t xml:space="preserve"> příjem domácnosti</w:t>
      </w:r>
      <w:r>
        <w:rPr>
          <w:rFonts w:ascii="Arial Narrow" w:hAnsi="Arial Narrow"/>
          <w:sz w:val="24"/>
          <w:szCs w:val="32"/>
        </w:rPr>
        <w:t xml:space="preserve">, který zahrnuje </w:t>
      </w:r>
      <w:r w:rsidR="00A423AB">
        <w:rPr>
          <w:rFonts w:ascii="Arial Narrow" w:hAnsi="Arial Narrow"/>
          <w:sz w:val="24"/>
          <w:szCs w:val="24"/>
        </w:rPr>
        <w:t>veškeré druhy příjmů všech jejích členů</w:t>
      </w:r>
      <w:r w:rsidR="00A423AB" w:rsidRPr="00A423AB">
        <w:rPr>
          <w:rFonts w:ascii="Arial Narrow" w:hAnsi="Arial Narrow"/>
          <w:sz w:val="24"/>
          <w:szCs w:val="24"/>
        </w:rPr>
        <w:t xml:space="preserve"> </w:t>
      </w:r>
      <w:r w:rsidR="00A423AB">
        <w:rPr>
          <w:rFonts w:ascii="Arial Narrow" w:hAnsi="Arial Narrow"/>
          <w:sz w:val="24"/>
          <w:szCs w:val="24"/>
        </w:rPr>
        <w:t xml:space="preserve">po (případném) zdanění. Zejména se jedná o příjmy </w:t>
      </w:r>
      <w:r>
        <w:rPr>
          <w:rFonts w:ascii="Arial Narrow" w:hAnsi="Arial Narrow"/>
          <w:sz w:val="24"/>
          <w:szCs w:val="32"/>
        </w:rPr>
        <w:t>ze zaměstnání</w:t>
      </w:r>
      <w:r w:rsidRPr="00BC177D">
        <w:rPr>
          <w:rFonts w:ascii="Arial Narrow" w:hAnsi="Arial Narrow"/>
          <w:sz w:val="24"/>
          <w:szCs w:val="32"/>
        </w:rPr>
        <w:t xml:space="preserve">, </w:t>
      </w:r>
      <w:r>
        <w:rPr>
          <w:rFonts w:ascii="Arial Narrow" w:hAnsi="Arial Narrow"/>
          <w:sz w:val="24"/>
          <w:szCs w:val="32"/>
        </w:rPr>
        <w:t>z podnikání či</w:t>
      </w:r>
      <w:r w:rsidRPr="00BC177D">
        <w:rPr>
          <w:rFonts w:ascii="Arial Narrow" w:hAnsi="Arial Narrow"/>
          <w:sz w:val="24"/>
          <w:szCs w:val="32"/>
        </w:rPr>
        <w:t xml:space="preserve"> jiné samostatně výdělečné činnosti, příjmy z</w:t>
      </w:r>
      <w:r>
        <w:rPr>
          <w:rFonts w:ascii="Arial Narrow" w:hAnsi="Arial Narrow"/>
          <w:sz w:val="24"/>
          <w:szCs w:val="32"/>
        </w:rPr>
        <w:t> </w:t>
      </w:r>
      <w:r w:rsidR="009C3092">
        <w:rPr>
          <w:rFonts w:ascii="Arial Narrow" w:hAnsi="Arial Narrow"/>
          <w:sz w:val="24"/>
          <w:szCs w:val="32"/>
        </w:rPr>
        <w:t>dalších</w:t>
      </w:r>
      <w:r>
        <w:rPr>
          <w:rFonts w:ascii="Arial Narrow" w:hAnsi="Arial Narrow"/>
          <w:sz w:val="24"/>
          <w:szCs w:val="32"/>
        </w:rPr>
        <w:t xml:space="preserve"> zaměstnání </w:t>
      </w:r>
      <w:r w:rsidR="00692196">
        <w:rPr>
          <w:rFonts w:ascii="Arial Narrow" w:hAnsi="Arial Narrow"/>
          <w:sz w:val="24"/>
          <w:szCs w:val="32"/>
        </w:rPr>
        <w:t xml:space="preserve">nebo dohod </w:t>
      </w:r>
      <w:r>
        <w:rPr>
          <w:rFonts w:ascii="Arial Narrow" w:hAnsi="Arial Narrow"/>
          <w:sz w:val="24"/>
          <w:szCs w:val="32"/>
        </w:rPr>
        <w:t xml:space="preserve">a </w:t>
      </w:r>
      <w:r w:rsidRPr="00BC177D">
        <w:rPr>
          <w:rFonts w:ascii="Arial Narrow" w:hAnsi="Arial Narrow"/>
          <w:sz w:val="24"/>
          <w:szCs w:val="32"/>
        </w:rPr>
        <w:t xml:space="preserve">vedlejších činností, </w:t>
      </w:r>
      <w:r w:rsidR="009C3092">
        <w:rPr>
          <w:rFonts w:ascii="Arial Narrow" w:hAnsi="Arial Narrow"/>
          <w:sz w:val="24"/>
          <w:szCs w:val="32"/>
        </w:rPr>
        <w:t>dále zahrnuje důchody</w:t>
      </w:r>
      <w:r>
        <w:rPr>
          <w:rFonts w:ascii="Arial Narrow" w:hAnsi="Arial Narrow"/>
          <w:sz w:val="24"/>
          <w:szCs w:val="32"/>
        </w:rPr>
        <w:t xml:space="preserve"> a </w:t>
      </w:r>
      <w:r w:rsidRPr="00BC177D">
        <w:rPr>
          <w:rFonts w:ascii="Arial Narrow" w:hAnsi="Arial Narrow"/>
          <w:sz w:val="24"/>
          <w:szCs w:val="32"/>
        </w:rPr>
        <w:t xml:space="preserve">sociální dávky, </w:t>
      </w:r>
      <w:r>
        <w:rPr>
          <w:rFonts w:ascii="Arial Narrow" w:hAnsi="Arial Narrow"/>
          <w:sz w:val="24"/>
          <w:szCs w:val="32"/>
        </w:rPr>
        <w:t xml:space="preserve">příjmy </w:t>
      </w:r>
      <w:r w:rsidR="00A423AB">
        <w:rPr>
          <w:rFonts w:ascii="Arial Narrow" w:hAnsi="Arial Narrow"/>
          <w:sz w:val="24"/>
          <w:szCs w:val="32"/>
        </w:rPr>
        <w:t xml:space="preserve">z pronájmu a </w:t>
      </w:r>
      <w:r w:rsidR="008B5990">
        <w:rPr>
          <w:rFonts w:ascii="Arial Narrow" w:hAnsi="Arial Narrow"/>
          <w:sz w:val="24"/>
          <w:szCs w:val="32"/>
        </w:rPr>
        <w:t>finančních aktiv.</w:t>
      </w:r>
      <w:r w:rsidR="00A423AB">
        <w:rPr>
          <w:rFonts w:ascii="Arial Narrow" w:hAnsi="Arial Narrow"/>
          <w:sz w:val="24"/>
          <w:szCs w:val="32"/>
        </w:rPr>
        <w:t xml:space="preserve"> </w:t>
      </w:r>
      <w:r w:rsidR="009C3092">
        <w:rPr>
          <w:rFonts w:ascii="Arial Narrow" w:hAnsi="Arial Narrow"/>
          <w:sz w:val="24"/>
          <w:szCs w:val="32"/>
        </w:rPr>
        <w:t>Patří sem rovněž</w:t>
      </w:r>
      <w:r w:rsidR="008B5990">
        <w:rPr>
          <w:rFonts w:ascii="Arial Narrow" w:hAnsi="Arial Narrow"/>
          <w:sz w:val="24"/>
          <w:szCs w:val="32"/>
        </w:rPr>
        <w:t xml:space="preserve"> </w:t>
      </w:r>
      <w:r w:rsidR="00A423AB">
        <w:rPr>
          <w:rFonts w:ascii="Arial Narrow" w:hAnsi="Arial Narrow"/>
          <w:sz w:val="24"/>
          <w:szCs w:val="32"/>
        </w:rPr>
        <w:t xml:space="preserve">i </w:t>
      </w:r>
      <w:r>
        <w:rPr>
          <w:rFonts w:ascii="Arial Narrow" w:hAnsi="Arial Narrow"/>
          <w:sz w:val="24"/>
          <w:szCs w:val="32"/>
        </w:rPr>
        <w:t xml:space="preserve">přijaté výživné a finanční podpora </w:t>
      </w:r>
      <w:r w:rsidR="009C3092">
        <w:rPr>
          <w:rFonts w:ascii="Arial Narrow" w:hAnsi="Arial Narrow"/>
          <w:sz w:val="24"/>
          <w:szCs w:val="32"/>
        </w:rPr>
        <w:t>od</w:t>
      </w:r>
      <w:r w:rsidR="00ED0ED6">
        <w:rPr>
          <w:rFonts w:ascii="Arial Narrow" w:hAnsi="Arial Narrow"/>
          <w:sz w:val="24"/>
          <w:szCs w:val="32"/>
        </w:rPr>
        <w:t> </w:t>
      </w:r>
      <w:r w:rsidR="009C3092">
        <w:rPr>
          <w:rFonts w:ascii="Arial Narrow" w:hAnsi="Arial Narrow"/>
          <w:sz w:val="24"/>
          <w:szCs w:val="32"/>
        </w:rPr>
        <w:t xml:space="preserve">jiných </w:t>
      </w:r>
      <w:r>
        <w:rPr>
          <w:rFonts w:ascii="Arial Narrow" w:hAnsi="Arial Narrow"/>
          <w:sz w:val="24"/>
          <w:szCs w:val="32"/>
        </w:rPr>
        <w:t>domácnost</w:t>
      </w:r>
      <w:r w:rsidR="009C3092">
        <w:rPr>
          <w:rFonts w:ascii="Arial Narrow" w:hAnsi="Arial Narrow"/>
          <w:sz w:val="24"/>
          <w:szCs w:val="32"/>
        </w:rPr>
        <w:t>í</w:t>
      </w:r>
      <w:r>
        <w:rPr>
          <w:rFonts w:ascii="Arial Narrow" w:hAnsi="Arial Narrow"/>
          <w:sz w:val="24"/>
          <w:szCs w:val="32"/>
        </w:rPr>
        <w:t xml:space="preserve">. </w:t>
      </w:r>
      <w:r w:rsidR="00A423AB" w:rsidRPr="00A423AB">
        <w:rPr>
          <w:rFonts w:ascii="Arial Narrow" w:hAnsi="Arial Narrow"/>
          <w:sz w:val="24"/>
          <w:szCs w:val="32"/>
        </w:rPr>
        <w:t xml:space="preserve">Pro lepší srovnávání </w:t>
      </w:r>
      <w:r w:rsidR="00A423AB" w:rsidRPr="00996EED">
        <w:rPr>
          <w:rFonts w:ascii="Arial Narrow" w:hAnsi="Arial Narrow"/>
          <w:sz w:val="24"/>
          <w:szCs w:val="24"/>
        </w:rPr>
        <w:t xml:space="preserve">různých typů domácností se používá příjem přepočtený na osobu, tj. u každé domácnosti se celkový příjem vydělí počtem jejích členů. </w:t>
      </w:r>
    </w:p>
    <w:p w14:paraId="64966704" w14:textId="7BA60FEC" w:rsidR="00F776E0" w:rsidRPr="00243C7A" w:rsidRDefault="001A100B" w:rsidP="00243C7A">
      <w:pPr>
        <w:spacing w:after="120" w:line="288" w:lineRule="auto"/>
        <w:jc w:val="both"/>
        <w:rPr>
          <w:rFonts w:ascii="Arial Narrow" w:eastAsia="Times New Roman" w:hAnsi="Arial Narrow"/>
          <w:color w:val="00ADDC"/>
          <w:lang w:val="x-none" w:eastAsia="ar-SA"/>
        </w:rPr>
      </w:pPr>
      <w:r w:rsidRPr="00503EC1">
        <w:rPr>
          <w:rFonts w:ascii="Arial Narrow" w:hAnsi="Arial Narrow"/>
          <w:sz w:val="24"/>
          <w:szCs w:val="24"/>
        </w:rPr>
        <w:t>V</w:t>
      </w:r>
      <w:r w:rsidR="004F0683" w:rsidRPr="00503EC1">
        <w:rPr>
          <w:rFonts w:ascii="Arial Narrow" w:hAnsi="Arial Narrow"/>
          <w:sz w:val="24"/>
          <w:szCs w:val="24"/>
        </w:rPr>
        <w:t>ýsledky šetření z roku 20</w:t>
      </w:r>
      <w:r w:rsidRPr="00503EC1">
        <w:rPr>
          <w:rFonts w:ascii="Arial Narrow" w:hAnsi="Arial Narrow"/>
          <w:sz w:val="24"/>
          <w:szCs w:val="24"/>
        </w:rPr>
        <w:t>2</w:t>
      </w:r>
      <w:r w:rsidR="005F47E6" w:rsidRPr="00503EC1">
        <w:rPr>
          <w:rFonts w:ascii="Arial Narrow" w:hAnsi="Arial Narrow"/>
          <w:sz w:val="24"/>
          <w:szCs w:val="24"/>
        </w:rPr>
        <w:t>4</w:t>
      </w:r>
      <w:r w:rsidR="00261383" w:rsidRPr="00503EC1">
        <w:rPr>
          <w:rFonts w:ascii="Arial Narrow" w:hAnsi="Arial Narrow"/>
          <w:sz w:val="24"/>
          <w:szCs w:val="24"/>
        </w:rPr>
        <w:t xml:space="preserve"> zachycují příjm</w:t>
      </w:r>
      <w:r w:rsidR="002B1ECF" w:rsidRPr="00503EC1">
        <w:rPr>
          <w:rFonts w:ascii="Arial Narrow" w:hAnsi="Arial Narrow"/>
          <w:sz w:val="24"/>
          <w:szCs w:val="24"/>
        </w:rPr>
        <w:t>y domácností</w:t>
      </w:r>
      <w:r w:rsidR="00261383" w:rsidRPr="00503EC1">
        <w:rPr>
          <w:rFonts w:ascii="Arial Narrow" w:hAnsi="Arial Narrow"/>
          <w:sz w:val="24"/>
          <w:szCs w:val="24"/>
        </w:rPr>
        <w:t xml:space="preserve"> za předchozí kalendářní rok, tj. za rok 20</w:t>
      </w:r>
      <w:r w:rsidRPr="00503EC1">
        <w:rPr>
          <w:rFonts w:ascii="Arial Narrow" w:hAnsi="Arial Narrow"/>
          <w:sz w:val="24"/>
          <w:szCs w:val="24"/>
        </w:rPr>
        <w:t>2</w:t>
      </w:r>
      <w:r w:rsidR="005F47E6" w:rsidRPr="00503EC1">
        <w:rPr>
          <w:rFonts w:ascii="Arial Narrow" w:hAnsi="Arial Narrow"/>
          <w:sz w:val="24"/>
          <w:szCs w:val="24"/>
        </w:rPr>
        <w:t>3</w:t>
      </w:r>
      <w:r w:rsidR="00261383" w:rsidRPr="00503EC1">
        <w:rPr>
          <w:rFonts w:ascii="Arial Narrow" w:hAnsi="Arial Narrow"/>
          <w:sz w:val="24"/>
          <w:szCs w:val="24"/>
        </w:rPr>
        <w:t>. V</w:t>
      </w:r>
      <w:r w:rsidR="00923EED" w:rsidRPr="00503EC1">
        <w:rPr>
          <w:rFonts w:ascii="Arial Narrow" w:hAnsi="Arial Narrow"/>
          <w:sz w:val="24"/>
          <w:szCs w:val="24"/>
        </w:rPr>
        <w:t> roce 202</w:t>
      </w:r>
      <w:r w:rsidR="005F47E6" w:rsidRPr="00503EC1">
        <w:rPr>
          <w:rFonts w:ascii="Arial Narrow" w:hAnsi="Arial Narrow"/>
          <w:sz w:val="24"/>
          <w:szCs w:val="24"/>
        </w:rPr>
        <w:t>3</w:t>
      </w:r>
      <w:r w:rsidR="00261383" w:rsidRPr="00503EC1">
        <w:rPr>
          <w:rFonts w:ascii="Arial Narrow" w:hAnsi="Arial Narrow"/>
          <w:sz w:val="24"/>
          <w:szCs w:val="24"/>
        </w:rPr>
        <w:t xml:space="preserve"> dosáhl průměrný čistý peněžní příjem domácnosti </w:t>
      </w:r>
      <w:r w:rsidR="00D3257F" w:rsidRPr="00503EC1">
        <w:rPr>
          <w:rFonts w:ascii="Arial Narrow" w:hAnsi="Arial Narrow"/>
          <w:sz w:val="24"/>
          <w:szCs w:val="24"/>
        </w:rPr>
        <w:t xml:space="preserve">na osobu </w:t>
      </w:r>
      <w:r w:rsidR="00E04656" w:rsidRPr="00503EC1">
        <w:rPr>
          <w:rFonts w:ascii="Arial Narrow" w:hAnsi="Arial Narrow"/>
          <w:sz w:val="24"/>
          <w:szCs w:val="24"/>
        </w:rPr>
        <w:t>částky</w:t>
      </w:r>
      <w:r w:rsidR="004F0683" w:rsidRPr="00503EC1">
        <w:rPr>
          <w:rFonts w:ascii="Arial Narrow" w:hAnsi="Arial Narrow"/>
          <w:sz w:val="24"/>
          <w:szCs w:val="24"/>
        </w:rPr>
        <w:t xml:space="preserve"> </w:t>
      </w:r>
      <w:r w:rsidR="00923EED" w:rsidRPr="00503EC1">
        <w:rPr>
          <w:rFonts w:ascii="Arial Narrow" w:hAnsi="Arial Narrow"/>
          <w:sz w:val="24"/>
          <w:szCs w:val="24"/>
        </w:rPr>
        <w:t>2</w:t>
      </w:r>
      <w:r w:rsidR="00EE332A" w:rsidRPr="00503EC1">
        <w:rPr>
          <w:rFonts w:ascii="Arial Narrow" w:hAnsi="Arial Narrow"/>
          <w:sz w:val="24"/>
          <w:szCs w:val="24"/>
        </w:rPr>
        <w:t>78,7</w:t>
      </w:r>
      <w:r w:rsidR="00D3257F" w:rsidRPr="00503EC1">
        <w:rPr>
          <w:rFonts w:ascii="Arial Narrow" w:hAnsi="Arial Narrow"/>
          <w:sz w:val="24"/>
          <w:szCs w:val="24"/>
        </w:rPr>
        <w:t xml:space="preserve"> tisíc Kč</w:t>
      </w:r>
      <w:r w:rsidR="00AB5D28" w:rsidRPr="00503EC1">
        <w:rPr>
          <w:rFonts w:ascii="Arial Narrow" w:hAnsi="Arial Narrow"/>
          <w:sz w:val="24"/>
          <w:szCs w:val="24"/>
        </w:rPr>
        <w:t xml:space="preserve">, </w:t>
      </w:r>
      <w:r w:rsidR="00D3257F" w:rsidRPr="00D37B01">
        <w:rPr>
          <w:rFonts w:ascii="Arial Narrow" w:hAnsi="Arial Narrow"/>
          <w:sz w:val="24"/>
          <w:szCs w:val="24"/>
        </w:rPr>
        <w:t xml:space="preserve">medián příjmů </w:t>
      </w:r>
      <w:r w:rsidR="00D37B01" w:rsidRPr="00D37B01">
        <w:rPr>
          <w:rFonts w:ascii="Arial Narrow" w:hAnsi="Arial Narrow"/>
          <w:sz w:val="24"/>
          <w:szCs w:val="24"/>
        </w:rPr>
        <w:t xml:space="preserve">domácností </w:t>
      </w:r>
      <w:r w:rsidR="00D3257F" w:rsidRPr="00D37B01">
        <w:rPr>
          <w:rFonts w:ascii="Arial Narrow" w:hAnsi="Arial Narrow"/>
          <w:sz w:val="24"/>
          <w:szCs w:val="24"/>
        </w:rPr>
        <w:t xml:space="preserve">činil </w:t>
      </w:r>
      <w:r w:rsidR="00642FC1" w:rsidRPr="00D37B01">
        <w:rPr>
          <w:rFonts w:ascii="Arial Narrow" w:hAnsi="Arial Narrow"/>
          <w:sz w:val="24"/>
          <w:szCs w:val="24"/>
        </w:rPr>
        <w:t>2</w:t>
      </w:r>
      <w:r w:rsidR="00D37B01" w:rsidRPr="00D37B01">
        <w:rPr>
          <w:rFonts w:ascii="Arial Narrow" w:hAnsi="Arial Narrow"/>
          <w:sz w:val="24"/>
          <w:szCs w:val="24"/>
        </w:rPr>
        <w:t>67</w:t>
      </w:r>
      <w:r w:rsidR="00D5437C" w:rsidRPr="00D37B01">
        <w:rPr>
          <w:rFonts w:ascii="Arial Narrow" w:hAnsi="Arial Narrow"/>
          <w:sz w:val="24"/>
          <w:szCs w:val="24"/>
        </w:rPr>
        <w:t>,</w:t>
      </w:r>
      <w:r w:rsidR="00D37B01" w:rsidRPr="00D37B01">
        <w:rPr>
          <w:rFonts w:ascii="Arial Narrow" w:hAnsi="Arial Narrow"/>
          <w:sz w:val="24"/>
          <w:szCs w:val="24"/>
        </w:rPr>
        <w:t>4</w:t>
      </w:r>
      <w:r w:rsidR="00D3257F" w:rsidRPr="00D37B01">
        <w:rPr>
          <w:rFonts w:ascii="Arial Narrow" w:hAnsi="Arial Narrow"/>
          <w:sz w:val="24"/>
          <w:szCs w:val="24"/>
        </w:rPr>
        <w:t xml:space="preserve"> tisíc Kč</w:t>
      </w:r>
      <w:r w:rsidR="00AC4B87" w:rsidRPr="00D37B01">
        <w:rPr>
          <w:rFonts w:ascii="Arial Narrow" w:hAnsi="Arial Narrow"/>
          <w:sz w:val="24"/>
          <w:szCs w:val="24"/>
        </w:rPr>
        <w:t xml:space="preserve">. </w:t>
      </w:r>
      <w:r w:rsidR="00CC6CD6" w:rsidRPr="00D37B01">
        <w:rPr>
          <w:rFonts w:ascii="Arial Narrow" w:hAnsi="Arial Narrow"/>
          <w:sz w:val="24"/>
          <w:szCs w:val="24"/>
        </w:rPr>
        <w:t>Oproti roku 20</w:t>
      </w:r>
      <w:r w:rsidR="006B2B51" w:rsidRPr="00D37B01">
        <w:rPr>
          <w:rFonts w:ascii="Arial Narrow" w:hAnsi="Arial Narrow"/>
          <w:sz w:val="24"/>
          <w:szCs w:val="24"/>
        </w:rPr>
        <w:t>22</w:t>
      </w:r>
      <w:r w:rsidR="003A146C" w:rsidRPr="00D37B01">
        <w:rPr>
          <w:rFonts w:ascii="Arial Narrow" w:hAnsi="Arial Narrow"/>
          <w:sz w:val="24"/>
          <w:szCs w:val="24"/>
        </w:rPr>
        <w:t xml:space="preserve"> vzro</w:t>
      </w:r>
      <w:r w:rsidR="009F6B29" w:rsidRPr="00D37B01">
        <w:rPr>
          <w:rFonts w:ascii="Arial Narrow" w:hAnsi="Arial Narrow"/>
          <w:sz w:val="24"/>
          <w:szCs w:val="24"/>
        </w:rPr>
        <w:t xml:space="preserve">stl </w:t>
      </w:r>
      <w:r w:rsidR="00EE115B" w:rsidRPr="00D37B01">
        <w:rPr>
          <w:rFonts w:ascii="Arial Narrow" w:hAnsi="Arial Narrow"/>
          <w:sz w:val="24"/>
          <w:szCs w:val="24"/>
        </w:rPr>
        <w:t xml:space="preserve">průměr meziročně o </w:t>
      </w:r>
      <w:r w:rsidR="006B2B51" w:rsidRPr="00D37B01">
        <w:rPr>
          <w:rFonts w:ascii="Arial Narrow" w:hAnsi="Arial Narrow"/>
          <w:sz w:val="24"/>
          <w:szCs w:val="24"/>
        </w:rPr>
        <w:t xml:space="preserve">18 823 </w:t>
      </w:r>
      <w:r w:rsidR="00EE115B" w:rsidRPr="00D37B01">
        <w:rPr>
          <w:rFonts w:ascii="Arial Narrow" w:hAnsi="Arial Narrow"/>
          <w:sz w:val="24"/>
          <w:szCs w:val="24"/>
        </w:rPr>
        <w:t>Kč</w:t>
      </w:r>
      <w:r w:rsidR="00EE115B" w:rsidRPr="00503EC1">
        <w:rPr>
          <w:rFonts w:ascii="Arial Narrow" w:hAnsi="Arial Narrow"/>
          <w:sz w:val="24"/>
          <w:szCs w:val="24"/>
        </w:rPr>
        <w:t xml:space="preserve">, což představuje nominální nárůst o </w:t>
      </w:r>
      <w:r w:rsidR="00CD54B0" w:rsidRPr="00503EC1">
        <w:rPr>
          <w:rFonts w:ascii="Arial Narrow" w:hAnsi="Arial Narrow"/>
          <w:sz w:val="24"/>
          <w:szCs w:val="24"/>
        </w:rPr>
        <w:t>7</w:t>
      </w:r>
      <w:r w:rsidR="00EE115B" w:rsidRPr="00503EC1">
        <w:rPr>
          <w:rFonts w:ascii="Arial Narrow" w:hAnsi="Arial Narrow"/>
          <w:sz w:val="24"/>
          <w:szCs w:val="24"/>
        </w:rPr>
        <w:t>,</w:t>
      </w:r>
      <w:r w:rsidR="00502231" w:rsidRPr="00503EC1">
        <w:rPr>
          <w:rFonts w:ascii="Arial Narrow" w:hAnsi="Arial Narrow"/>
          <w:sz w:val="24"/>
          <w:szCs w:val="24"/>
        </w:rPr>
        <w:t>2</w:t>
      </w:r>
      <w:r w:rsidR="00EE115B" w:rsidRPr="00503EC1">
        <w:rPr>
          <w:rFonts w:ascii="Arial Narrow" w:hAnsi="Arial Narrow"/>
          <w:sz w:val="24"/>
          <w:szCs w:val="24"/>
        </w:rPr>
        <w:t xml:space="preserve"> %</w:t>
      </w:r>
      <w:r w:rsidR="00F74230" w:rsidRPr="00503EC1">
        <w:rPr>
          <w:rFonts w:ascii="Arial Narrow" w:hAnsi="Arial Narrow"/>
          <w:sz w:val="24"/>
          <w:szCs w:val="24"/>
        </w:rPr>
        <w:t xml:space="preserve">. </w:t>
      </w:r>
      <w:r w:rsidR="005E3BC1" w:rsidRPr="005E3BC1">
        <w:rPr>
          <w:rFonts w:ascii="Arial Narrow" w:hAnsi="Arial Narrow"/>
          <w:sz w:val="24"/>
          <w:szCs w:val="24"/>
        </w:rPr>
        <w:t>Měsíční průměr čistých příjmů v roce 2023 dosahoval hodnoty 23</w:t>
      </w:r>
      <w:r w:rsidR="005E3BC1">
        <w:rPr>
          <w:rFonts w:ascii="Arial Narrow" w:hAnsi="Arial Narrow"/>
          <w:sz w:val="24"/>
          <w:szCs w:val="24"/>
        </w:rPr>
        <w:t> </w:t>
      </w:r>
      <w:r w:rsidR="005E3BC1" w:rsidRPr="005E3BC1">
        <w:rPr>
          <w:rFonts w:ascii="Arial Narrow" w:hAnsi="Arial Narrow"/>
          <w:sz w:val="24"/>
          <w:szCs w:val="24"/>
        </w:rPr>
        <w:t>223 Kč na osobu, resp. medián činil 22 290 Kč na osobu.</w:t>
      </w:r>
    </w:p>
    <w:p w14:paraId="6B66ED65" w14:textId="6093A79D" w:rsidR="00243C7A" w:rsidRDefault="00243C7A" w:rsidP="00243C7A">
      <w:pPr>
        <w:pStyle w:val="Titulek"/>
        <w:keepNext/>
        <w:jc w:val="both"/>
      </w:pPr>
      <w:r>
        <w:lastRenderedPageBreak/>
        <w:t xml:space="preserve">Graf </w:t>
      </w:r>
      <w:r w:rsidR="0019709C">
        <w:fldChar w:fldCharType="begin"/>
      </w:r>
      <w:r w:rsidR="0019709C">
        <w:instrText xml:space="preserve"> SEQ Graf \* ARABIC </w:instrText>
      </w:r>
      <w:r w:rsidR="0019709C">
        <w:fldChar w:fldCharType="separate"/>
      </w:r>
      <w:r w:rsidR="00AF6CC5">
        <w:rPr>
          <w:noProof/>
        </w:rPr>
        <w:t>1</w:t>
      </w:r>
      <w:r w:rsidR="0019709C">
        <w:rPr>
          <w:noProof/>
        </w:rPr>
        <w:fldChar w:fldCharType="end"/>
      </w:r>
      <w:r>
        <w:rPr>
          <w:lang w:val="cs-CZ"/>
        </w:rPr>
        <w:t xml:space="preserve"> </w:t>
      </w:r>
      <w:r w:rsidR="002C25C7">
        <w:rPr>
          <w:lang w:val="cs-CZ"/>
        </w:rPr>
        <w:t>Čisté peněžní příjmy</w:t>
      </w:r>
      <w:r w:rsidRPr="008A1970">
        <w:rPr>
          <w:lang w:val="cs-CZ"/>
        </w:rPr>
        <w:t xml:space="preserve"> domácností na osobu </w:t>
      </w:r>
      <w:r w:rsidR="002C25C7">
        <w:rPr>
          <w:lang w:val="cs-CZ"/>
        </w:rPr>
        <w:t>(</w:t>
      </w:r>
      <w:r w:rsidRPr="008A1970">
        <w:rPr>
          <w:lang w:val="cs-CZ"/>
        </w:rPr>
        <w:t>2013–2023</w:t>
      </w:r>
      <w:r w:rsidR="002C25C7">
        <w:rPr>
          <w:lang w:val="cs-CZ"/>
        </w:rPr>
        <w:t>)</w:t>
      </w:r>
    </w:p>
    <w:p w14:paraId="5F93B618" w14:textId="6AC988A1" w:rsidR="00F41030" w:rsidRDefault="00BD210D" w:rsidP="005F7D68">
      <w:pPr>
        <w:spacing w:after="0" w:line="288" w:lineRule="auto"/>
        <w:jc w:val="both"/>
        <w:rPr>
          <w:rFonts w:ascii="Arial Narrow" w:hAnsi="Arial Narrow"/>
          <w:sz w:val="24"/>
          <w:szCs w:val="32"/>
          <w:highlight w:val="yellow"/>
        </w:rPr>
      </w:pPr>
      <w:r>
        <w:rPr>
          <w:noProof/>
          <w:lang w:eastAsia="cs-CZ"/>
        </w:rPr>
        <w:drawing>
          <wp:inline distT="0" distB="0" distL="0" distR="0" wp14:anchorId="508B8804" wp14:editId="5A6E7BEF">
            <wp:extent cx="5759450" cy="3239770"/>
            <wp:effectExtent l="0" t="0" r="0" b="0"/>
            <wp:docPr id="1" name="Graf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702DA6" w14:textId="77777777" w:rsidR="00243C7A" w:rsidRDefault="00243C7A" w:rsidP="005F7D68">
      <w:pPr>
        <w:spacing w:after="0" w:line="288" w:lineRule="auto"/>
        <w:jc w:val="both"/>
        <w:rPr>
          <w:rFonts w:ascii="Arial Narrow" w:hAnsi="Arial Narrow"/>
          <w:sz w:val="24"/>
          <w:szCs w:val="32"/>
          <w:highlight w:val="yellow"/>
        </w:rPr>
      </w:pPr>
    </w:p>
    <w:p w14:paraId="15F7D449" w14:textId="4A54E521" w:rsidR="005A3EC1" w:rsidRDefault="00AF1FAC" w:rsidP="005F7D68">
      <w:pPr>
        <w:spacing w:after="0" w:line="288" w:lineRule="auto"/>
        <w:jc w:val="both"/>
        <w:rPr>
          <w:rFonts w:ascii="Arial Narrow" w:hAnsi="Arial Narrow"/>
          <w:sz w:val="24"/>
          <w:szCs w:val="32"/>
        </w:rPr>
      </w:pPr>
      <w:r w:rsidRPr="00695F03">
        <w:rPr>
          <w:rFonts w:ascii="Arial Narrow" w:hAnsi="Arial Narrow"/>
          <w:sz w:val="24"/>
          <w:szCs w:val="32"/>
        </w:rPr>
        <w:t xml:space="preserve">Peněžní příjmy domácností v průběhu let sice postupně neustále rostly, ale ne všem skupinám obyvatel stejně. </w:t>
      </w:r>
      <w:r w:rsidR="005A3EC1" w:rsidRPr="005A3EC1">
        <w:rPr>
          <w:rFonts w:ascii="Arial Narrow" w:hAnsi="Arial Narrow"/>
          <w:sz w:val="24"/>
          <w:szCs w:val="32"/>
        </w:rPr>
        <w:t xml:space="preserve">Vybrané </w:t>
      </w:r>
      <w:r w:rsidR="005A3EC1">
        <w:rPr>
          <w:rFonts w:ascii="Arial Narrow" w:hAnsi="Arial Narrow"/>
          <w:sz w:val="24"/>
          <w:szCs w:val="32"/>
        </w:rPr>
        <w:t xml:space="preserve">typy domácností </w:t>
      </w:r>
      <w:r w:rsidR="005A3EC1" w:rsidRPr="005A3EC1">
        <w:rPr>
          <w:rFonts w:ascii="Arial Narrow" w:hAnsi="Arial Narrow"/>
          <w:sz w:val="24"/>
          <w:szCs w:val="32"/>
        </w:rPr>
        <w:t xml:space="preserve">jsou </w:t>
      </w:r>
      <w:r w:rsidR="005A3EC1">
        <w:rPr>
          <w:rFonts w:ascii="Arial Narrow" w:hAnsi="Arial Narrow"/>
          <w:sz w:val="24"/>
          <w:szCs w:val="32"/>
        </w:rPr>
        <w:t>v rámci prezentace</w:t>
      </w:r>
      <w:r w:rsidR="005A3EC1" w:rsidRPr="005A3EC1">
        <w:rPr>
          <w:rFonts w:ascii="Arial Narrow" w:hAnsi="Arial Narrow"/>
          <w:sz w:val="24"/>
          <w:szCs w:val="32"/>
        </w:rPr>
        <w:t xml:space="preserve"> srovnávány podle dvou hledisek. Za</w:t>
      </w:r>
      <w:r w:rsidR="00321353">
        <w:rPr>
          <w:rFonts w:ascii="Arial Narrow" w:hAnsi="Arial Narrow"/>
          <w:sz w:val="24"/>
          <w:szCs w:val="32"/>
        </w:rPr>
        <w:t> </w:t>
      </w:r>
      <w:r w:rsidR="005A3EC1" w:rsidRPr="005A3EC1">
        <w:rPr>
          <w:rFonts w:ascii="Arial Narrow" w:hAnsi="Arial Narrow"/>
          <w:sz w:val="24"/>
          <w:szCs w:val="32"/>
        </w:rPr>
        <w:t xml:space="preserve">prvé podle ekonomické aktivity osoby </w:t>
      </w:r>
      <w:r w:rsidR="005A3EC1">
        <w:rPr>
          <w:rFonts w:ascii="Arial Narrow" w:hAnsi="Arial Narrow"/>
          <w:sz w:val="24"/>
          <w:szCs w:val="32"/>
        </w:rPr>
        <w:t>s nejvyšším příjmem v</w:t>
      </w:r>
      <w:r w:rsidR="004F3CAC">
        <w:rPr>
          <w:rFonts w:ascii="Arial Narrow" w:hAnsi="Arial Narrow"/>
          <w:sz w:val="24"/>
          <w:szCs w:val="32"/>
        </w:rPr>
        <w:t> </w:t>
      </w:r>
      <w:r w:rsidR="005A3EC1">
        <w:rPr>
          <w:rFonts w:ascii="Arial Narrow" w:hAnsi="Arial Narrow"/>
          <w:sz w:val="24"/>
          <w:szCs w:val="32"/>
        </w:rPr>
        <w:t>domácnosti</w:t>
      </w:r>
      <w:r w:rsidR="004F3CAC">
        <w:rPr>
          <w:rFonts w:ascii="Arial Narrow" w:hAnsi="Arial Narrow"/>
          <w:sz w:val="24"/>
          <w:szCs w:val="32"/>
        </w:rPr>
        <w:t>, a to</w:t>
      </w:r>
      <w:r w:rsidR="005A3EC1">
        <w:rPr>
          <w:rFonts w:ascii="Arial Narrow" w:hAnsi="Arial Narrow"/>
          <w:sz w:val="24"/>
          <w:szCs w:val="32"/>
        </w:rPr>
        <w:t xml:space="preserve"> na domácnosti zaměstnanců</w:t>
      </w:r>
      <w:r w:rsidR="005A3EC1" w:rsidRPr="005A3EC1">
        <w:rPr>
          <w:rFonts w:ascii="Arial Narrow" w:hAnsi="Arial Narrow"/>
          <w:sz w:val="24"/>
          <w:szCs w:val="32"/>
        </w:rPr>
        <w:t xml:space="preserve"> („zaměstnanci“) resp. domácnost</w:t>
      </w:r>
      <w:r w:rsidR="005A3EC1">
        <w:rPr>
          <w:rFonts w:ascii="Arial Narrow" w:hAnsi="Arial Narrow"/>
          <w:sz w:val="24"/>
          <w:szCs w:val="32"/>
        </w:rPr>
        <w:t>i důchodů</w:t>
      </w:r>
      <w:r w:rsidR="005A3EC1" w:rsidRPr="005A3EC1">
        <w:rPr>
          <w:rFonts w:ascii="Arial Narrow" w:hAnsi="Arial Narrow"/>
          <w:sz w:val="24"/>
          <w:szCs w:val="32"/>
        </w:rPr>
        <w:t xml:space="preserve"> („důchodci“). Za druhé podle typu rodiny, kde úplná rodina s</w:t>
      </w:r>
      <w:r w:rsidR="004F3CAC">
        <w:rPr>
          <w:rFonts w:ascii="Arial Narrow" w:hAnsi="Arial Narrow"/>
          <w:sz w:val="24"/>
          <w:szCs w:val="32"/>
        </w:rPr>
        <w:t> </w:t>
      </w:r>
      <w:r w:rsidR="005A3EC1" w:rsidRPr="005A3EC1">
        <w:rPr>
          <w:rFonts w:ascii="Arial Narrow" w:hAnsi="Arial Narrow"/>
          <w:sz w:val="24"/>
          <w:szCs w:val="32"/>
        </w:rPr>
        <w:t xml:space="preserve">dětmi představuje 2 dospělé osoby s alespoň jedním </w:t>
      </w:r>
      <w:r w:rsidR="005A3EC1">
        <w:rPr>
          <w:rFonts w:ascii="Arial Narrow" w:hAnsi="Arial Narrow"/>
          <w:sz w:val="24"/>
          <w:szCs w:val="32"/>
        </w:rPr>
        <w:t>závislým</w:t>
      </w:r>
      <w:r w:rsidR="005A3EC1">
        <w:rPr>
          <w:rStyle w:val="Znakapoznpodarou"/>
          <w:rFonts w:ascii="Arial Narrow" w:hAnsi="Arial Narrow"/>
          <w:sz w:val="24"/>
          <w:szCs w:val="32"/>
        </w:rPr>
        <w:footnoteReference w:id="1"/>
      </w:r>
      <w:r w:rsidR="005A3EC1" w:rsidRPr="005A3EC1">
        <w:rPr>
          <w:rFonts w:ascii="Arial Narrow" w:hAnsi="Arial Narrow"/>
          <w:sz w:val="24"/>
          <w:szCs w:val="32"/>
        </w:rPr>
        <w:t xml:space="preserve"> dítětem a neúplná rodina s dětmi je definována 1 dospělou osobou s alespoň jedním </w:t>
      </w:r>
      <w:r w:rsidR="005A3EC1">
        <w:rPr>
          <w:rFonts w:ascii="Arial Narrow" w:hAnsi="Arial Narrow"/>
          <w:sz w:val="24"/>
          <w:szCs w:val="32"/>
        </w:rPr>
        <w:t xml:space="preserve">závislým </w:t>
      </w:r>
      <w:r w:rsidR="005A3EC1" w:rsidRPr="005A3EC1">
        <w:rPr>
          <w:rFonts w:ascii="Arial Narrow" w:hAnsi="Arial Narrow"/>
          <w:sz w:val="24"/>
          <w:szCs w:val="32"/>
        </w:rPr>
        <w:t>dítětem.</w:t>
      </w:r>
    </w:p>
    <w:p w14:paraId="5B2165EC" w14:textId="77777777" w:rsidR="005A3EC1" w:rsidRDefault="005A3EC1" w:rsidP="005F7D68">
      <w:pPr>
        <w:spacing w:after="0" w:line="288" w:lineRule="auto"/>
        <w:jc w:val="both"/>
        <w:rPr>
          <w:rFonts w:ascii="Arial Narrow" w:hAnsi="Arial Narrow"/>
          <w:sz w:val="24"/>
          <w:szCs w:val="32"/>
        </w:rPr>
      </w:pPr>
    </w:p>
    <w:p w14:paraId="7E5F6E82" w14:textId="0AF61CCF" w:rsidR="006B0FC1" w:rsidRPr="00695F03" w:rsidRDefault="00AF1FAC" w:rsidP="005F7D68">
      <w:pPr>
        <w:spacing w:after="0" w:line="288" w:lineRule="auto"/>
        <w:jc w:val="both"/>
        <w:rPr>
          <w:rFonts w:ascii="Arial Narrow" w:hAnsi="Arial Narrow"/>
          <w:sz w:val="24"/>
          <w:szCs w:val="32"/>
        </w:rPr>
      </w:pPr>
      <w:r w:rsidRPr="00695F03">
        <w:rPr>
          <w:rFonts w:ascii="Arial Narrow" w:hAnsi="Arial Narrow"/>
          <w:sz w:val="24"/>
          <w:szCs w:val="32"/>
        </w:rPr>
        <w:t xml:space="preserve">Z hlediska </w:t>
      </w:r>
      <w:r w:rsidR="00802BBF" w:rsidRPr="00695F03">
        <w:rPr>
          <w:rFonts w:ascii="Arial Narrow" w:hAnsi="Arial Narrow"/>
          <w:sz w:val="24"/>
          <w:szCs w:val="32"/>
        </w:rPr>
        <w:t>vybran</w:t>
      </w:r>
      <w:r w:rsidRPr="00695F03">
        <w:rPr>
          <w:rFonts w:ascii="Arial Narrow" w:hAnsi="Arial Narrow"/>
          <w:sz w:val="24"/>
          <w:szCs w:val="32"/>
        </w:rPr>
        <w:t xml:space="preserve">ých </w:t>
      </w:r>
      <w:r w:rsidR="00B43ACA" w:rsidRPr="00695F03">
        <w:rPr>
          <w:rFonts w:ascii="Arial Narrow" w:hAnsi="Arial Narrow"/>
          <w:sz w:val="24"/>
          <w:szCs w:val="32"/>
        </w:rPr>
        <w:t>typů</w:t>
      </w:r>
      <w:r w:rsidR="006B2B51" w:rsidRPr="00695F03">
        <w:rPr>
          <w:rFonts w:ascii="Arial Narrow" w:hAnsi="Arial Narrow"/>
          <w:sz w:val="24"/>
          <w:szCs w:val="32"/>
        </w:rPr>
        <w:t xml:space="preserve"> domácností rostly v roce 2023</w:t>
      </w:r>
      <w:r w:rsidR="00802BBF" w:rsidRPr="00695F03">
        <w:rPr>
          <w:rFonts w:ascii="Arial Narrow" w:hAnsi="Arial Narrow"/>
          <w:sz w:val="24"/>
          <w:szCs w:val="32"/>
        </w:rPr>
        <w:t xml:space="preserve"> příjmy nejrychleji domácnostem </w:t>
      </w:r>
      <w:r w:rsidR="009832C7" w:rsidRPr="00695F03">
        <w:rPr>
          <w:rFonts w:ascii="Arial Narrow" w:hAnsi="Arial Narrow"/>
          <w:sz w:val="24"/>
          <w:szCs w:val="32"/>
        </w:rPr>
        <w:t>důchodců, a to meziročně o 15 %</w:t>
      </w:r>
      <w:r w:rsidR="006B0FC1" w:rsidRPr="00695F03">
        <w:rPr>
          <w:rFonts w:ascii="Arial Narrow" w:hAnsi="Arial Narrow"/>
          <w:sz w:val="24"/>
          <w:szCs w:val="32"/>
        </w:rPr>
        <w:t>.</w:t>
      </w:r>
      <w:r w:rsidR="00802BBF" w:rsidRPr="00695F03">
        <w:rPr>
          <w:rFonts w:ascii="Arial Narrow" w:hAnsi="Arial Narrow"/>
          <w:sz w:val="24"/>
          <w:szCs w:val="32"/>
        </w:rPr>
        <w:t xml:space="preserve"> </w:t>
      </w:r>
      <w:r w:rsidRPr="00695F03">
        <w:rPr>
          <w:rFonts w:ascii="Arial Narrow" w:hAnsi="Arial Narrow"/>
          <w:sz w:val="24"/>
          <w:szCs w:val="32"/>
        </w:rPr>
        <w:t>Tento významný nár</w:t>
      </w:r>
      <w:r w:rsidR="006B0FC1" w:rsidRPr="00695F03">
        <w:rPr>
          <w:rFonts w:ascii="Arial Narrow" w:hAnsi="Arial Narrow"/>
          <w:sz w:val="24"/>
          <w:szCs w:val="32"/>
        </w:rPr>
        <w:t xml:space="preserve">ůst byl především </w:t>
      </w:r>
      <w:r w:rsidR="00321353">
        <w:rPr>
          <w:rFonts w:ascii="Arial Narrow" w:hAnsi="Arial Narrow"/>
          <w:sz w:val="24"/>
          <w:szCs w:val="32"/>
        </w:rPr>
        <w:t>dů</w:t>
      </w:r>
      <w:r w:rsidR="006B0FC1" w:rsidRPr="00695F03">
        <w:rPr>
          <w:rFonts w:ascii="Arial Narrow" w:hAnsi="Arial Narrow"/>
          <w:sz w:val="24"/>
          <w:szCs w:val="32"/>
        </w:rPr>
        <w:t xml:space="preserve">sledkem </w:t>
      </w:r>
      <w:r w:rsidR="00B43ACA" w:rsidRPr="00695F03">
        <w:rPr>
          <w:rFonts w:ascii="Arial Narrow" w:hAnsi="Arial Narrow"/>
          <w:sz w:val="24"/>
          <w:szCs w:val="32"/>
        </w:rPr>
        <w:t>dvojí</w:t>
      </w:r>
      <w:r w:rsidR="006B0FC1" w:rsidRPr="00695F03">
        <w:rPr>
          <w:rFonts w:ascii="Arial Narrow" w:hAnsi="Arial Narrow"/>
          <w:sz w:val="24"/>
          <w:szCs w:val="32"/>
        </w:rPr>
        <w:t xml:space="preserve"> valorizace důchodů v roce 2023</w:t>
      </w:r>
      <w:r w:rsidR="00B43ACA" w:rsidRPr="00695F03">
        <w:rPr>
          <w:rFonts w:ascii="Arial Narrow" w:hAnsi="Arial Narrow"/>
          <w:sz w:val="24"/>
          <w:szCs w:val="32"/>
        </w:rPr>
        <w:t xml:space="preserve"> a zvýšením procentní výměry starobního důchodu o pevnou částku 500 Kč za každé vychované dítě. </w:t>
      </w:r>
      <w:r w:rsidRPr="00695F03">
        <w:rPr>
          <w:rFonts w:ascii="Arial Narrow" w:hAnsi="Arial Narrow"/>
          <w:sz w:val="24"/>
          <w:szCs w:val="32"/>
        </w:rPr>
        <w:t>N</w:t>
      </w:r>
      <w:r w:rsidR="00D831B2" w:rsidRPr="00695F03">
        <w:rPr>
          <w:rFonts w:ascii="Arial Narrow" w:hAnsi="Arial Narrow"/>
          <w:sz w:val="24"/>
          <w:szCs w:val="32"/>
        </w:rPr>
        <w:t xml:space="preserve">aopak nejméně </w:t>
      </w:r>
      <w:r w:rsidR="00B43ACA" w:rsidRPr="00695F03">
        <w:rPr>
          <w:rFonts w:ascii="Arial Narrow" w:hAnsi="Arial Narrow"/>
          <w:sz w:val="24"/>
          <w:szCs w:val="32"/>
        </w:rPr>
        <w:t>rostly</w:t>
      </w:r>
      <w:r w:rsidR="00D831B2" w:rsidRPr="00695F03">
        <w:rPr>
          <w:rFonts w:ascii="Arial Narrow" w:hAnsi="Arial Narrow"/>
          <w:sz w:val="24"/>
          <w:szCs w:val="32"/>
        </w:rPr>
        <w:t xml:space="preserve"> příjmy </w:t>
      </w:r>
      <w:r w:rsidRPr="00695F03">
        <w:rPr>
          <w:rFonts w:ascii="Arial Narrow" w:hAnsi="Arial Narrow"/>
          <w:sz w:val="24"/>
          <w:szCs w:val="32"/>
        </w:rPr>
        <w:t>ú</w:t>
      </w:r>
      <w:r w:rsidR="002D5931" w:rsidRPr="00695F03">
        <w:rPr>
          <w:rFonts w:ascii="Arial Narrow" w:hAnsi="Arial Narrow"/>
          <w:sz w:val="24"/>
          <w:szCs w:val="32"/>
        </w:rPr>
        <w:t>plným rodinám s</w:t>
      </w:r>
      <w:r w:rsidR="00D831B2" w:rsidRPr="00695F03">
        <w:rPr>
          <w:rFonts w:ascii="Arial Narrow" w:hAnsi="Arial Narrow"/>
          <w:sz w:val="24"/>
          <w:szCs w:val="32"/>
        </w:rPr>
        <w:t> </w:t>
      </w:r>
      <w:r w:rsidR="002D5931" w:rsidRPr="00695F03">
        <w:rPr>
          <w:rFonts w:ascii="Arial Narrow" w:hAnsi="Arial Narrow"/>
          <w:sz w:val="24"/>
          <w:szCs w:val="32"/>
        </w:rPr>
        <w:t>dětmi</w:t>
      </w:r>
      <w:r w:rsidR="00D831B2" w:rsidRPr="00695F03">
        <w:rPr>
          <w:rFonts w:ascii="Arial Narrow" w:hAnsi="Arial Narrow"/>
          <w:sz w:val="24"/>
          <w:szCs w:val="32"/>
        </w:rPr>
        <w:t xml:space="preserve"> (o 3,5 %) a neúplným rodinám s dětmi</w:t>
      </w:r>
      <w:r w:rsidRPr="00695F03">
        <w:rPr>
          <w:rFonts w:ascii="Arial Narrow" w:hAnsi="Arial Narrow"/>
          <w:sz w:val="24"/>
          <w:szCs w:val="32"/>
        </w:rPr>
        <w:t xml:space="preserve"> </w:t>
      </w:r>
      <w:r w:rsidR="00321353">
        <w:rPr>
          <w:rFonts w:ascii="Arial Narrow" w:hAnsi="Arial Narrow"/>
          <w:sz w:val="24"/>
          <w:szCs w:val="32"/>
        </w:rPr>
        <w:t>(</w:t>
      </w:r>
      <w:r w:rsidR="000D4ABE" w:rsidRPr="00695F03">
        <w:rPr>
          <w:rFonts w:ascii="Arial Narrow" w:hAnsi="Arial Narrow"/>
          <w:sz w:val="24"/>
          <w:szCs w:val="32"/>
        </w:rPr>
        <w:t>o</w:t>
      </w:r>
      <w:r w:rsidR="00321353">
        <w:rPr>
          <w:rFonts w:ascii="Arial Narrow" w:hAnsi="Arial Narrow"/>
          <w:sz w:val="24"/>
          <w:szCs w:val="32"/>
        </w:rPr>
        <w:t> </w:t>
      </w:r>
      <w:r w:rsidR="00771D74" w:rsidRPr="00695F03">
        <w:rPr>
          <w:rFonts w:ascii="Arial Narrow" w:hAnsi="Arial Narrow"/>
          <w:sz w:val="24"/>
          <w:szCs w:val="32"/>
        </w:rPr>
        <w:t>5</w:t>
      </w:r>
      <w:r w:rsidR="00D831B2" w:rsidRPr="00695F03">
        <w:rPr>
          <w:rFonts w:ascii="Arial Narrow" w:hAnsi="Arial Narrow"/>
          <w:sz w:val="24"/>
          <w:szCs w:val="32"/>
        </w:rPr>
        <w:t>,1</w:t>
      </w:r>
      <w:r w:rsidR="00321353">
        <w:rPr>
          <w:rFonts w:ascii="Arial Narrow" w:hAnsi="Arial Narrow"/>
          <w:sz w:val="24"/>
          <w:szCs w:val="32"/>
        </w:rPr>
        <w:t> </w:t>
      </w:r>
      <w:r w:rsidRPr="00695F03">
        <w:rPr>
          <w:rFonts w:ascii="Arial Narrow" w:hAnsi="Arial Narrow"/>
          <w:sz w:val="24"/>
          <w:szCs w:val="32"/>
        </w:rPr>
        <w:t>%</w:t>
      </w:r>
      <w:r w:rsidR="00321353">
        <w:rPr>
          <w:rFonts w:ascii="Arial Narrow" w:hAnsi="Arial Narrow"/>
          <w:sz w:val="24"/>
          <w:szCs w:val="32"/>
        </w:rPr>
        <w:t>)</w:t>
      </w:r>
      <w:r w:rsidRPr="00695F03">
        <w:rPr>
          <w:rFonts w:ascii="Arial Narrow" w:hAnsi="Arial Narrow"/>
          <w:sz w:val="24"/>
          <w:szCs w:val="32"/>
        </w:rPr>
        <w:t>. Neúplné rodiny s dětmi zároveň tvoří typ domácnosti s nejnižšími ročními čistými příjmy na osobu</w:t>
      </w:r>
      <w:r w:rsidR="004F3CAC">
        <w:rPr>
          <w:rFonts w:ascii="Arial Narrow" w:hAnsi="Arial Narrow"/>
          <w:sz w:val="24"/>
          <w:szCs w:val="32"/>
        </w:rPr>
        <w:t xml:space="preserve"> vůbec</w:t>
      </w:r>
      <w:r w:rsidRPr="00695F03">
        <w:rPr>
          <w:rFonts w:ascii="Arial Narrow" w:hAnsi="Arial Narrow"/>
          <w:sz w:val="24"/>
          <w:szCs w:val="32"/>
        </w:rPr>
        <w:t xml:space="preserve">. V přepočtu na měsíc představuje průměrný příjem člena této domácnosti </w:t>
      </w:r>
      <w:r w:rsidR="00771D74" w:rsidRPr="00695F03">
        <w:rPr>
          <w:rFonts w:ascii="Arial Narrow" w:hAnsi="Arial Narrow"/>
          <w:sz w:val="24"/>
          <w:szCs w:val="32"/>
        </w:rPr>
        <w:t>15,4</w:t>
      </w:r>
      <w:r w:rsidRPr="00695F03">
        <w:rPr>
          <w:rFonts w:ascii="Arial Narrow" w:hAnsi="Arial Narrow"/>
          <w:sz w:val="24"/>
          <w:szCs w:val="32"/>
        </w:rPr>
        <w:t xml:space="preserve"> tisíc Kč.</w:t>
      </w:r>
      <w:r w:rsidR="00771D74" w:rsidRPr="00695F03">
        <w:rPr>
          <w:rFonts w:ascii="Arial Narrow" w:hAnsi="Arial Narrow"/>
          <w:sz w:val="24"/>
          <w:szCs w:val="32"/>
        </w:rPr>
        <w:t xml:space="preserve"> </w:t>
      </w:r>
      <w:r w:rsidRPr="00695F03">
        <w:rPr>
          <w:rFonts w:ascii="Arial Narrow" w:hAnsi="Arial Narrow"/>
          <w:sz w:val="24"/>
          <w:szCs w:val="32"/>
        </w:rPr>
        <w:t xml:space="preserve">Naopak nejvyšších příjmů ze sledovaných skupin dosahují domácnosti </w:t>
      </w:r>
      <w:r w:rsidR="006B0FC1" w:rsidRPr="00695F03">
        <w:rPr>
          <w:rFonts w:ascii="Arial Narrow" w:hAnsi="Arial Narrow"/>
          <w:sz w:val="24"/>
          <w:szCs w:val="32"/>
        </w:rPr>
        <w:t>zaměstnanců. Tyto domácnosti si měsíčně přijdou průměrně na 23,9 tisíc Kč, což pro tuto skupinu představuje meziroční růst o 6,5 %.</w:t>
      </w:r>
    </w:p>
    <w:p w14:paraId="5A831BEC" w14:textId="77777777" w:rsidR="00CB2171" w:rsidRPr="006B0FC1" w:rsidRDefault="00CB2171" w:rsidP="005F7D68">
      <w:pPr>
        <w:spacing w:after="0" w:line="288" w:lineRule="auto"/>
        <w:jc w:val="both"/>
        <w:rPr>
          <w:rFonts w:ascii="Arial Narrow" w:hAnsi="Arial Narrow"/>
          <w:sz w:val="24"/>
          <w:szCs w:val="32"/>
          <w:highlight w:val="cyan"/>
        </w:rPr>
      </w:pPr>
    </w:p>
    <w:p w14:paraId="338EE839" w14:textId="57021EC6" w:rsidR="00BD210D" w:rsidRDefault="00CB2171" w:rsidP="00BD210D">
      <w:pPr>
        <w:pStyle w:val="Titulek"/>
        <w:keepNext/>
      </w:pPr>
      <w:r>
        <w:t xml:space="preserve">Graf </w:t>
      </w:r>
      <w:r w:rsidR="0019709C">
        <w:fldChar w:fldCharType="begin"/>
      </w:r>
      <w:r w:rsidR="0019709C">
        <w:instrText xml:space="preserve"> SEQ Graf \* ARABIC </w:instrText>
      </w:r>
      <w:r w:rsidR="0019709C">
        <w:fldChar w:fldCharType="separate"/>
      </w:r>
      <w:r w:rsidR="00AF6CC5">
        <w:rPr>
          <w:noProof/>
        </w:rPr>
        <w:t>2</w:t>
      </w:r>
      <w:r w:rsidR="0019709C">
        <w:rPr>
          <w:noProof/>
        </w:rPr>
        <w:fldChar w:fldCharType="end"/>
      </w:r>
      <w:r>
        <w:rPr>
          <w:lang w:val="cs-CZ"/>
        </w:rPr>
        <w:t xml:space="preserve"> </w:t>
      </w:r>
      <w:r w:rsidR="00B43ACA" w:rsidRPr="00321353">
        <w:rPr>
          <w:lang w:val="cs-CZ"/>
        </w:rPr>
        <w:t>Č</w:t>
      </w:r>
      <w:r w:rsidRPr="00321353">
        <w:rPr>
          <w:lang w:val="cs-CZ"/>
        </w:rPr>
        <w:t>isté</w:t>
      </w:r>
      <w:r w:rsidRPr="009F7C61">
        <w:t xml:space="preserve"> peněžní příjmy dom</w:t>
      </w:r>
      <w:r w:rsidR="00B43ACA">
        <w:t>ácností na osobu podle vybran</w:t>
      </w:r>
      <w:r w:rsidR="00B43ACA">
        <w:rPr>
          <w:lang w:val="cs-CZ"/>
        </w:rPr>
        <w:t>ých</w:t>
      </w:r>
      <w:r w:rsidRPr="009F7C61">
        <w:t xml:space="preserve"> </w:t>
      </w:r>
      <w:r w:rsidR="00B43ACA">
        <w:rPr>
          <w:lang w:val="cs-CZ"/>
        </w:rPr>
        <w:t>typů</w:t>
      </w:r>
      <w:r w:rsidR="00B43ACA">
        <w:t xml:space="preserve"> domácností</w:t>
      </w:r>
      <w:r w:rsidRPr="009F7C61">
        <w:t xml:space="preserve"> (2023)</w:t>
      </w:r>
    </w:p>
    <w:p w14:paraId="0CB1D826" w14:textId="6268C1AF" w:rsidR="00BD210D" w:rsidRPr="00BD210D" w:rsidRDefault="00BD210D" w:rsidP="00BD210D">
      <w:pPr>
        <w:rPr>
          <w:lang w:val="x-none" w:eastAsia="ar-SA"/>
        </w:rPr>
      </w:pPr>
      <w:r>
        <w:rPr>
          <w:noProof/>
          <w:lang w:eastAsia="cs-CZ"/>
        </w:rPr>
        <w:drawing>
          <wp:inline distT="0" distB="0" distL="0" distR="0" wp14:anchorId="67DB41CB" wp14:editId="67A22504">
            <wp:extent cx="5759450" cy="3239770"/>
            <wp:effectExtent l="0" t="0" r="0" b="0"/>
            <wp:docPr id="6" name="Graf 6">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EE3211" w14:textId="0113DFEE" w:rsidR="00A56A6B" w:rsidRPr="00A56A6B" w:rsidRDefault="00A56A6B" w:rsidP="00065BBF">
      <w:pPr>
        <w:pStyle w:val="Titulek"/>
        <w:keepNext/>
        <w:spacing w:line="288" w:lineRule="auto"/>
        <w:jc w:val="both"/>
        <w:rPr>
          <w:rFonts w:eastAsia="Calibri"/>
          <w:b w:val="0"/>
          <w:bCs w:val="0"/>
          <w:sz w:val="24"/>
          <w:szCs w:val="32"/>
          <w:lang w:val="cs-CZ" w:eastAsia="en-US"/>
        </w:rPr>
      </w:pPr>
      <w:r w:rsidRPr="00A56A6B">
        <w:rPr>
          <w:rFonts w:eastAsia="Calibri"/>
          <w:b w:val="0"/>
          <w:bCs w:val="0"/>
          <w:sz w:val="24"/>
          <w:szCs w:val="32"/>
          <w:lang w:val="cs-CZ" w:eastAsia="en-US"/>
        </w:rPr>
        <w:t>Graf</w:t>
      </w:r>
      <w:r>
        <w:rPr>
          <w:rFonts w:eastAsia="Calibri"/>
          <w:b w:val="0"/>
          <w:bCs w:val="0"/>
          <w:sz w:val="24"/>
          <w:szCs w:val="32"/>
          <w:lang w:val="cs-CZ" w:eastAsia="en-US"/>
        </w:rPr>
        <w:t xml:space="preserve"> 3</w:t>
      </w:r>
      <w:r w:rsidRPr="00A56A6B">
        <w:rPr>
          <w:rFonts w:eastAsia="Calibri"/>
          <w:b w:val="0"/>
          <w:bCs w:val="0"/>
          <w:sz w:val="24"/>
          <w:szCs w:val="32"/>
          <w:lang w:val="cs-CZ" w:eastAsia="en-US"/>
        </w:rPr>
        <w:t xml:space="preserve"> ukazuje, jak jsou vybrané </w:t>
      </w:r>
      <w:r>
        <w:rPr>
          <w:rFonts w:eastAsia="Calibri"/>
          <w:b w:val="0"/>
          <w:bCs w:val="0"/>
          <w:sz w:val="24"/>
          <w:szCs w:val="32"/>
          <w:lang w:val="cs-CZ" w:eastAsia="en-US"/>
        </w:rPr>
        <w:t>typy</w:t>
      </w:r>
      <w:r w:rsidRPr="00A56A6B">
        <w:rPr>
          <w:rFonts w:eastAsia="Calibri"/>
          <w:b w:val="0"/>
          <w:bCs w:val="0"/>
          <w:sz w:val="24"/>
          <w:szCs w:val="32"/>
          <w:lang w:val="cs-CZ" w:eastAsia="en-US"/>
        </w:rPr>
        <w:t xml:space="preserve"> domácností zastoupeny v jednotlivých příjmových decilech</w:t>
      </w:r>
      <w:r>
        <w:rPr>
          <w:rFonts w:eastAsia="Calibri"/>
          <w:b w:val="0"/>
          <w:bCs w:val="0"/>
          <w:sz w:val="24"/>
          <w:szCs w:val="32"/>
          <w:lang w:val="cs-CZ" w:eastAsia="en-US"/>
        </w:rPr>
        <w:t xml:space="preserve">. Příjmové decily byly zkonstruovány tak, že </w:t>
      </w:r>
      <w:r w:rsidRPr="00A56A6B">
        <w:rPr>
          <w:rFonts w:eastAsia="Calibri"/>
          <w:b w:val="0"/>
          <w:bCs w:val="0"/>
          <w:sz w:val="24"/>
          <w:szCs w:val="32"/>
          <w:lang w:val="cs-CZ" w:eastAsia="en-US"/>
        </w:rPr>
        <w:t>všechny domácnosti byly uspořádány vzestupně podle výše jejich čistého peněžního příjmu na osobu a následně rozděl</w:t>
      </w:r>
      <w:r>
        <w:rPr>
          <w:rFonts w:eastAsia="Calibri"/>
          <w:b w:val="0"/>
          <w:bCs w:val="0"/>
          <w:sz w:val="24"/>
          <w:szCs w:val="32"/>
          <w:lang w:val="cs-CZ" w:eastAsia="en-US"/>
        </w:rPr>
        <w:t>eny do 10 stejně velkých skupin</w:t>
      </w:r>
      <w:r w:rsidRPr="00A56A6B">
        <w:rPr>
          <w:rFonts w:eastAsia="Calibri"/>
          <w:b w:val="0"/>
          <w:bCs w:val="0"/>
          <w:sz w:val="24"/>
          <w:szCs w:val="32"/>
          <w:lang w:val="cs-CZ" w:eastAsia="en-US"/>
        </w:rPr>
        <w:t>.</w:t>
      </w:r>
    </w:p>
    <w:p w14:paraId="3A17BD79" w14:textId="35F530B8" w:rsidR="00A56A6B" w:rsidRDefault="00A56A6B" w:rsidP="00065BBF">
      <w:pPr>
        <w:pStyle w:val="Titulek"/>
        <w:keepNext/>
        <w:spacing w:after="240" w:line="288" w:lineRule="auto"/>
        <w:jc w:val="both"/>
        <w:rPr>
          <w:rFonts w:eastAsia="Calibri"/>
          <w:b w:val="0"/>
          <w:bCs w:val="0"/>
          <w:sz w:val="24"/>
          <w:szCs w:val="32"/>
          <w:lang w:val="cs-CZ" w:eastAsia="en-US"/>
        </w:rPr>
      </w:pPr>
      <w:r w:rsidRPr="00A56A6B">
        <w:rPr>
          <w:rFonts w:eastAsia="Calibri"/>
          <w:b w:val="0"/>
          <w:bCs w:val="0"/>
          <w:sz w:val="24"/>
          <w:szCs w:val="32"/>
          <w:lang w:val="cs-CZ" w:eastAsia="en-US"/>
        </w:rPr>
        <w:t xml:space="preserve">Je patrné, že domácnosti důchodců se díky výraznému růstu svých příjmů posunuly v příjmovém rozdělení směrem „doprava“ a v roce 2023 jsou relativně nejvíce zastoupeny uprostřed, tj. ve </w:t>
      </w:r>
      <w:r w:rsidR="00F05D31">
        <w:rPr>
          <w:rFonts w:eastAsia="Calibri"/>
          <w:b w:val="0"/>
          <w:bCs w:val="0"/>
          <w:sz w:val="24"/>
          <w:szCs w:val="32"/>
          <w:lang w:val="cs-CZ" w:eastAsia="en-US"/>
        </w:rPr>
        <w:t>4., 5. a </w:t>
      </w:r>
      <w:r w:rsidR="00BD210D">
        <w:rPr>
          <w:rFonts w:eastAsia="Calibri"/>
          <w:b w:val="0"/>
          <w:bCs w:val="0"/>
          <w:sz w:val="24"/>
          <w:szCs w:val="32"/>
          <w:lang w:val="cs-CZ" w:eastAsia="en-US"/>
        </w:rPr>
        <w:t>6. </w:t>
      </w:r>
      <w:r w:rsidRPr="00A56A6B">
        <w:rPr>
          <w:rFonts w:eastAsia="Calibri"/>
          <w:b w:val="0"/>
          <w:bCs w:val="0"/>
          <w:sz w:val="24"/>
          <w:szCs w:val="32"/>
          <w:lang w:val="cs-CZ" w:eastAsia="en-US"/>
        </w:rPr>
        <w:t xml:space="preserve">decilu. Domácnosti zaměstnanců se naopak v příjmovém rozdělení rozestoupily do krajních příjmových decilů. Ve třech nejvyšších příjmových decilech se vyskytují především bezdětné </w:t>
      </w:r>
      <w:r>
        <w:rPr>
          <w:rFonts w:eastAsia="Calibri"/>
          <w:b w:val="0"/>
          <w:bCs w:val="0"/>
          <w:sz w:val="24"/>
          <w:szCs w:val="32"/>
          <w:lang w:val="cs-CZ" w:eastAsia="en-US"/>
        </w:rPr>
        <w:t>domácnosti</w:t>
      </w:r>
      <w:r w:rsidRPr="00A56A6B">
        <w:rPr>
          <w:rFonts w:eastAsia="Calibri"/>
          <w:b w:val="0"/>
          <w:bCs w:val="0"/>
          <w:sz w:val="24"/>
          <w:szCs w:val="32"/>
          <w:lang w:val="cs-CZ" w:eastAsia="en-US"/>
        </w:rPr>
        <w:t>, kdežto v</w:t>
      </w:r>
      <w:r w:rsidR="00865EF4">
        <w:rPr>
          <w:rFonts w:eastAsia="Calibri"/>
          <w:b w:val="0"/>
          <w:bCs w:val="0"/>
          <w:sz w:val="24"/>
          <w:szCs w:val="32"/>
          <w:lang w:val="cs-CZ" w:eastAsia="en-US"/>
        </w:rPr>
        <w:t> </w:t>
      </w:r>
      <w:r w:rsidRPr="00A56A6B">
        <w:rPr>
          <w:rFonts w:eastAsia="Calibri"/>
          <w:b w:val="0"/>
          <w:bCs w:val="0"/>
          <w:sz w:val="24"/>
          <w:szCs w:val="32"/>
          <w:lang w:val="cs-CZ" w:eastAsia="en-US"/>
        </w:rPr>
        <w:t xml:space="preserve">nejnižších příjmových decilech se nacházejí zejména domácnosti s dětmi. To detailněji dokládají spodní dva grafy, které ukazují příjmové rozdělení za dvě skupiny rodin s dětmi (úplné a neúplné). </w:t>
      </w:r>
      <w:r>
        <w:rPr>
          <w:rFonts w:eastAsia="Calibri"/>
          <w:b w:val="0"/>
          <w:bCs w:val="0"/>
          <w:sz w:val="24"/>
          <w:szCs w:val="32"/>
          <w:lang w:val="cs-CZ" w:eastAsia="en-US"/>
        </w:rPr>
        <w:t xml:space="preserve">Z nich lze vyčíst, že desetina </w:t>
      </w:r>
      <w:r w:rsidRPr="00A56A6B">
        <w:rPr>
          <w:rFonts w:eastAsia="Calibri"/>
          <w:b w:val="0"/>
          <w:bCs w:val="0"/>
          <w:sz w:val="24"/>
          <w:szCs w:val="32"/>
          <w:lang w:val="cs-CZ" w:eastAsia="en-US"/>
        </w:rPr>
        <w:t>všech domácností s nejnižšími příjmy na osobu je ze 3/4 zastoupena rodinam</w:t>
      </w:r>
      <w:r w:rsidR="00F05D31">
        <w:rPr>
          <w:rFonts w:eastAsia="Calibri"/>
          <w:b w:val="0"/>
          <w:bCs w:val="0"/>
          <w:sz w:val="24"/>
          <w:szCs w:val="32"/>
          <w:lang w:val="cs-CZ" w:eastAsia="en-US"/>
        </w:rPr>
        <w:t>i s </w:t>
      </w:r>
      <w:r w:rsidRPr="00A56A6B">
        <w:rPr>
          <w:rFonts w:eastAsia="Calibri"/>
          <w:b w:val="0"/>
          <w:bCs w:val="0"/>
          <w:sz w:val="24"/>
          <w:szCs w:val="32"/>
          <w:lang w:val="cs-CZ" w:eastAsia="en-US"/>
        </w:rPr>
        <w:t xml:space="preserve">dětmi. </w:t>
      </w:r>
      <w:r w:rsidR="00EE3035">
        <w:rPr>
          <w:rFonts w:eastAsia="Calibri"/>
          <w:b w:val="0"/>
          <w:bCs w:val="0"/>
          <w:sz w:val="24"/>
          <w:szCs w:val="32"/>
          <w:lang w:val="cs-CZ" w:eastAsia="en-US"/>
        </w:rPr>
        <w:t>N</w:t>
      </w:r>
      <w:r w:rsidRPr="00A56A6B">
        <w:rPr>
          <w:rFonts w:eastAsia="Calibri"/>
          <w:b w:val="0"/>
          <w:bCs w:val="0"/>
          <w:sz w:val="24"/>
          <w:szCs w:val="32"/>
          <w:lang w:val="cs-CZ" w:eastAsia="en-US"/>
        </w:rPr>
        <w:t xml:space="preserve">eúplných rodin je v české populaci relativně málo, ale </w:t>
      </w:r>
      <w:r>
        <w:rPr>
          <w:rFonts w:eastAsia="Calibri"/>
          <w:b w:val="0"/>
          <w:bCs w:val="0"/>
          <w:sz w:val="24"/>
          <w:szCs w:val="32"/>
          <w:lang w:val="cs-CZ" w:eastAsia="en-US"/>
        </w:rPr>
        <w:t>je vidět</w:t>
      </w:r>
      <w:r w:rsidRPr="00A56A6B">
        <w:rPr>
          <w:rFonts w:eastAsia="Calibri"/>
          <w:b w:val="0"/>
          <w:bCs w:val="0"/>
          <w:sz w:val="24"/>
          <w:szCs w:val="32"/>
          <w:lang w:val="cs-CZ" w:eastAsia="en-US"/>
        </w:rPr>
        <w:t xml:space="preserve">, že naprostá většina z nich </w:t>
      </w:r>
      <w:r>
        <w:rPr>
          <w:rFonts w:eastAsia="Calibri"/>
          <w:b w:val="0"/>
          <w:bCs w:val="0"/>
          <w:sz w:val="24"/>
          <w:szCs w:val="32"/>
          <w:lang w:val="cs-CZ" w:eastAsia="en-US"/>
        </w:rPr>
        <w:t xml:space="preserve">se nachází </w:t>
      </w:r>
      <w:r w:rsidRPr="00A56A6B">
        <w:rPr>
          <w:rFonts w:eastAsia="Calibri"/>
          <w:b w:val="0"/>
          <w:bCs w:val="0"/>
          <w:sz w:val="24"/>
          <w:szCs w:val="32"/>
          <w:lang w:val="cs-CZ" w:eastAsia="en-US"/>
        </w:rPr>
        <w:t>v</w:t>
      </w:r>
      <w:r w:rsidR="00EE3035">
        <w:rPr>
          <w:rFonts w:eastAsia="Calibri"/>
          <w:b w:val="0"/>
          <w:bCs w:val="0"/>
          <w:sz w:val="24"/>
          <w:szCs w:val="32"/>
          <w:lang w:val="cs-CZ" w:eastAsia="en-US"/>
        </w:rPr>
        <w:t> </w:t>
      </w:r>
      <w:r w:rsidRPr="00A56A6B">
        <w:rPr>
          <w:rFonts w:eastAsia="Calibri"/>
          <w:b w:val="0"/>
          <w:bCs w:val="0"/>
          <w:sz w:val="24"/>
          <w:szCs w:val="32"/>
          <w:lang w:val="cs-CZ" w:eastAsia="en-US"/>
        </w:rPr>
        <w:t xml:space="preserve">1. </w:t>
      </w:r>
      <w:r>
        <w:rPr>
          <w:rFonts w:eastAsia="Calibri"/>
          <w:b w:val="0"/>
          <w:bCs w:val="0"/>
          <w:sz w:val="24"/>
          <w:szCs w:val="32"/>
          <w:lang w:val="cs-CZ" w:eastAsia="en-US"/>
        </w:rPr>
        <w:t xml:space="preserve">příjmovém </w:t>
      </w:r>
      <w:r w:rsidRPr="00A56A6B">
        <w:rPr>
          <w:rFonts w:eastAsia="Calibri"/>
          <w:b w:val="0"/>
          <w:bCs w:val="0"/>
          <w:sz w:val="24"/>
          <w:szCs w:val="32"/>
          <w:lang w:val="cs-CZ" w:eastAsia="en-US"/>
        </w:rPr>
        <w:t>decilu.</w:t>
      </w:r>
    </w:p>
    <w:p w14:paraId="19F56EB5" w14:textId="695429BB" w:rsidR="00AF6CC5" w:rsidRDefault="00AF6CC5" w:rsidP="00AF6CC5">
      <w:pPr>
        <w:pStyle w:val="Titulek"/>
        <w:keepNext/>
        <w:jc w:val="both"/>
      </w:pPr>
      <w:r>
        <w:t xml:space="preserve">Graf </w:t>
      </w:r>
      <w:r w:rsidR="0019709C">
        <w:fldChar w:fldCharType="begin"/>
      </w:r>
      <w:r w:rsidR="0019709C">
        <w:instrText xml:space="preserve"> SEQ Graf \* ARABIC </w:instrText>
      </w:r>
      <w:r w:rsidR="0019709C">
        <w:fldChar w:fldCharType="separate"/>
      </w:r>
      <w:r>
        <w:rPr>
          <w:noProof/>
        </w:rPr>
        <w:t>3</w:t>
      </w:r>
      <w:r w:rsidR="0019709C">
        <w:rPr>
          <w:noProof/>
        </w:rPr>
        <w:fldChar w:fldCharType="end"/>
      </w:r>
      <w:r>
        <w:rPr>
          <w:lang w:val="cs-CZ"/>
        </w:rPr>
        <w:t xml:space="preserve"> Vybrané typy domácností v příjmových decilech (2023, %)</w:t>
      </w:r>
    </w:p>
    <w:p w14:paraId="633770C0" w14:textId="2F40F42E" w:rsidR="00CB2171" w:rsidRDefault="00CB2171" w:rsidP="00B20E99">
      <w:pPr>
        <w:spacing w:after="240"/>
        <w:jc w:val="both"/>
        <w:rPr>
          <w:rFonts w:ascii="Arial Narrow" w:hAnsi="Arial Narrow"/>
          <w:sz w:val="24"/>
          <w:szCs w:val="24"/>
          <w:highlight w:val="cyan"/>
        </w:rPr>
      </w:pPr>
      <w:r w:rsidRPr="00CB2171">
        <w:rPr>
          <w:rFonts w:ascii="Arial Narrow" w:hAnsi="Arial Narrow"/>
          <w:noProof/>
          <w:sz w:val="24"/>
          <w:szCs w:val="24"/>
          <w:lang w:eastAsia="cs-CZ"/>
        </w:rPr>
        <w:drawing>
          <wp:inline distT="0" distB="0" distL="0" distR="0" wp14:anchorId="69E44D58" wp14:editId="15D278F3">
            <wp:extent cx="5760000" cy="264849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00" cy="2648495"/>
                    </a:xfrm>
                    <a:prstGeom prst="rect">
                      <a:avLst/>
                    </a:prstGeom>
                  </pic:spPr>
                </pic:pic>
              </a:graphicData>
            </a:graphic>
          </wp:inline>
        </w:drawing>
      </w:r>
    </w:p>
    <w:p w14:paraId="241930E0" w14:textId="61F29DE3" w:rsidR="00B20E99" w:rsidRPr="005F66CA" w:rsidRDefault="00CB537B" w:rsidP="00065BBF">
      <w:pPr>
        <w:pStyle w:val="Titulek"/>
        <w:keepNext/>
        <w:spacing w:after="240" w:line="288" w:lineRule="auto"/>
        <w:jc w:val="both"/>
        <w:rPr>
          <w:rFonts w:eastAsia="Calibri"/>
          <w:b w:val="0"/>
          <w:bCs w:val="0"/>
          <w:sz w:val="24"/>
          <w:szCs w:val="32"/>
          <w:lang w:val="cs-CZ" w:eastAsia="en-US"/>
        </w:rPr>
      </w:pPr>
      <w:r w:rsidRPr="005F66CA">
        <w:rPr>
          <w:rFonts w:eastAsia="Calibri"/>
          <w:b w:val="0"/>
          <w:bCs w:val="0"/>
          <w:sz w:val="24"/>
          <w:szCs w:val="32"/>
          <w:lang w:val="cs-CZ" w:eastAsia="en-US"/>
        </w:rPr>
        <w:t>S</w:t>
      </w:r>
      <w:r w:rsidR="0031724C" w:rsidRPr="005F66CA">
        <w:rPr>
          <w:rFonts w:eastAsia="Calibri"/>
          <w:b w:val="0"/>
          <w:bCs w:val="0"/>
          <w:sz w:val="24"/>
          <w:szCs w:val="32"/>
          <w:lang w:val="cs-CZ" w:eastAsia="en-US"/>
        </w:rPr>
        <w:t xml:space="preserve">truktura hrubých </w:t>
      </w:r>
      <w:r w:rsidR="00BC3550" w:rsidRPr="005F66CA">
        <w:rPr>
          <w:rFonts w:eastAsia="Calibri"/>
          <w:b w:val="0"/>
          <w:bCs w:val="0"/>
          <w:sz w:val="24"/>
          <w:szCs w:val="32"/>
          <w:lang w:val="cs-CZ" w:eastAsia="en-US"/>
        </w:rPr>
        <w:t xml:space="preserve">peněžních </w:t>
      </w:r>
      <w:r w:rsidR="001219D7" w:rsidRPr="005F66CA">
        <w:rPr>
          <w:rFonts w:eastAsia="Calibri"/>
          <w:b w:val="0"/>
          <w:bCs w:val="0"/>
          <w:sz w:val="24"/>
          <w:szCs w:val="32"/>
          <w:lang w:val="cs-CZ" w:eastAsia="en-US"/>
        </w:rPr>
        <w:t>příjmů domácností zůstává</w:t>
      </w:r>
      <w:r w:rsidR="0031724C" w:rsidRPr="005F66CA">
        <w:rPr>
          <w:rFonts w:eastAsia="Calibri"/>
          <w:b w:val="0"/>
          <w:bCs w:val="0"/>
          <w:sz w:val="24"/>
          <w:szCs w:val="32"/>
          <w:lang w:val="cs-CZ" w:eastAsia="en-US"/>
        </w:rPr>
        <w:t xml:space="preserve"> v čase </w:t>
      </w:r>
      <w:r w:rsidR="005C2F25" w:rsidRPr="005F66CA">
        <w:rPr>
          <w:rFonts w:eastAsia="Calibri"/>
          <w:b w:val="0"/>
          <w:bCs w:val="0"/>
          <w:sz w:val="24"/>
          <w:szCs w:val="32"/>
          <w:lang w:val="cs-CZ" w:eastAsia="en-US"/>
        </w:rPr>
        <w:t xml:space="preserve">poměrně </w:t>
      </w:r>
      <w:r w:rsidR="0031724C" w:rsidRPr="005F66CA">
        <w:rPr>
          <w:rFonts w:eastAsia="Calibri"/>
          <w:b w:val="0"/>
          <w:bCs w:val="0"/>
          <w:sz w:val="24"/>
          <w:szCs w:val="32"/>
          <w:lang w:val="cs-CZ" w:eastAsia="en-US"/>
        </w:rPr>
        <w:t>stabilní</w:t>
      </w:r>
      <w:r w:rsidRPr="005F66CA">
        <w:rPr>
          <w:rFonts w:eastAsia="Calibri"/>
          <w:b w:val="0"/>
          <w:bCs w:val="0"/>
          <w:sz w:val="24"/>
          <w:szCs w:val="32"/>
          <w:lang w:val="cs-CZ" w:eastAsia="en-US"/>
        </w:rPr>
        <w:t>. Nicméně v posledních letech</w:t>
      </w:r>
      <w:r w:rsidR="00F33B51" w:rsidRPr="005F66CA">
        <w:rPr>
          <w:rFonts w:eastAsia="Calibri"/>
          <w:b w:val="0"/>
          <w:bCs w:val="0"/>
          <w:sz w:val="24"/>
          <w:szCs w:val="32"/>
          <w:lang w:val="cs-CZ" w:eastAsia="en-US"/>
        </w:rPr>
        <w:t xml:space="preserve"> </w:t>
      </w:r>
      <w:r w:rsidRPr="005F66CA">
        <w:rPr>
          <w:rFonts w:eastAsia="Calibri"/>
          <w:b w:val="0"/>
          <w:bCs w:val="0"/>
          <w:sz w:val="24"/>
          <w:szCs w:val="32"/>
          <w:lang w:val="cs-CZ" w:eastAsia="en-US"/>
        </w:rPr>
        <w:t xml:space="preserve">je zřejmý trend postupného </w:t>
      </w:r>
      <w:r w:rsidR="00F33B51" w:rsidRPr="005F66CA">
        <w:rPr>
          <w:rFonts w:eastAsia="Calibri"/>
          <w:b w:val="0"/>
          <w:bCs w:val="0"/>
          <w:sz w:val="24"/>
          <w:szCs w:val="32"/>
          <w:lang w:val="cs-CZ" w:eastAsia="en-US"/>
        </w:rPr>
        <w:t>růstu podílu důchodů na celkových příjmech</w:t>
      </w:r>
      <w:r w:rsidR="00C30215" w:rsidRPr="005F66CA">
        <w:rPr>
          <w:rFonts w:eastAsia="Calibri"/>
          <w:b w:val="0"/>
          <w:bCs w:val="0"/>
          <w:sz w:val="24"/>
          <w:szCs w:val="32"/>
          <w:lang w:val="cs-CZ" w:eastAsia="en-US"/>
        </w:rPr>
        <w:t>. O</w:t>
      </w:r>
      <w:r w:rsidR="00F72B11" w:rsidRPr="005F66CA">
        <w:rPr>
          <w:rFonts w:eastAsia="Calibri"/>
          <w:b w:val="0"/>
          <w:bCs w:val="0"/>
          <w:sz w:val="24"/>
          <w:szCs w:val="32"/>
          <w:lang w:val="cs-CZ" w:eastAsia="en-US"/>
        </w:rPr>
        <w:t>proti minulému roku došlo k nár</w:t>
      </w:r>
      <w:r w:rsidRPr="005F66CA">
        <w:rPr>
          <w:rFonts w:eastAsia="Calibri"/>
          <w:b w:val="0"/>
          <w:bCs w:val="0"/>
          <w:sz w:val="24"/>
          <w:szCs w:val="32"/>
          <w:lang w:val="cs-CZ" w:eastAsia="en-US"/>
        </w:rPr>
        <w:t>ůstu podílu důchodů o 1,4 p. b. na hodnotu 19,5 %.</w:t>
      </w:r>
      <w:r w:rsidR="00C30215" w:rsidRPr="005F66CA">
        <w:rPr>
          <w:rFonts w:eastAsia="Calibri"/>
          <w:b w:val="0"/>
          <w:bCs w:val="0"/>
          <w:sz w:val="24"/>
          <w:szCs w:val="32"/>
          <w:lang w:val="cs-CZ" w:eastAsia="en-US"/>
        </w:rPr>
        <w:t xml:space="preserve"> </w:t>
      </w:r>
      <w:r w:rsidR="00F33B51" w:rsidRPr="005F66CA">
        <w:rPr>
          <w:rFonts w:eastAsia="Calibri"/>
          <w:b w:val="0"/>
          <w:bCs w:val="0"/>
          <w:sz w:val="24"/>
          <w:szCs w:val="32"/>
          <w:lang w:val="cs-CZ" w:eastAsia="en-US"/>
        </w:rPr>
        <w:t>Důchody spol</w:t>
      </w:r>
      <w:r w:rsidR="0073034F" w:rsidRPr="005F66CA">
        <w:rPr>
          <w:rFonts w:eastAsia="Calibri"/>
          <w:b w:val="0"/>
          <w:bCs w:val="0"/>
          <w:sz w:val="24"/>
          <w:szCs w:val="32"/>
          <w:lang w:val="cs-CZ" w:eastAsia="en-US"/>
        </w:rPr>
        <w:t xml:space="preserve">u se sociálními dávkami tvoří </w:t>
      </w:r>
      <w:r w:rsidR="00EE3035">
        <w:rPr>
          <w:rFonts w:eastAsia="Calibri"/>
          <w:b w:val="0"/>
          <w:bCs w:val="0"/>
          <w:sz w:val="24"/>
          <w:szCs w:val="32"/>
          <w:lang w:val="cs-CZ" w:eastAsia="en-US"/>
        </w:rPr>
        <w:t>ji</w:t>
      </w:r>
      <w:r w:rsidR="00425559">
        <w:rPr>
          <w:rFonts w:eastAsia="Calibri"/>
          <w:b w:val="0"/>
          <w:bCs w:val="0"/>
          <w:sz w:val="24"/>
          <w:szCs w:val="32"/>
          <w:lang w:val="cs-CZ" w:eastAsia="en-US"/>
        </w:rPr>
        <w:t xml:space="preserve">ž </w:t>
      </w:r>
      <w:r w:rsidRPr="005F66CA">
        <w:rPr>
          <w:rFonts w:eastAsia="Calibri"/>
          <w:b w:val="0"/>
          <w:bCs w:val="0"/>
          <w:sz w:val="24"/>
          <w:szCs w:val="32"/>
          <w:lang w:val="cs-CZ" w:eastAsia="en-US"/>
        </w:rPr>
        <w:t>více než pětinu</w:t>
      </w:r>
      <w:r w:rsidR="00FE0D73" w:rsidRPr="005F66CA">
        <w:rPr>
          <w:rFonts w:eastAsia="Calibri"/>
          <w:b w:val="0"/>
          <w:bCs w:val="0"/>
          <w:sz w:val="24"/>
          <w:szCs w:val="32"/>
          <w:lang w:val="cs-CZ" w:eastAsia="en-US"/>
        </w:rPr>
        <w:t xml:space="preserve"> (22,7 %)</w:t>
      </w:r>
      <w:r w:rsidR="00F33B51" w:rsidRPr="005F66CA">
        <w:rPr>
          <w:rFonts w:eastAsia="Calibri"/>
          <w:b w:val="0"/>
          <w:bCs w:val="0"/>
          <w:sz w:val="24"/>
          <w:szCs w:val="32"/>
          <w:lang w:val="cs-CZ" w:eastAsia="en-US"/>
        </w:rPr>
        <w:t xml:space="preserve"> </w:t>
      </w:r>
      <w:r w:rsidRPr="005F66CA">
        <w:rPr>
          <w:rFonts w:eastAsia="Calibri"/>
          <w:b w:val="0"/>
          <w:bCs w:val="0"/>
          <w:sz w:val="24"/>
          <w:szCs w:val="32"/>
          <w:lang w:val="cs-CZ" w:eastAsia="en-US"/>
        </w:rPr>
        <w:t xml:space="preserve">objemu </w:t>
      </w:r>
      <w:r w:rsidR="0073034F" w:rsidRPr="005F66CA">
        <w:rPr>
          <w:rFonts w:eastAsia="Calibri"/>
          <w:b w:val="0"/>
          <w:bCs w:val="0"/>
          <w:sz w:val="24"/>
          <w:szCs w:val="32"/>
          <w:lang w:val="cs-CZ" w:eastAsia="en-US"/>
        </w:rPr>
        <w:t xml:space="preserve">všech </w:t>
      </w:r>
      <w:r w:rsidR="00F33B51" w:rsidRPr="005F66CA">
        <w:rPr>
          <w:rFonts w:eastAsia="Calibri"/>
          <w:b w:val="0"/>
          <w:bCs w:val="0"/>
          <w:sz w:val="24"/>
          <w:szCs w:val="32"/>
          <w:lang w:val="cs-CZ" w:eastAsia="en-US"/>
        </w:rPr>
        <w:t xml:space="preserve">příjmů domácností. </w:t>
      </w:r>
      <w:r w:rsidRPr="005F66CA">
        <w:rPr>
          <w:rFonts w:eastAsia="Calibri"/>
          <w:b w:val="0"/>
          <w:bCs w:val="0"/>
          <w:sz w:val="24"/>
          <w:szCs w:val="32"/>
          <w:lang w:val="cs-CZ" w:eastAsia="en-US"/>
        </w:rPr>
        <w:t>Tento růst sociálních příjmů je</w:t>
      </w:r>
      <w:r w:rsidR="0073034F" w:rsidRPr="005F66CA">
        <w:rPr>
          <w:rFonts w:eastAsia="Calibri"/>
          <w:b w:val="0"/>
          <w:bCs w:val="0"/>
          <w:sz w:val="24"/>
          <w:szCs w:val="32"/>
          <w:lang w:val="cs-CZ" w:eastAsia="en-US"/>
        </w:rPr>
        <w:t xml:space="preserve"> na úkor</w:t>
      </w:r>
      <w:r w:rsidR="00F33B51" w:rsidRPr="005F66CA">
        <w:rPr>
          <w:rFonts w:eastAsia="Calibri"/>
          <w:b w:val="0"/>
          <w:bCs w:val="0"/>
          <w:sz w:val="24"/>
          <w:szCs w:val="32"/>
          <w:lang w:val="cs-CZ" w:eastAsia="en-US"/>
        </w:rPr>
        <w:t xml:space="preserve"> příjmů z</w:t>
      </w:r>
      <w:r w:rsidR="0073034F" w:rsidRPr="005F66CA">
        <w:rPr>
          <w:rFonts w:eastAsia="Calibri"/>
          <w:b w:val="0"/>
          <w:bCs w:val="0"/>
          <w:sz w:val="24"/>
          <w:szCs w:val="32"/>
          <w:lang w:val="cs-CZ" w:eastAsia="en-US"/>
        </w:rPr>
        <w:t>e závislé</w:t>
      </w:r>
      <w:r w:rsidR="00F33B51" w:rsidRPr="005F66CA">
        <w:rPr>
          <w:rFonts w:eastAsia="Calibri"/>
          <w:b w:val="0"/>
          <w:bCs w:val="0"/>
          <w:sz w:val="24"/>
          <w:szCs w:val="32"/>
          <w:lang w:val="cs-CZ" w:eastAsia="en-US"/>
        </w:rPr>
        <w:t xml:space="preserve"> činnosti. V </w:t>
      </w:r>
      <w:r w:rsidR="000D4ABE" w:rsidRPr="005F66CA">
        <w:rPr>
          <w:rFonts w:eastAsia="Calibri"/>
          <w:b w:val="0"/>
          <w:bCs w:val="0"/>
          <w:sz w:val="24"/>
          <w:szCs w:val="32"/>
          <w:lang w:val="cs-CZ" w:eastAsia="en-US"/>
        </w:rPr>
        <w:t>roce 202</w:t>
      </w:r>
      <w:r w:rsidR="00F72B11" w:rsidRPr="005F66CA">
        <w:rPr>
          <w:rFonts w:eastAsia="Calibri"/>
          <w:b w:val="0"/>
          <w:bCs w:val="0"/>
          <w:sz w:val="24"/>
          <w:szCs w:val="32"/>
          <w:lang w:val="cs-CZ" w:eastAsia="en-US"/>
        </w:rPr>
        <w:t>3</w:t>
      </w:r>
      <w:r w:rsidR="000D4ABE" w:rsidRPr="005F66CA">
        <w:rPr>
          <w:rFonts w:eastAsia="Calibri"/>
          <w:b w:val="0"/>
          <w:bCs w:val="0"/>
          <w:sz w:val="24"/>
          <w:szCs w:val="32"/>
          <w:lang w:val="cs-CZ" w:eastAsia="en-US"/>
        </w:rPr>
        <w:t xml:space="preserve"> vycházelo </w:t>
      </w:r>
      <w:r w:rsidR="00F72B11" w:rsidRPr="005F66CA">
        <w:rPr>
          <w:rFonts w:eastAsia="Calibri"/>
          <w:b w:val="0"/>
          <w:bCs w:val="0"/>
          <w:sz w:val="24"/>
          <w:szCs w:val="32"/>
          <w:lang w:val="cs-CZ" w:eastAsia="en-US"/>
        </w:rPr>
        <w:t>60,2</w:t>
      </w:r>
      <w:r w:rsidR="00F33B51" w:rsidRPr="005F66CA">
        <w:rPr>
          <w:rFonts w:eastAsia="Calibri"/>
          <w:b w:val="0"/>
          <w:bCs w:val="0"/>
          <w:sz w:val="24"/>
          <w:szCs w:val="32"/>
          <w:lang w:val="cs-CZ" w:eastAsia="en-US"/>
        </w:rPr>
        <w:t xml:space="preserve"> % příjmů ze </w:t>
      </w:r>
      <w:r w:rsidR="001219D7" w:rsidRPr="005F66CA">
        <w:rPr>
          <w:rFonts w:eastAsia="Calibri"/>
          <w:b w:val="0"/>
          <w:bCs w:val="0"/>
          <w:sz w:val="24"/>
          <w:szCs w:val="32"/>
          <w:lang w:val="cs-CZ" w:eastAsia="en-US"/>
        </w:rPr>
        <w:t xml:space="preserve">závislé činnosti </w:t>
      </w:r>
      <w:r w:rsidR="002D5931" w:rsidRPr="005F66CA">
        <w:rPr>
          <w:rFonts w:eastAsia="Calibri"/>
          <w:b w:val="0"/>
          <w:bCs w:val="0"/>
          <w:sz w:val="24"/>
          <w:szCs w:val="32"/>
          <w:lang w:val="cs-CZ" w:eastAsia="en-US"/>
        </w:rPr>
        <w:t>a 13,9 % z podnikání, celkem tedy zhruba tři čtvrtiny příjmů.</w:t>
      </w:r>
    </w:p>
    <w:p w14:paraId="3DAC97AE" w14:textId="463FD4F9" w:rsidR="00C7352F" w:rsidRDefault="00C7352F" w:rsidP="00C7352F">
      <w:pPr>
        <w:pStyle w:val="Titulek"/>
        <w:keepNext/>
        <w:rPr>
          <w:lang w:val="cs-CZ"/>
        </w:rPr>
      </w:pPr>
      <w:r>
        <w:t xml:space="preserve">Graf </w:t>
      </w:r>
      <w:r w:rsidR="0019709C">
        <w:fldChar w:fldCharType="begin"/>
      </w:r>
      <w:r w:rsidR="0019709C">
        <w:instrText xml:space="preserve"> SEQ Graf \* ARABIC </w:instrText>
      </w:r>
      <w:r w:rsidR="0019709C">
        <w:fldChar w:fldCharType="separate"/>
      </w:r>
      <w:r w:rsidR="00AF6CC5">
        <w:rPr>
          <w:noProof/>
        </w:rPr>
        <w:t>4</w:t>
      </w:r>
      <w:r w:rsidR="0019709C">
        <w:rPr>
          <w:noProof/>
        </w:rPr>
        <w:fldChar w:fldCharType="end"/>
      </w:r>
      <w:r w:rsidRPr="008312E3">
        <w:rPr>
          <w:lang w:val="cs-CZ"/>
        </w:rPr>
        <w:t xml:space="preserve"> Struktura hrubých peněžních </w:t>
      </w:r>
      <w:r>
        <w:rPr>
          <w:lang w:val="cs-CZ"/>
        </w:rPr>
        <w:t xml:space="preserve">příjmů domácností (2020–2023, </w:t>
      </w:r>
      <w:r w:rsidRPr="008312E3">
        <w:rPr>
          <w:lang w:val="cs-CZ"/>
        </w:rPr>
        <w:t>%)</w:t>
      </w:r>
    </w:p>
    <w:p w14:paraId="2F2D67AA" w14:textId="29C524CA" w:rsidR="00C30215" w:rsidRPr="00BD210D" w:rsidRDefault="00BD210D" w:rsidP="00BD210D">
      <w:pPr>
        <w:rPr>
          <w:lang w:eastAsia="ar-SA"/>
        </w:rPr>
      </w:pPr>
      <w:r>
        <w:rPr>
          <w:noProof/>
          <w:lang w:eastAsia="cs-CZ"/>
        </w:rPr>
        <w:drawing>
          <wp:inline distT="0" distB="0" distL="0" distR="0" wp14:anchorId="2E504EE5" wp14:editId="71ACF915">
            <wp:extent cx="5759450" cy="2780030"/>
            <wp:effectExtent l="0" t="0" r="0" b="1270"/>
            <wp:docPr id="8" name="Graf 8">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EF716DE" w14:textId="03621823" w:rsidR="00197592" w:rsidRDefault="00BC18D3" w:rsidP="003C10BC">
      <w:pPr>
        <w:spacing w:after="240" w:line="288" w:lineRule="auto"/>
        <w:jc w:val="both"/>
        <w:rPr>
          <w:rFonts w:ascii="Arial Narrow" w:hAnsi="Arial Narrow"/>
          <w:sz w:val="24"/>
          <w:szCs w:val="24"/>
        </w:rPr>
      </w:pPr>
      <w:r w:rsidRPr="00BC18D3">
        <w:rPr>
          <w:rFonts w:ascii="Arial Narrow" w:hAnsi="Arial Narrow"/>
          <w:sz w:val="24"/>
          <w:szCs w:val="24"/>
        </w:rPr>
        <w:t>Č</w:t>
      </w:r>
      <w:r w:rsidR="00F6087E" w:rsidRPr="00BC18D3">
        <w:rPr>
          <w:rFonts w:ascii="Arial Narrow" w:hAnsi="Arial Narrow"/>
          <w:sz w:val="24"/>
          <w:szCs w:val="24"/>
        </w:rPr>
        <w:t xml:space="preserve">isté a hrubé </w:t>
      </w:r>
      <w:r w:rsidRPr="00BC18D3">
        <w:rPr>
          <w:rFonts w:ascii="Arial Narrow" w:hAnsi="Arial Narrow"/>
          <w:sz w:val="24"/>
          <w:szCs w:val="24"/>
        </w:rPr>
        <w:t xml:space="preserve">peněžní </w:t>
      </w:r>
      <w:r w:rsidR="00F6087E" w:rsidRPr="00BC18D3">
        <w:rPr>
          <w:rFonts w:ascii="Arial Narrow" w:hAnsi="Arial Narrow"/>
          <w:sz w:val="24"/>
          <w:szCs w:val="24"/>
        </w:rPr>
        <w:t xml:space="preserve">příjmy </w:t>
      </w:r>
      <w:r w:rsidRPr="00BC18D3">
        <w:rPr>
          <w:rFonts w:ascii="Arial Narrow" w:hAnsi="Arial Narrow"/>
          <w:sz w:val="24"/>
          <w:szCs w:val="24"/>
        </w:rPr>
        <w:t>rostly do roku 2020 shodně a zároveň nepatrně rychleji</w:t>
      </w:r>
      <w:r w:rsidR="00425559">
        <w:rPr>
          <w:rFonts w:ascii="Arial Narrow" w:hAnsi="Arial Narrow"/>
          <w:sz w:val="24"/>
          <w:szCs w:val="24"/>
        </w:rPr>
        <w:t>,</w:t>
      </w:r>
      <w:r w:rsidRPr="00BC18D3">
        <w:rPr>
          <w:rFonts w:ascii="Arial Narrow" w:hAnsi="Arial Narrow"/>
          <w:sz w:val="24"/>
          <w:szCs w:val="24"/>
        </w:rPr>
        <w:t xml:space="preserve"> než jak se vyvíjely ceny. Pouze v roce 2021 rostly čisté výrazně rychleji než hrubé. To bylo způsobeno změnou výpočtu základu daně (přechod ze superhrubé na hrubou mzdu)</w:t>
      </w:r>
      <w:r w:rsidR="005548AA" w:rsidRPr="00BC18D3">
        <w:rPr>
          <w:rFonts w:ascii="Arial Narrow" w:hAnsi="Arial Narrow"/>
          <w:sz w:val="24"/>
          <w:szCs w:val="24"/>
        </w:rPr>
        <w:t xml:space="preserve">. </w:t>
      </w:r>
      <w:r w:rsidR="00197592" w:rsidRPr="00BC18D3">
        <w:rPr>
          <w:rFonts w:ascii="Arial Narrow" w:hAnsi="Arial Narrow"/>
          <w:sz w:val="24"/>
          <w:szCs w:val="24"/>
        </w:rPr>
        <w:t>V letech</w:t>
      </w:r>
      <w:r w:rsidR="00F6087E" w:rsidRPr="00BC18D3">
        <w:rPr>
          <w:rFonts w:ascii="Arial Narrow" w:hAnsi="Arial Narrow"/>
          <w:sz w:val="24"/>
          <w:szCs w:val="24"/>
        </w:rPr>
        <w:t xml:space="preserve"> 2022</w:t>
      </w:r>
      <w:r w:rsidR="00197592" w:rsidRPr="00BC18D3">
        <w:rPr>
          <w:rFonts w:ascii="Arial Narrow" w:hAnsi="Arial Narrow"/>
          <w:sz w:val="24"/>
          <w:szCs w:val="24"/>
        </w:rPr>
        <w:t xml:space="preserve"> a 2023</w:t>
      </w:r>
      <w:r w:rsidR="00F6087E" w:rsidRPr="00BC18D3">
        <w:rPr>
          <w:rFonts w:ascii="Arial Narrow" w:hAnsi="Arial Narrow"/>
          <w:sz w:val="24"/>
          <w:szCs w:val="24"/>
        </w:rPr>
        <w:t xml:space="preserve"> </w:t>
      </w:r>
      <w:r w:rsidR="007638EE" w:rsidRPr="00BC18D3">
        <w:rPr>
          <w:rFonts w:ascii="Arial Narrow" w:hAnsi="Arial Narrow"/>
          <w:sz w:val="24"/>
          <w:szCs w:val="24"/>
        </w:rPr>
        <w:t>se potom tempo růstu čistých a hrubých příjmů</w:t>
      </w:r>
      <w:r w:rsidRPr="00BC18D3">
        <w:rPr>
          <w:rFonts w:ascii="Arial Narrow" w:hAnsi="Arial Narrow"/>
          <w:sz w:val="24"/>
          <w:szCs w:val="24"/>
        </w:rPr>
        <w:t xml:space="preserve"> opět</w:t>
      </w:r>
      <w:r w:rsidR="007638EE" w:rsidRPr="00BC18D3">
        <w:rPr>
          <w:rFonts w:ascii="Arial Narrow" w:hAnsi="Arial Narrow"/>
          <w:sz w:val="24"/>
          <w:szCs w:val="24"/>
        </w:rPr>
        <w:t xml:space="preserve"> </w:t>
      </w:r>
      <w:r w:rsidR="004B29E8" w:rsidRPr="00BC18D3">
        <w:rPr>
          <w:rFonts w:ascii="Arial Narrow" w:hAnsi="Arial Narrow"/>
          <w:sz w:val="24"/>
          <w:szCs w:val="24"/>
        </w:rPr>
        <w:t>přiblížilo</w:t>
      </w:r>
      <w:r w:rsidR="007638EE" w:rsidRPr="00BC18D3">
        <w:rPr>
          <w:rFonts w:ascii="Arial Narrow" w:hAnsi="Arial Narrow"/>
          <w:sz w:val="24"/>
          <w:szCs w:val="24"/>
        </w:rPr>
        <w:t xml:space="preserve">. </w:t>
      </w:r>
      <w:r w:rsidR="00425559">
        <w:rPr>
          <w:rFonts w:ascii="Arial Narrow" w:hAnsi="Arial Narrow"/>
          <w:sz w:val="24"/>
          <w:szCs w:val="24"/>
        </w:rPr>
        <w:t>Av</w:t>
      </w:r>
      <w:r w:rsidR="00065BBF">
        <w:rPr>
          <w:rFonts w:ascii="Arial Narrow" w:hAnsi="Arial Narrow"/>
          <w:sz w:val="24"/>
          <w:szCs w:val="24"/>
        </w:rPr>
        <w:t>šak z</w:t>
      </w:r>
      <w:r w:rsidRPr="00BC18D3">
        <w:rPr>
          <w:rFonts w:ascii="Arial Narrow" w:hAnsi="Arial Narrow"/>
          <w:sz w:val="24"/>
          <w:szCs w:val="24"/>
        </w:rPr>
        <w:t> důvodu nárůstu míry inflace v letech 2022 a 2023,</w:t>
      </w:r>
      <w:r w:rsidR="00197592" w:rsidRPr="00BC18D3">
        <w:rPr>
          <w:rFonts w:ascii="Arial Narrow" w:hAnsi="Arial Narrow"/>
          <w:sz w:val="24"/>
          <w:szCs w:val="24"/>
        </w:rPr>
        <w:t xml:space="preserve"> která v roce 2023 činila průměrně 10,7</w:t>
      </w:r>
      <w:r w:rsidRPr="00BC18D3">
        <w:rPr>
          <w:rFonts w:ascii="Arial Narrow" w:hAnsi="Arial Narrow"/>
          <w:sz w:val="24"/>
          <w:szCs w:val="24"/>
        </w:rPr>
        <w:t xml:space="preserve"> %, resp. 15,1 % o rok dříve,</w:t>
      </w:r>
      <w:r w:rsidR="00640D6C" w:rsidRPr="00BC18D3">
        <w:rPr>
          <w:rFonts w:ascii="Arial Narrow" w:hAnsi="Arial Narrow"/>
          <w:sz w:val="24"/>
          <w:szCs w:val="24"/>
        </w:rPr>
        <w:t xml:space="preserve"> </w:t>
      </w:r>
      <w:r w:rsidR="0031724C" w:rsidRPr="00BC18D3">
        <w:rPr>
          <w:rFonts w:ascii="Arial Narrow" w:hAnsi="Arial Narrow"/>
          <w:sz w:val="24"/>
          <w:szCs w:val="24"/>
        </w:rPr>
        <w:t xml:space="preserve">příjmy </w:t>
      </w:r>
      <w:r w:rsidR="00251FB6" w:rsidRPr="00BC18D3">
        <w:rPr>
          <w:rFonts w:ascii="Arial Narrow" w:hAnsi="Arial Narrow"/>
          <w:sz w:val="24"/>
          <w:szCs w:val="24"/>
        </w:rPr>
        <w:t xml:space="preserve">domácností </w:t>
      </w:r>
      <w:r w:rsidRPr="00BC18D3">
        <w:rPr>
          <w:rFonts w:ascii="Arial Narrow" w:hAnsi="Arial Narrow"/>
          <w:sz w:val="24"/>
          <w:szCs w:val="24"/>
        </w:rPr>
        <w:t>během těchto dvou let reálně poklesly o 10 %</w:t>
      </w:r>
      <w:r w:rsidR="00C7352F" w:rsidRPr="00BC18D3">
        <w:rPr>
          <w:rFonts w:ascii="Arial Narrow" w:hAnsi="Arial Narrow"/>
          <w:sz w:val="24"/>
          <w:szCs w:val="24"/>
        </w:rPr>
        <w:t>.</w:t>
      </w:r>
    </w:p>
    <w:p w14:paraId="7210855C" w14:textId="096C7B04" w:rsidR="00C7352F" w:rsidRDefault="00C7352F" w:rsidP="00C7352F">
      <w:pPr>
        <w:pStyle w:val="Titulek"/>
        <w:keepNext/>
        <w:jc w:val="both"/>
      </w:pPr>
      <w:r>
        <w:t xml:space="preserve">Graf </w:t>
      </w:r>
      <w:r w:rsidR="0019709C">
        <w:fldChar w:fldCharType="begin"/>
      </w:r>
      <w:r w:rsidR="0019709C">
        <w:instrText xml:space="preserve"> SEQ Graf \* ARABIC </w:instrText>
      </w:r>
      <w:r w:rsidR="0019709C">
        <w:fldChar w:fldCharType="separate"/>
      </w:r>
      <w:r w:rsidR="00AF6CC5">
        <w:rPr>
          <w:noProof/>
        </w:rPr>
        <w:t>5</w:t>
      </w:r>
      <w:r w:rsidR="0019709C">
        <w:rPr>
          <w:noProof/>
        </w:rPr>
        <w:fldChar w:fldCharType="end"/>
      </w:r>
      <w:r>
        <w:rPr>
          <w:lang w:val="cs-CZ"/>
        </w:rPr>
        <w:t xml:space="preserve"> Meziroční růst peněžních příjmů domácností </w:t>
      </w:r>
      <w:r w:rsidR="00065BBF">
        <w:rPr>
          <w:lang w:val="cs-CZ"/>
        </w:rPr>
        <w:t>(</w:t>
      </w:r>
      <w:r>
        <w:rPr>
          <w:lang w:val="cs-CZ"/>
        </w:rPr>
        <w:t>2013–2023</w:t>
      </w:r>
      <w:r w:rsidR="00065BBF">
        <w:rPr>
          <w:lang w:val="cs-CZ"/>
        </w:rPr>
        <w:t>,</w:t>
      </w:r>
      <w:r>
        <w:rPr>
          <w:lang w:val="cs-CZ"/>
        </w:rPr>
        <w:t xml:space="preserve"> %)</w:t>
      </w:r>
    </w:p>
    <w:p w14:paraId="3B78DD1B" w14:textId="0017E426" w:rsidR="00BE6109" w:rsidRDefault="001A6379" w:rsidP="00BC6FA8">
      <w:pPr>
        <w:spacing w:after="240"/>
        <w:jc w:val="both"/>
        <w:rPr>
          <w:rFonts w:ascii="Arial Narrow" w:hAnsi="Arial Narrow"/>
          <w:sz w:val="24"/>
          <w:szCs w:val="24"/>
          <w:highlight w:val="red"/>
        </w:rPr>
      </w:pPr>
      <w:r w:rsidRPr="00BD210D">
        <w:rPr>
          <w:rFonts w:ascii="Arial" w:hAnsi="Arial" w:cs="Arial"/>
          <w:noProof/>
          <w:sz w:val="18"/>
          <w:szCs w:val="18"/>
          <w:highlight w:val="red"/>
          <w:lang w:eastAsia="cs-CZ"/>
        </w:rPr>
        <w:drawing>
          <wp:inline distT="0" distB="0" distL="0" distR="0" wp14:anchorId="2F982533" wp14:editId="39CB6CDA">
            <wp:extent cx="5759450" cy="3076575"/>
            <wp:effectExtent l="0" t="0" r="0" b="0"/>
            <wp:docPr id="4" name="Graf 4">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748C7B" w14:textId="77777777" w:rsidR="00425559" w:rsidRDefault="00425559" w:rsidP="00425559">
      <w:pPr>
        <w:spacing w:after="0" w:line="288" w:lineRule="auto"/>
        <w:jc w:val="both"/>
        <w:rPr>
          <w:rFonts w:ascii="Arial Narrow" w:hAnsi="Arial Narrow"/>
          <w:sz w:val="24"/>
          <w:szCs w:val="24"/>
        </w:rPr>
      </w:pPr>
    </w:p>
    <w:p w14:paraId="61D21A46" w14:textId="3ECBAB89" w:rsidR="00065BBF" w:rsidRPr="00065BBF" w:rsidRDefault="00065BBF" w:rsidP="003C10BC">
      <w:pPr>
        <w:spacing w:after="240" w:line="288" w:lineRule="auto"/>
        <w:jc w:val="both"/>
        <w:rPr>
          <w:rFonts w:ascii="Arial Narrow" w:hAnsi="Arial Narrow"/>
          <w:sz w:val="24"/>
          <w:szCs w:val="24"/>
        </w:rPr>
      </w:pPr>
      <w:r>
        <w:rPr>
          <w:rFonts w:ascii="Arial Narrow" w:hAnsi="Arial Narrow"/>
          <w:sz w:val="24"/>
          <w:szCs w:val="24"/>
        </w:rPr>
        <w:t>Při porovnání vybraných typů domácností</w:t>
      </w:r>
      <w:r w:rsidRPr="00065BBF">
        <w:rPr>
          <w:rFonts w:ascii="Arial Narrow" w:hAnsi="Arial Narrow"/>
          <w:sz w:val="24"/>
          <w:szCs w:val="24"/>
        </w:rPr>
        <w:t xml:space="preserve"> je </w:t>
      </w:r>
      <w:r w:rsidR="00425559">
        <w:rPr>
          <w:rFonts w:ascii="Arial Narrow" w:hAnsi="Arial Narrow"/>
          <w:sz w:val="24"/>
          <w:szCs w:val="24"/>
        </w:rPr>
        <w:t xml:space="preserve">dále </w:t>
      </w:r>
      <w:r w:rsidRPr="00065BBF">
        <w:rPr>
          <w:rFonts w:ascii="Arial Narrow" w:hAnsi="Arial Narrow"/>
          <w:sz w:val="24"/>
          <w:szCs w:val="24"/>
        </w:rPr>
        <w:t xml:space="preserve">zřejmé, že pouze domácnosti důchodců meziročně dosáhly reálného růstu svých příjmů o 3,9 %. U </w:t>
      </w:r>
      <w:r>
        <w:rPr>
          <w:rFonts w:ascii="Arial Narrow" w:hAnsi="Arial Narrow"/>
          <w:sz w:val="24"/>
          <w:szCs w:val="24"/>
        </w:rPr>
        <w:t xml:space="preserve">všech </w:t>
      </w:r>
      <w:r w:rsidRPr="00065BBF">
        <w:rPr>
          <w:rFonts w:ascii="Arial Narrow" w:hAnsi="Arial Narrow"/>
          <w:sz w:val="24"/>
          <w:szCs w:val="24"/>
        </w:rPr>
        <w:t xml:space="preserve">ostatních sledovaných </w:t>
      </w:r>
      <w:r>
        <w:rPr>
          <w:rFonts w:ascii="Arial Narrow" w:hAnsi="Arial Narrow"/>
          <w:sz w:val="24"/>
          <w:szCs w:val="24"/>
        </w:rPr>
        <w:t>typů domácností</w:t>
      </w:r>
      <w:r w:rsidRPr="00065BBF">
        <w:rPr>
          <w:rFonts w:ascii="Arial Narrow" w:hAnsi="Arial Narrow"/>
          <w:sz w:val="24"/>
          <w:szCs w:val="24"/>
        </w:rPr>
        <w:t xml:space="preserve"> příjmy reálně poklesly. Nejhůře na tom byly úplné rodiny s dětmi, jejich příjmy mezi</w:t>
      </w:r>
      <w:r>
        <w:rPr>
          <w:rFonts w:ascii="Arial Narrow" w:hAnsi="Arial Narrow"/>
          <w:sz w:val="24"/>
          <w:szCs w:val="24"/>
        </w:rPr>
        <w:t>ročně reálně poklesly dokonce o </w:t>
      </w:r>
      <w:r w:rsidRPr="00065BBF">
        <w:rPr>
          <w:rFonts w:ascii="Arial Narrow" w:hAnsi="Arial Narrow"/>
          <w:sz w:val="24"/>
          <w:szCs w:val="24"/>
        </w:rPr>
        <w:t>6,5</w:t>
      </w:r>
      <w:r>
        <w:rPr>
          <w:rFonts w:ascii="Arial Narrow" w:hAnsi="Arial Narrow"/>
          <w:sz w:val="24"/>
          <w:szCs w:val="24"/>
        </w:rPr>
        <w:t> </w:t>
      </w:r>
      <w:r w:rsidRPr="00065BBF">
        <w:rPr>
          <w:rFonts w:ascii="Arial Narrow" w:hAnsi="Arial Narrow"/>
          <w:sz w:val="24"/>
          <w:szCs w:val="24"/>
        </w:rPr>
        <w:t>%.</w:t>
      </w:r>
    </w:p>
    <w:p w14:paraId="02C42EE5" w14:textId="38592291" w:rsidR="003D61B0" w:rsidRDefault="003D61B0" w:rsidP="003D61B0">
      <w:pPr>
        <w:pStyle w:val="Titulek"/>
        <w:keepNext/>
        <w:jc w:val="both"/>
      </w:pPr>
      <w:r>
        <w:t xml:space="preserve">Graf </w:t>
      </w:r>
      <w:r w:rsidR="0019709C">
        <w:fldChar w:fldCharType="begin"/>
      </w:r>
      <w:r w:rsidR="0019709C">
        <w:instrText xml:space="preserve"> SEQ Graf \* ARABIC </w:instrText>
      </w:r>
      <w:r w:rsidR="0019709C">
        <w:fldChar w:fldCharType="separate"/>
      </w:r>
      <w:r w:rsidR="00AF6CC5">
        <w:rPr>
          <w:noProof/>
        </w:rPr>
        <w:t>6</w:t>
      </w:r>
      <w:r w:rsidR="0019709C">
        <w:rPr>
          <w:noProof/>
        </w:rPr>
        <w:fldChar w:fldCharType="end"/>
      </w:r>
      <w:r>
        <w:rPr>
          <w:lang w:val="cs-CZ"/>
        </w:rPr>
        <w:t xml:space="preserve"> Meziroční růst peněžních příjmů </w:t>
      </w:r>
      <w:r w:rsidR="00065BBF">
        <w:rPr>
          <w:lang w:val="cs-CZ"/>
        </w:rPr>
        <w:t xml:space="preserve">u </w:t>
      </w:r>
      <w:r>
        <w:rPr>
          <w:lang w:val="cs-CZ"/>
        </w:rPr>
        <w:t xml:space="preserve">vybraných </w:t>
      </w:r>
      <w:r w:rsidR="00065BBF">
        <w:rPr>
          <w:lang w:val="cs-CZ"/>
        </w:rPr>
        <w:t>typů</w:t>
      </w:r>
      <w:r>
        <w:rPr>
          <w:lang w:val="cs-CZ"/>
        </w:rPr>
        <w:t xml:space="preserve"> domácností (</w:t>
      </w:r>
      <w:r w:rsidR="00065BBF">
        <w:rPr>
          <w:lang w:val="cs-CZ"/>
        </w:rPr>
        <w:t xml:space="preserve">2018–2023, </w:t>
      </w:r>
      <w:r>
        <w:rPr>
          <w:lang w:val="cs-CZ"/>
        </w:rPr>
        <w:t>%)</w:t>
      </w:r>
    </w:p>
    <w:p w14:paraId="519B2FF3" w14:textId="658DDADF" w:rsidR="00A81AC0" w:rsidRPr="00BC6FA8" w:rsidRDefault="003D61B0" w:rsidP="00BC6FA8">
      <w:pPr>
        <w:spacing w:after="240"/>
        <w:jc w:val="both"/>
        <w:rPr>
          <w:rFonts w:ascii="Arial Narrow" w:hAnsi="Arial Narrow"/>
          <w:sz w:val="24"/>
          <w:szCs w:val="24"/>
          <w:highlight w:val="red"/>
        </w:rPr>
      </w:pPr>
      <w:r w:rsidRPr="003D61B0">
        <w:rPr>
          <w:rFonts w:ascii="Arial Narrow" w:hAnsi="Arial Narrow"/>
          <w:noProof/>
          <w:sz w:val="24"/>
          <w:szCs w:val="24"/>
          <w:lang w:eastAsia="cs-CZ"/>
        </w:rPr>
        <w:drawing>
          <wp:inline distT="0" distB="0" distL="0" distR="0" wp14:anchorId="0E129054" wp14:editId="2BBEDCDD">
            <wp:extent cx="5759450" cy="2981325"/>
            <wp:effectExtent l="0" t="0" r="0" b="952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981325"/>
                    </a:xfrm>
                    <a:prstGeom prst="rect">
                      <a:avLst/>
                    </a:prstGeom>
                  </pic:spPr>
                </pic:pic>
              </a:graphicData>
            </a:graphic>
          </wp:inline>
        </w:drawing>
      </w:r>
    </w:p>
    <w:p w14:paraId="3095CA55" w14:textId="3BA52E62" w:rsidR="00065BBF" w:rsidRDefault="00065BBF">
      <w:pPr>
        <w:spacing w:after="0" w:line="240" w:lineRule="auto"/>
        <w:rPr>
          <w:rFonts w:ascii="Arial Narrow" w:hAnsi="Arial Narrow"/>
          <w:noProof/>
          <w:sz w:val="24"/>
          <w:szCs w:val="24"/>
          <w:highlight w:val="cyan"/>
          <w:lang w:eastAsia="cs-CZ"/>
        </w:rPr>
      </w:pPr>
    </w:p>
    <w:p w14:paraId="45F7034C" w14:textId="7508631B" w:rsidR="001B52F1" w:rsidRPr="003C10BC" w:rsidRDefault="00DF27A3" w:rsidP="003C10BC">
      <w:pPr>
        <w:spacing w:after="240"/>
        <w:jc w:val="both"/>
        <w:rPr>
          <w:rFonts w:ascii="Arial Narrow" w:hAnsi="Arial Narrow"/>
          <w:sz w:val="24"/>
          <w:szCs w:val="24"/>
        </w:rPr>
      </w:pPr>
      <w:r w:rsidRPr="003C10BC">
        <w:rPr>
          <w:rFonts w:ascii="Arial Narrow" w:hAnsi="Arial Narrow"/>
          <w:sz w:val="24"/>
          <w:szCs w:val="24"/>
        </w:rPr>
        <w:t>Příjmovou s</w:t>
      </w:r>
      <w:r w:rsidR="005C6F45" w:rsidRPr="003C10BC">
        <w:rPr>
          <w:rFonts w:ascii="Arial Narrow" w:hAnsi="Arial Narrow"/>
          <w:sz w:val="24"/>
          <w:szCs w:val="24"/>
        </w:rPr>
        <w:t xml:space="preserve">ituaci </w:t>
      </w:r>
      <w:r w:rsidR="00425559">
        <w:rPr>
          <w:rFonts w:ascii="Arial Narrow" w:hAnsi="Arial Narrow"/>
          <w:sz w:val="24"/>
          <w:szCs w:val="24"/>
        </w:rPr>
        <w:t xml:space="preserve">vhodně </w:t>
      </w:r>
      <w:r w:rsidR="005C6F45" w:rsidRPr="003C10BC">
        <w:rPr>
          <w:rFonts w:ascii="Arial Narrow" w:hAnsi="Arial Narrow"/>
          <w:sz w:val="24"/>
          <w:szCs w:val="24"/>
        </w:rPr>
        <w:t>dokresluje i subjektivní vnímání domácností, jak vycházejí se svými příjmy.</w:t>
      </w:r>
      <w:r w:rsidR="002D5931" w:rsidRPr="003C10BC">
        <w:rPr>
          <w:rFonts w:ascii="Arial Narrow" w:hAnsi="Arial Narrow"/>
          <w:sz w:val="24"/>
          <w:szCs w:val="24"/>
        </w:rPr>
        <w:t xml:space="preserve"> </w:t>
      </w:r>
      <w:r w:rsidR="00CE33B9" w:rsidRPr="003C10BC">
        <w:rPr>
          <w:rFonts w:ascii="Arial Narrow" w:hAnsi="Arial Narrow"/>
          <w:sz w:val="24"/>
          <w:szCs w:val="24"/>
        </w:rPr>
        <w:t xml:space="preserve">V roce 2024 </w:t>
      </w:r>
      <w:r w:rsidR="00065BBF" w:rsidRPr="003C10BC">
        <w:rPr>
          <w:rFonts w:ascii="Arial Narrow" w:hAnsi="Arial Narrow"/>
          <w:sz w:val="24"/>
          <w:szCs w:val="24"/>
        </w:rPr>
        <w:t xml:space="preserve">přiznalo </w:t>
      </w:r>
      <w:r w:rsidR="00425559">
        <w:rPr>
          <w:rFonts w:ascii="Arial Narrow" w:hAnsi="Arial Narrow"/>
          <w:sz w:val="24"/>
          <w:szCs w:val="24"/>
        </w:rPr>
        <w:t xml:space="preserve">obtíže </w:t>
      </w:r>
      <w:r w:rsidR="00065BBF" w:rsidRPr="003C10BC">
        <w:rPr>
          <w:rFonts w:ascii="Arial Narrow" w:hAnsi="Arial Narrow"/>
          <w:sz w:val="24"/>
          <w:szCs w:val="24"/>
        </w:rPr>
        <w:t>13,8 % a snadné vycházení uvedlo 18,1 % domácností.</w:t>
      </w:r>
      <w:r w:rsidR="003C10BC" w:rsidRPr="003C10BC">
        <w:rPr>
          <w:rFonts w:ascii="Arial Narrow" w:hAnsi="Arial Narrow"/>
          <w:sz w:val="24"/>
          <w:szCs w:val="24"/>
        </w:rPr>
        <w:t xml:space="preserve"> Obdobně tomu bylo i v předchozích dvou letech. </w:t>
      </w:r>
    </w:p>
    <w:p w14:paraId="1540490C" w14:textId="118763C7" w:rsidR="003D61B0" w:rsidRDefault="003D61B0" w:rsidP="003D61B0">
      <w:pPr>
        <w:pStyle w:val="Titulek"/>
        <w:keepNext/>
        <w:rPr>
          <w:lang w:val="cs-CZ"/>
        </w:rPr>
      </w:pPr>
      <w:r>
        <w:t xml:space="preserve">Graf </w:t>
      </w:r>
      <w:r w:rsidR="0019709C">
        <w:fldChar w:fldCharType="begin"/>
      </w:r>
      <w:r w:rsidR="0019709C">
        <w:instrText xml:space="preserve"> SEQ Graf \* ARABIC </w:instrText>
      </w:r>
      <w:r w:rsidR="0019709C">
        <w:fldChar w:fldCharType="separate"/>
      </w:r>
      <w:r w:rsidR="00AF6CC5">
        <w:rPr>
          <w:noProof/>
        </w:rPr>
        <w:t>7</w:t>
      </w:r>
      <w:r w:rsidR="0019709C">
        <w:rPr>
          <w:noProof/>
        </w:rPr>
        <w:fldChar w:fldCharType="end"/>
      </w:r>
      <w:r>
        <w:rPr>
          <w:lang w:val="cs-CZ"/>
        </w:rPr>
        <w:t xml:space="preserve"> </w:t>
      </w:r>
      <w:r w:rsidRPr="006B284B">
        <w:rPr>
          <w:lang w:val="cs-CZ"/>
        </w:rPr>
        <w:t>Jak domácnosti vycházely se svý</w:t>
      </w:r>
      <w:r>
        <w:rPr>
          <w:lang w:val="cs-CZ"/>
        </w:rPr>
        <w:t>m celkovým příjmem (201</w:t>
      </w:r>
      <w:r w:rsidR="00F56E04">
        <w:rPr>
          <w:lang w:val="cs-CZ"/>
        </w:rPr>
        <w:t>8</w:t>
      </w:r>
      <w:r>
        <w:rPr>
          <w:lang w:val="cs-CZ"/>
        </w:rPr>
        <w:t>–2024,</w:t>
      </w:r>
      <w:r w:rsidRPr="006B284B">
        <w:rPr>
          <w:lang w:val="cs-CZ"/>
        </w:rPr>
        <w:t xml:space="preserve"> %)</w:t>
      </w:r>
    </w:p>
    <w:p w14:paraId="77F262C3" w14:textId="1C4C1FF1" w:rsidR="004F5BA1" w:rsidRPr="004F5BA1" w:rsidRDefault="004F5BA1" w:rsidP="004F5BA1">
      <w:pPr>
        <w:rPr>
          <w:lang w:eastAsia="ar-SA"/>
        </w:rPr>
      </w:pPr>
      <w:r>
        <w:rPr>
          <w:noProof/>
          <w:lang w:eastAsia="cs-CZ"/>
        </w:rPr>
        <w:drawing>
          <wp:inline distT="0" distB="0" distL="0" distR="0" wp14:anchorId="2F72191F" wp14:editId="319EAE81">
            <wp:extent cx="5759450" cy="2221230"/>
            <wp:effectExtent l="0" t="0" r="0" b="762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46C622" w14:textId="77777777" w:rsidR="00EA4FFE" w:rsidRDefault="00EA4FFE" w:rsidP="00EA4FFE">
      <w:pPr>
        <w:spacing w:after="0" w:line="240" w:lineRule="auto"/>
        <w:jc w:val="both"/>
        <w:rPr>
          <w:rFonts w:ascii="Arial Narrow" w:hAnsi="Arial Narrow"/>
          <w:sz w:val="24"/>
          <w:szCs w:val="24"/>
        </w:rPr>
      </w:pPr>
    </w:p>
    <w:p w14:paraId="7DC5A74C" w14:textId="02B594EF" w:rsidR="003C10BC" w:rsidRPr="003C10BC" w:rsidRDefault="003C10BC" w:rsidP="00C82B1D">
      <w:pPr>
        <w:spacing w:after="240" w:line="288" w:lineRule="auto"/>
        <w:jc w:val="both"/>
        <w:rPr>
          <w:rFonts w:ascii="Arial Narrow" w:hAnsi="Arial Narrow"/>
          <w:sz w:val="24"/>
          <w:szCs w:val="24"/>
        </w:rPr>
      </w:pPr>
      <w:r>
        <w:rPr>
          <w:rFonts w:ascii="Arial Narrow" w:hAnsi="Arial Narrow"/>
          <w:sz w:val="24"/>
          <w:szCs w:val="24"/>
        </w:rPr>
        <w:t>Domácnosti důchodců, kterým reálné příjmy objektivně vzrostly, pociťovaly i subjektivně zlepšení v tom, jak se svými příjmy vycházejí. Naopak nejvíce se zhoršuje situace</w:t>
      </w:r>
      <w:r w:rsidRPr="003C10BC">
        <w:rPr>
          <w:rFonts w:ascii="Arial Narrow" w:hAnsi="Arial Narrow"/>
          <w:sz w:val="24"/>
          <w:szCs w:val="24"/>
        </w:rPr>
        <w:t xml:space="preserve"> neúplné rodiny s dětmi, kdy více než 40 % </w:t>
      </w:r>
      <w:r>
        <w:rPr>
          <w:rFonts w:ascii="Arial Narrow" w:hAnsi="Arial Narrow"/>
          <w:sz w:val="24"/>
          <w:szCs w:val="24"/>
        </w:rPr>
        <w:t xml:space="preserve">z nich </w:t>
      </w:r>
      <w:r w:rsidRPr="003C10BC">
        <w:rPr>
          <w:rFonts w:ascii="Arial Narrow" w:hAnsi="Arial Narrow"/>
          <w:sz w:val="24"/>
          <w:szCs w:val="24"/>
        </w:rPr>
        <w:t xml:space="preserve">uvedlo, že vycházely s obtížemi až velkými obtížemi, </w:t>
      </w:r>
      <w:r>
        <w:rPr>
          <w:rFonts w:ascii="Arial Narrow" w:hAnsi="Arial Narrow"/>
          <w:sz w:val="24"/>
          <w:szCs w:val="24"/>
        </w:rPr>
        <w:t>a</w:t>
      </w:r>
      <w:r w:rsidRPr="003C10BC">
        <w:rPr>
          <w:rFonts w:ascii="Arial Narrow" w:hAnsi="Arial Narrow"/>
          <w:sz w:val="24"/>
          <w:szCs w:val="24"/>
        </w:rPr>
        <w:t xml:space="preserve"> pouze 8,6 % uvedlo, že vycházely snadno až velmi snadno.</w:t>
      </w:r>
    </w:p>
    <w:p w14:paraId="581BC2DC" w14:textId="7E0A9ED6" w:rsidR="003D61B0" w:rsidRDefault="003D61B0" w:rsidP="003D61B0">
      <w:pPr>
        <w:pStyle w:val="Titulek"/>
        <w:keepNext/>
      </w:pPr>
      <w:r>
        <w:t xml:space="preserve">Graf </w:t>
      </w:r>
      <w:r w:rsidR="0019709C">
        <w:fldChar w:fldCharType="begin"/>
      </w:r>
      <w:r w:rsidR="0019709C">
        <w:instrText xml:space="preserve"> SEQ Graf \* ARABIC </w:instrText>
      </w:r>
      <w:r w:rsidR="0019709C">
        <w:fldChar w:fldCharType="separate"/>
      </w:r>
      <w:r w:rsidR="00AF6CC5">
        <w:rPr>
          <w:noProof/>
        </w:rPr>
        <w:t>8</w:t>
      </w:r>
      <w:r w:rsidR="0019709C">
        <w:rPr>
          <w:noProof/>
        </w:rPr>
        <w:fldChar w:fldCharType="end"/>
      </w:r>
      <w:r>
        <w:rPr>
          <w:lang w:val="cs-CZ"/>
        </w:rPr>
        <w:t xml:space="preserve"> Jak vybrané </w:t>
      </w:r>
      <w:r w:rsidR="003C10BC">
        <w:rPr>
          <w:lang w:val="cs-CZ"/>
        </w:rPr>
        <w:t>typy</w:t>
      </w:r>
      <w:r>
        <w:rPr>
          <w:lang w:val="cs-CZ"/>
        </w:rPr>
        <w:t xml:space="preserve"> domácností vycházely </w:t>
      </w:r>
      <w:r w:rsidR="003C10BC" w:rsidRPr="006B284B">
        <w:rPr>
          <w:lang w:val="cs-CZ"/>
        </w:rPr>
        <w:t>se svý</w:t>
      </w:r>
      <w:r w:rsidR="003C10BC">
        <w:rPr>
          <w:lang w:val="cs-CZ"/>
        </w:rPr>
        <w:t xml:space="preserve">m celkovým příjmem </w:t>
      </w:r>
      <w:r>
        <w:rPr>
          <w:lang w:val="cs-CZ"/>
        </w:rPr>
        <w:t>(2022–2024, %)</w:t>
      </w:r>
    </w:p>
    <w:p w14:paraId="001826CB" w14:textId="4DD13855" w:rsidR="003D61B0" w:rsidRDefault="004F5BA1" w:rsidP="006F7023">
      <w:pPr>
        <w:spacing w:after="0" w:line="288" w:lineRule="auto"/>
        <w:jc w:val="center"/>
        <w:rPr>
          <w:rFonts w:ascii="Arial Narrow" w:hAnsi="Arial Narrow"/>
          <w:noProof/>
          <w:sz w:val="24"/>
          <w:szCs w:val="24"/>
          <w:highlight w:val="yellow"/>
          <w:lang w:eastAsia="cs-CZ"/>
        </w:rPr>
      </w:pPr>
      <w:r w:rsidRPr="004F5BA1">
        <w:rPr>
          <w:rFonts w:ascii="Arial Narrow" w:hAnsi="Arial Narrow"/>
          <w:noProof/>
          <w:sz w:val="24"/>
          <w:szCs w:val="24"/>
          <w:lang w:eastAsia="cs-CZ"/>
        </w:rPr>
        <w:drawing>
          <wp:inline distT="0" distB="0" distL="0" distR="0" wp14:anchorId="6E6B063E" wp14:editId="5FF564EE">
            <wp:extent cx="5759450" cy="4473575"/>
            <wp:effectExtent l="0" t="0" r="0" b="317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4473575"/>
                    </a:xfrm>
                    <a:prstGeom prst="rect">
                      <a:avLst/>
                    </a:prstGeom>
                  </pic:spPr>
                </pic:pic>
              </a:graphicData>
            </a:graphic>
          </wp:inline>
        </w:drawing>
      </w:r>
    </w:p>
    <w:p w14:paraId="7A5F46D7" w14:textId="77777777" w:rsidR="005F6ACF" w:rsidRPr="006F7023" w:rsidRDefault="005F6ACF" w:rsidP="006F7023">
      <w:pPr>
        <w:spacing w:after="0" w:line="288" w:lineRule="auto"/>
        <w:jc w:val="center"/>
        <w:rPr>
          <w:rFonts w:ascii="Arial Narrow" w:hAnsi="Arial Narrow"/>
          <w:noProof/>
          <w:sz w:val="24"/>
          <w:szCs w:val="24"/>
          <w:highlight w:val="yellow"/>
          <w:lang w:eastAsia="cs-CZ"/>
        </w:rPr>
      </w:pPr>
    </w:p>
    <w:p w14:paraId="7D6D7FB2" w14:textId="77777777" w:rsidR="00C82B1D" w:rsidRDefault="00C82B1D">
      <w:pPr>
        <w:spacing w:after="0" w:line="240" w:lineRule="auto"/>
        <w:rPr>
          <w:rFonts w:ascii="Arial Narrow" w:hAnsi="Arial Narrow"/>
          <w:b/>
          <w:sz w:val="26"/>
          <w:szCs w:val="26"/>
        </w:rPr>
      </w:pPr>
      <w:r>
        <w:rPr>
          <w:rFonts w:ascii="Arial Narrow" w:hAnsi="Arial Narrow"/>
          <w:b/>
          <w:sz w:val="26"/>
          <w:szCs w:val="26"/>
        </w:rPr>
        <w:br w:type="page"/>
      </w:r>
    </w:p>
    <w:p w14:paraId="68951A0E" w14:textId="7BF83DF3" w:rsidR="003D61B0" w:rsidRDefault="003D61B0" w:rsidP="003D61B0">
      <w:pPr>
        <w:spacing w:before="120" w:after="0" w:line="288" w:lineRule="auto"/>
        <w:jc w:val="both"/>
        <w:rPr>
          <w:rFonts w:ascii="Arial Narrow" w:hAnsi="Arial Narrow"/>
          <w:b/>
          <w:sz w:val="26"/>
          <w:szCs w:val="26"/>
        </w:rPr>
      </w:pPr>
      <w:r w:rsidRPr="00533815">
        <w:rPr>
          <w:rFonts w:ascii="Arial Narrow" w:hAnsi="Arial Narrow"/>
          <w:b/>
          <w:sz w:val="26"/>
          <w:szCs w:val="26"/>
        </w:rPr>
        <w:t>Výdaje za bydlení</w:t>
      </w:r>
      <w:r>
        <w:rPr>
          <w:rFonts w:ascii="Arial Narrow" w:hAnsi="Arial Narrow"/>
          <w:b/>
          <w:sz w:val="26"/>
          <w:szCs w:val="26"/>
        </w:rPr>
        <w:t xml:space="preserve"> </w:t>
      </w:r>
    </w:p>
    <w:p w14:paraId="43740F58" w14:textId="09620FEA" w:rsidR="003D61B0" w:rsidRPr="00C82B1D" w:rsidRDefault="003D61B0" w:rsidP="00F56E04">
      <w:pPr>
        <w:spacing w:before="120" w:after="0" w:line="288" w:lineRule="auto"/>
        <w:jc w:val="both"/>
        <w:rPr>
          <w:rFonts w:ascii="Arial Narrow" w:hAnsi="Arial Narrow"/>
          <w:sz w:val="24"/>
          <w:szCs w:val="24"/>
        </w:rPr>
      </w:pPr>
      <w:r w:rsidRPr="00C82B1D">
        <w:rPr>
          <w:rFonts w:ascii="Arial Narrow" w:hAnsi="Arial Narrow"/>
          <w:sz w:val="24"/>
          <w:szCs w:val="24"/>
        </w:rPr>
        <w:t xml:space="preserve">Smyslem šetření Životní podmínky je také získávat údaje o způsobu, kvalitě a finanční náročnosti bydlení. </w:t>
      </w:r>
    </w:p>
    <w:p w14:paraId="567D8653" w14:textId="4EE7A8AA" w:rsidR="003D61B0" w:rsidRPr="00C82B1D" w:rsidRDefault="003D61B0" w:rsidP="00204B81">
      <w:pPr>
        <w:spacing w:after="240" w:line="288" w:lineRule="auto"/>
        <w:jc w:val="both"/>
        <w:rPr>
          <w:rFonts w:ascii="Arial Narrow" w:hAnsi="Arial Narrow"/>
          <w:sz w:val="24"/>
          <w:szCs w:val="24"/>
        </w:rPr>
      </w:pPr>
      <w:r w:rsidRPr="00C82B1D">
        <w:rPr>
          <w:rFonts w:ascii="Arial Narrow" w:hAnsi="Arial Narrow"/>
          <w:sz w:val="24"/>
          <w:szCs w:val="24"/>
        </w:rPr>
        <w:t xml:space="preserve">Celkové výdaje za bydlení zjištěné </w:t>
      </w:r>
      <w:r w:rsidRPr="00C82B1D">
        <w:rPr>
          <w:rFonts w:ascii="Arial Narrow" w:hAnsi="Arial Narrow"/>
          <w:sz w:val="24"/>
          <w:szCs w:val="24"/>
          <w:u w:val="single"/>
        </w:rPr>
        <w:t>na jaře roku 2024</w:t>
      </w:r>
      <w:r w:rsidRPr="00C82B1D">
        <w:rPr>
          <w:rFonts w:ascii="Arial Narrow" w:hAnsi="Arial Narrow"/>
          <w:sz w:val="24"/>
          <w:szCs w:val="24"/>
        </w:rPr>
        <w:t xml:space="preserve"> činily v průměru 8 869 Kč měsíčně na domácnost, což bylo oproti předchozímu roku o 570 Kč více. Meziroční nárůst výdajů za bydlení byl v roce 2024 téměř 7 %, což je ale výrazné zpomalení oproti předchozímu roku, kdy byl nárůst více než trojnásobný (21,7 %). V těchto pravidelných výdajích je zahrnuto nájemné, resp. úhrada za užívání bytu, platby za dodávky energií (elektřina, plyn, teplo a teplá voda), </w:t>
      </w:r>
      <w:r w:rsidR="00E22A46">
        <w:rPr>
          <w:rFonts w:ascii="Arial Narrow" w:hAnsi="Arial Narrow"/>
          <w:sz w:val="24"/>
          <w:szCs w:val="24"/>
        </w:rPr>
        <w:t xml:space="preserve">dále </w:t>
      </w:r>
      <w:r w:rsidRPr="00C82B1D">
        <w:rPr>
          <w:rFonts w:ascii="Arial Narrow" w:hAnsi="Arial Narrow"/>
          <w:sz w:val="24"/>
          <w:szCs w:val="24"/>
        </w:rPr>
        <w:t xml:space="preserve">vodné a stočné, odvoz odpadků, paliva a ostatní služby spojené s bydlením. Naopak zde nejsou zahrnuty náklady na pořízení samotného bydlení, příp. splátky hypotéky či úvěru ani náklady na údržbu či rekonstrukci. </w:t>
      </w:r>
    </w:p>
    <w:p w14:paraId="6E7BB20A" w14:textId="5DF2F346" w:rsidR="00DA3DF4" w:rsidRDefault="00204B81" w:rsidP="00204B81">
      <w:pPr>
        <w:spacing w:after="240" w:line="288" w:lineRule="auto"/>
        <w:jc w:val="both"/>
        <w:rPr>
          <w:rFonts w:ascii="Arial Narrow" w:hAnsi="Arial Narrow"/>
          <w:sz w:val="24"/>
          <w:szCs w:val="24"/>
        </w:rPr>
      </w:pPr>
      <w:r w:rsidRPr="00204B81">
        <w:rPr>
          <w:rFonts w:ascii="Arial Narrow" w:hAnsi="Arial Narrow"/>
          <w:sz w:val="24"/>
          <w:szCs w:val="24"/>
        </w:rPr>
        <w:t>P</w:t>
      </w:r>
      <w:r w:rsidR="003D61B0" w:rsidRPr="00204B81">
        <w:rPr>
          <w:rFonts w:ascii="Arial Narrow" w:hAnsi="Arial Narrow"/>
          <w:sz w:val="24"/>
          <w:szCs w:val="24"/>
        </w:rPr>
        <w:t xml:space="preserve">odíl výdajů za bydlení na čistém příjmu </w:t>
      </w:r>
      <w:r w:rsidRPr="00204B81">
        <w:rPr>
          <w:rFonts w:ascii="Arial Narrow" w:hAnsi="Arial Narrow"/>
          <w:sz w:val="24"/>
          <w:szCs w:val="24"/>
        </w:rPr>
        <w:t xml:space="preserve">domácnosti byl v roce 2024 </w:t>
      </w:r>
      <w:r w:rsidR="003D61B0" w:rsidRPr="00204B81">
        <w:rPr>
          <w:rFonts w:ascii="Arial Narrow" w:hAnsi="Arial Narrow"/>
          <w:sz w:val="24"/>
          <w:szCs w:val="24"/>
        </w:rPr>
        <w:t>průměrně 16,6 %</w:t>
      </w:r>
      <w:r w:rsidRPr="00204B81">
        <w:rPr>
          <w:rFonts w:ascii="Arial Narrow" w:hAnsi="Arial Narrow"/>
          <w:sz w:val="24"/>
          <w:szCs w:val="24"/>
        </w:rPr>
        <w:t xml:space="preserve"> a zůstal tak </w:t>
      </w:r>
      <w:r w:rsidR="00847307">
        <w:rPr>
          <w:rFonts w:ascii="Arial Narrow" w:hAnsi="Arial Narrow"/>
          <w:sz w:val="24"/>
          <w:szCs w:val="24"/>
        </w:rPr>
        <w:t>ve srovnání s předchozím rokem</w:t>
      </w:r>
      <w:r w:rsidRPr="00204B81">
        <w:rPr>
          <w:rFonts w:ascii="Arial Narrow" w:hAnsi="Arial Narrow"/>
          <w:sz w:val="24"/>
          <w:szCs w:val="24"/>
        </w:rPr>
        <w:t xml:space="preserve"> přibližně stejný. To znamená, že příjmy domácností rostly v průměru </w:t>
      </w:r>
      <w:r w:rsidR="00847307">
        <w:rPr>
          <w:rFonts w:ascii="Arial Narrow" w:hAnsi="Arial Narrow"/>
          <w:sz w:val="24"/>
          <w:szCs w:val="24"/>
        </w:rPr>
        <w:t xml:space="preserve">podobným </w:t>
      </w:r>
      <w:r w:rsidR="001A6379">
        <w:rPr>
          <w:rFonts w:ascii="Arial Narrow" w:hAnsi="Arial Narrow"/>
          <w:sz w:val="24"/>
          <w:szCs w:val="24"/>
        </w:rPr>
        <w:t>tempem</w:t>
      </w:r>
      <w:r w:rsidRPr="00204B81">
        <w:rPr>
          <w:rFonts w:ascii="Arial Narrow" w:hAnsi="Arial Narrow"/>
          <w:sz w:val="24"/>
          <w:szCs w:val="24"/>
        </w:rPr>
        <w:t xml:space="preserve"> jako jejich výdaje za bydlení. N</w:t>
      </w:r>
      <w:r w:rsidR="003D61B0" w:rsidRPr="00204B81">
        <w:rPr>
          <w:rFonts w:ascii="Arial Narrow" w:hAnsi="Arial Narrow"/>
          <w:sz w:val="24"/>
          <w:szCs w:val="24"/>
        </w:rPr>
        <w:t xml:space="preserve">icméně nelze pominout významné rozdíly mezi jednotlivými typy domácností. Tyto rozdíly se odvíjejí zejména od toho, zda žijí ve vlastním anebo pronajatém bytě, a pochopitelně také od počtu členů domácnosti.  </w:t>
      </w:r>
      <w:r w:rsidRPr="00204B81">
        <w:rPr>
          <w:rFonts w:ascii="Arial Narrow" w:hAnsi="Arial Narrow"/>
          <w:sz w:val="24"/>
          <w:szCs w:val="24"/>
        </w:rPr>
        <w:t xml:space="preserve">Nejvíce za své bydlení zaplatily neúplné rodiny s dětmi, a to jak v absolutním vyjádření (v průměru 10 910 Kč měsíčně), tak relativně vzhledem k jejich příjmům (28,3 %). Důvodem je, že převážná většina těchto </w:t>
      </w:r>
      <w:r>
        <w:rPr>
          <w:rFonts w:ascii="Arial Narrow" w:hAnsi="Arial Narrow"/>
          <w:sz w:val="24"/>
          <w:szCs w:val="24"/>
        </w:rPr>
        <w:t>neúplných rodin</w:t>
      </w:r>
      <w:r w:rsidR="00847307">
        <w:rPr>
          <w:rFonts w:ascii="Arial Narrow" w:hAnsi="Arial Narrow"/>
          <w:sz w:val="24"/>
          <w:szCs w:val="24"/>
        </w:rPr>
        <w:t xml:space="preserve"> bydlí v </w:t>
      </w:r>
      <w:r w:rsidRPr="00204B81">
        <w:rPr>
          <w:rFonts w:ascii="Arial Narrow" w:hAnsi="Arial Narrow"/>
          <w:sz w:val="24"/>
          <w:szCs w:val="24"/>
        </w:rPr>
        <w:t xml:space="preserve">nájemních bytech. </w:t>
      </w:r>
      <w:r w:rsidR="003D61B0" w:rsidRPr="00204B81">
        <w:rPr>
          <w:rFonts w:ascii="Arial Narrow" w:hAnsi="Arial Narrow"/>
          <w:sz w:val="24"/>
          <w:szCs w:val="24"/>
        </w:rPr>
        <w:t xml:space="preserve">  </w:t>
      </w:r>
    </w:p>
    <w:p w14:paraId="676B9C43" w14:textId="7D460BDE" w:rsidR="00DA3DF4" w:rsidRDefault="00DA3DF4" w:rsidP="00DA3DF4">
      <w:pPr>
        <w:pStyle w:val="Titulek"/>
        <w:keepNext/>
        <w:rPr>
          <w:lang w:val="cs-CZ"/>
        </w:rPr>
      </w:pPr>
      <w:r>
        <w:t xml:space="preserve">Graf </w:t>
      </w:r>
      <w:r w:rsidR="0019709C">
        <w:fldChar w:fldCharType="begin"/>
      </w:r>
      <w:r w:rsidR="0019709C">
        <w:instrText xml:space="preserve"> SEQ Graf \* ARABIC </w:instrText>
      </w:r>
      <w:r w:rsidR="0019709C">
        <w:fldChar w:fldCharType="separate"/>
      </w:r>
      <w:r w:rsidR="00AF6CC5">
        <w:rPr>
          <w:noProof/>
        </w:rPr>
        <w:t>9</w:t>
      </w:r>
      <w:r w:rsidR="0019709C">
        <w:rPr>
          <w:noProof/>
        </w:rPr>
        <w:fldChar w:fldCharType="end"/>
      </w:r>
      <w:r>
        <w:rPr>
          <w:lang w:val="cs-CZ"/>
        </w:rPr>
        <w:t xml:space="preserve"> Podíl výdajů za bydlení na čistém příjmu vybraných </w:t>
      </w:r>
      <w:r w:rsidR="00204B81">
        <w:rPr>
          <w:lang w:val="cs-CZ"/>
        </w:rPr>
        <w:t>typů</w:t>
      </w:r>
      <w:r>
        <w:rPr>
          <w:lang w:val="cs-CZ"/>
        </w:rPr>
        <w:t xml:space="preserve"> domácností (2024, %)</w:t>
      </w:r>
    </w:p>
    <w:p w14:paraId="5BE3CE2C" w14:textId="4454368E" w:rsidR="00DA3DF4" w:rsidRPr="00AF6CC5" w:rsidRDefault="00AF6CC5" w:rsidP="00AF6CC5">
      <w:pPr>
        <w:rPr>
          <w:lang w:eastAsia="ar-SA"/>
        </w:rPr>
      </w:pPr>
      <w:r>
        <w:rPr>
          <w:noProof/>
          <w:lang w:eastAsia="cs-CZ"/>
        </w:rPr>
        <w:drawing>
          <wp:inline distT="0" distB="0" distL="0" distR="0" wp14:anchorId="75014ACD" wp14:editId="42AA8C18">
            <wp:extent cx="5759450" cy="3239770"/>
            <wp:effectExtent l="0" t="0" r="0" b="0"/>
            <wp:docPr id="11" name="Graf 1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25B3F1" w14:textId="77777777" w:rsidR="003D61B0" w:rsidRDefault="003D61B0" w:rsidP="003D61B0">
      <w:pPr>
        <w:spacing w:after="0" w:line="288" w:lineRule="auto"/>
        <w:jc w:val="both"/>
        <w:rPr>
          <w:rFonts w:ascii="Arial Narrow" w:hAnsi="Arial Narrow"/>
          <w:sz w:val="24"/>
          <w:szCs w:val="24"/>
        </w:rPr>
      </w:pPr>
    </w:p>
    <w:p w14:paraId="69A02C38" w14:textId="77777777" w:rsidR="00204B81" w:rsidRDefault="00204B81">
      <w:pPr>
        <w:spacing w:after="0" w:line="240" w:lineRule="auto"/>
        <w:rPr>
          <w:rFonts w:ascii="Arial Narrow" w:hAnsi="Arial Narrow"/>
          <w:b/>
          <w:sz w:val="26"/>
          <w:szCs w:val="26"/>
        </w:rPr>
      </w:pPr>
      <w:r>
        <w:rPr>
          <w:rFonts w:ascii="Arial Narrow" w:hAnsi="Arial Narrow"/>
          <w:b/>
          <w:sz w:val="26"/>
          <w:szCs w:val="26"/>
        </w:rPr>
        <w:br w:type="page"/>
      </w:r>
    </w:p>
    <w:p w14:paraId="68BA050F" w14:textId="398CCCF9" w:rsidR="007638EE" w:rsidRPr="007638EE" w:rsidRDefault="006124DE" w:rsidP="007638EE">
      <w:pPr>
        <w:spacing w:after="120" w:line="288" w:lineRule="auto"/>
        <w:jc w:val="both"/>
        <w:rPr>
          <w:rFonts w:ascii="Arial Narrow" w:hAnsi="Arial Narrow"/>
          <w:b/>
          <w:sz w:val="26"/>
          <w:szCs w:val="26"/>
        </w:rPr>
      </w:pPr>
      <w:r w:rsidRPr="00AE1FAB">
        <w:rPr>
          <w:rFonts w:ascii="Arial Narrow" w:hAnsi="Arial Narrow"/>
          <w:b/>
          <w:sz w:val="26"/>
          <w:szCs w:val="26"/>
        </w:rPr>
        <w:t>Míra</w:t>
      </w:r>
      <w:r w:rsidR="00034970" w:rsidRPr="00AE1FAB">
        <w:rPr>
          <w:rFonts w:ascii="Arial Narrow" w:hAnsi="Arial Narrow"/>
          <w:b/>
          <w:sz w:val="26"/>
          <w:szCs w:val="26"/>
        </w:rPr>
        <w:t xml:space="preserve"> ohrože</w:t>
      </w:r>
      <w:r w:rsidR="00B9778E" w:rsidRPr="00AE1FAB">
        <w:rPr>
          <w:rFonts w:ascii="Arial Narrow" w:hAnsi="Arial Narrow"/>
          <w:b/>
          <w:sz w:val="26"/>
          <w:szCs w:val="26"/>
        </w:rPr>
        <w:t>n</w:t>
      </w:r>
      <w:r w:rsidR="00E21FC5" w:rsidRPr="00AE1FAB">
        <w:rPr>
          <w:rFonts w:ascii="Arial Narrow" w:hAnsi="Arial Narrow"/>
          <w:b/>
          <w:sz w:val="26"/>
          <w:szCs w:val="26"/>
        </w:rPr>
        <w:t>í příjmovou chudobou v roce 202</w:t>
      </w:r>
      <w:r w:rsidR="00F26879">
        <w:rPr>
          <w:rFonts w:ascii="Arial Narrow" w:hAnsi="Arial Narrow"/>
          <w:b/>
          <w:sz w:val="26"/>
          <w:szCs w:val="26"/>
        </w:rPr>
        <w:t>4</w:t>
      </w:r>
    </w:p>
    <w:p w14:paraId="45B6C5BC" w14:textId="76BDCDCD" w:rsidR="00014639" w:rsidRPr="007C2171" w:rsidRDefault="00034970" w:rsidP="00787136">
      <w:pPr>
        <w:spacing w:after="240" w:line="288" w:lineRule="auto"/>
        <w:jc w:val="both"/>
        <w:rPr>
          <w:rFonts w:ascii="Arial Narrow" w:hAnsi="Arial Narrow"/>
          <w:sz w:val="24"/>
          <w:szCs w:val="32"/>
        </w:rPr>
      </w:pPr>
      <w:r w:rsidRPr="007C2171">
        <w:rPr>
          <w:rFonts w:ascii="Arial Narrow" w:hAnsi="Arial Narrow"/>
          <w:sz w:val="24"/>
          <w:szCs w:val="32"/>
        </w:rPr>
        <w:t xml:space="preserve">Míra ohrožení příjmovou chudobou </w:t>
      </w:r>
      <w:r w:rsidR="008D6564" w:rsidRPr="007C2171">
        <w:rPr>
          <w:rFonts w:ascii="Arial Narrow" w:hAnsi="Arial Narrow"/>
          <w:sz w:val="24"/>
          <w:szCs w:val="32"/>
        </w:rPr>
        <w:t xml:space="preserve">je indikátor, který </w:t>
      </w:r>
      <w:r w:rsidR="00B46AFB" w:rsidRPr="007C2171">
        <w:rPr>
          <w:rFonts w:ascii="Arial Narrow" w:hAnsi="Arial Narrow"/>
          <w:sz w:val="24"/>
          <w:szCs w:val="32"/>
        </w:rPr>
        <w:t>se</w:t>
      </w:r>
      <w:r w:rsidR="008D6564" w:rsidRPr="007C2171">
        <w:rPr>
          <w:rFonts w:ascii="Arial Narrow" w:hAnsi="Arial Narrow"/>
          <w:sz w:val="24"/>
          <w:szCs w:val="32"/>
        </w:rPr>
        <w:t xml:space="preserve"> počítá podle </w:t>
      </w:r>
      <w:r w:rsidR="00FD3EA7" w:rsidRPr="007C2171">
        <w:rPr>
          <w:rFonts w:ascii="Arial Narrow" w:hAnsi="Arial Narrow"/>
          <w:sz w:val="24"/>
          <w:szCs w:val="32"/>
        </w:rPr>
        <w:t xml:space="preserve">mezinárodně platné </w:t>
      </w:r>
      <w:r w:rsidR="008D6564" w:rsidRPr="007C2171">
        <w:rPr>
          <w:rFonts w:ascii="Arial Narrow" w:hAnsi="Arial Narrow"/>
          <w:sz w:val="24"/>
          <w:szCs w:val="32"/>
        </w:rPr>
        <w:t xml:space="preserve">metodiky </w:t>
      </w:r>
      <w:r w:rsidR="00E25D4D" w:rsidRPr="007C2171">
        <w:rPr>
          <w:rFonts w:ascii="Arial Narrow" w:hAnsi="Arial Narrow"/>
          <w:sz w:val="24"/>
          <w:szCs w:val="32"/>
        </w:rPr>
        <w:t xml:space="preserve">dané </w:t>
      </w:r>
      <w:r w:rsidR="008D6564" w:rsidRPr="007C2171">
        <w:rPr>
          <w:rFonts w:ascii="Arial Narrow" w:hAnsi="Arial Narrow"/>
          <w:sz w:val="24"/>
          <w:szCs w:val="32"/>
        </w:rPr>
        <w:t>Eurostatem. U</w:t>
      </w:r>
      <w:r w:rsidRPr="007C2171">
        <w:rPr>
          <w:rFonts w:ascii="Arial Narrow" w:hAnsi="Arial Narrow"/>
          <w:sz w:val="24"/>
          <w:szCs w:val="32"/>
        </w:rPr>
        <w:t>dává podíl osob</w:t>
      </w:r>
      <w:r w:rsidR="00AE410E" w:rsidRPr="007C2171">
        <w:rPr>
          <w:rFonts w:ascii="Arial Narrow" w:hAnsi="Arial Narrow"/>
          <w:sz w:val="24"/>
          <w:szCs w:val="32"/>
        </w:rPr>
        <w:t xml:space="preserve"> v domácnostech</w:t>
      </w:r>
      <w:r w:rsidRPr="007C2171">
        <w:rPr>
          <w:rFonts w:ascii="Arial Narrow" w:hAnsi="Arial Narrow"/>
          <w:sz w:val="24"/>
          <w:szCs w:val="32"/>
        </w:rPr>
        <w:t>, které nedosahují svými příjmy na</w:t>
      </w:r>
      <w:r w:rsidR="002F0144" w:rsidRPr="007C2171">
        <w:rPr>
          <w:rFonts w:ascii="Arial Narrow" w:hAnsi="Arial Narrow"/>
          <w:sz w:val="24"/>
          <w:szCs w:val="32"/>
        </w:rPr>
        <w:t> </w:t>
      </w:r>
      <w:r w:rsidRPr="007C2171">
        <w:rPr>
          <w:rFonts w:ascii="Arial Narrow" w:hAnsi="Arial Narrow"/>
          <w:sz w:val="24"/>
          <w:szCs w:val="32"/>
        </w:rPr>
        <w:t xml:space="preserve">stanovenou hranici příjmů. </w:t>
      </w:r>
      <w:r w:rsidR="00BA77A4" w:rsidRPr="007C2171">
        <w:rPr>
          <w:rFonts w:ascii="Arial Narrow" w:hAnsi="Arial Narrow"/>
          <w:sz w:val="24"/>
          <w:szCs w:val="32"/>
        </w:rPr>
        <w:t xml:space="preserve">Nevypovídá </w:t>
      </w:r>
      <w:r w:rsidR="00847307">
        <w:rPr>
          <w:rFonts w:ascii="Arial Narrow" w:hAnsi="Arial Narrow"/>
          <w:sz w:val="24"/>
          <w:szCs w:val="32"/>
        </w:rPr>
        <w:t xml:space="preserve">však </w:t>
      </w:r>
      <w:r w:rsidR="00BA77A4" w:rsidRPr="007C2171">
        <w:rPr>
          <w:rFonts w:ascii="Arial Narrow" w:hAnsi="Arial Narrow"/>
          <w:sz w:val="24"/>
          <w:szCs w:val="32"/>
        </w:rPr>
        <w:t xml:space="preserve">nic o počtu „chudých“ lidí </w:t>
      </w:r>
      <w:r w:rsidR="00E25D4D" w:rsidRPr="007C2171">
        <w:rPr>
          <w:rFonts w:ascii="Arial Narrow" w:hAnsi="Arial Narrow"/>
          <w:sz w:val="24"/>
          <w:szCs w:val="32"/>
        </w:rPr>
        <w:t xml:space="preserve">v zemi </w:t>
      </w:r>
      <w:r w:rsidR="00BA77A4" w:rsidRPr="007C2171">
        <w:rPr>
          <w:rFonts w:ascii="Arial Narrow" w:hAnsi="Arial Narrow"/>
          <w:sz w:val="24"/>
          <w:szCs w:val="32"/>
        </w:rPr>
        <w:t xml:space="preserve">ve smyslu </w:t>
      </w:r>
      <w:r w:rsidR="00444DAF" w:rsidRPr="007C2171">
        <w:rPr>
          <w:rFonts w:ascii="Arial Narrow" w:hAnsi="Arial Narrow"/>
          <w:sz w:val="24"/>
          <w:szCs w:val="32"/>
        </w:rPr>
        <w:t>hmotné nouze</w:t>
      </w:r>
      <w:r w:rsidR="00BA77A4" w:rsidRPr="007C2171">
        <w:rPr>
          <w:rFonts w:ascii="Arial Narrow" w:hAnsi="Arial Narrow"/>
          <w:sz w:val="24"/>
          <w:szCs w:val="32"/>
        </w:rPr>
        <w:t xml:space="preserve">. </w:t>
      </w:r>
      <w:r w:rsidR="00014639" w:rsidRPr="007C2171">
        <w:rPr>
          <w:rFonts w:ascii="Arial Narrow" w:hAnsi="Arial Narrow"/>
          <w:sz w:val="24"/>
          <w:szCs w:val="32"/>
        </w:rPr>
        <w:t xml:space="preserve">Spíše </w:t>
      </w:r>
      <w:r w:rsidR="00E25D4D" w:rsidRPr="007C2171">
        <w:rPr>
          <w:rFonts w:ascii="Arial Narrow" w:hAnsi="Arial Narrow"/>
          <w:sz w:val="24"/>
          <w:szCs w:val="32"/>
        </w:rPr>
        <w:t xml:space="preserve">jde </w:t>
      </w:r>
      <w:r w:rsidR="00014639" w:rsidRPr="007C2171">
        <w:rPr>
          <w:rFonts w:ascii="Arial Narrow" w:hAnsi="Arial Narrow"/>
          <w:sz w:val="24"/>
          <w:szCs w:val="32"/>
        </w:rPr>
        <w:t>o ukazatel</w:t>
      </w:r>
      <w:r w:rsidR="00E25D4D" w:rsidRPr="007C2171">
        <w:rPr>
          <w:rFonts w:ascii="Arial Narrow" w:hAnsi="Arial Narrow"/>
          <w:sz w:val="24"/>
          <w:szCs w:val="32"/>
        </w:rPr>
        <w:t xml:space="preserve"> </w:t>
      </w:r>
      <w:r w:rsidR="00014639" w:rsidRPr="007C2171">
        <w:rPr>
          <w:rFonts w:ascii="Arial Narrow" w:hAnsi="Arial Narrow"/>
          <w:sz w:val="24"/>
          <w:szCs w:val="32"/>
        </w:rPr>
        <w:t xml:space="preserve">příjmové </w:t>
      </w:r>
      <w:r w:rsidR="00E25D4D" w:rsidRPr="007C2171">
        <w:rPr>
          <w:rFonts w:ascii="Arial Narrow" w:hAnsi="Arial Narrow"/>
          <w:sz w:val="24"/>
          <w:szCs w:val="32"/>
        </w:rPr>
        <w:t>(ne)</w:t>
      </w:r>
      <w:r w:rsidR="00014639" w:rsidRPr="007C2171">
        <w:rPr>
          <w:rFonts w:ascii="Arial Narrow" w:hAnsi="Arial Narrow"/>
          <w:sz w:val="24"/>
          <w:szCs w:val="32"/>
        </w:rPr>
        <w:t>rovnosti.</w:t>
      </w:r>
    </w:p>
    <w:p w14:paraId="4F966BC9" w14:textId="0ED18E71" w:rsidR="006E119F" w:rsidRPr="00DA3DF4" w:rsidRDefault="002F0144" w:rsidP="00787136">
      <w:pPr>
        <w:spacing w:after="240" w:line="288" w:lineRule="auto"/>
        <w:jc w:val="both"/>
        <w:rPr>
          <w:rFonts w:ascii="Arial Narrow" w:hAnsi="Arial Narrow"/>
          <w:sz w:val="24"/>
          <w:szCs w:val="32"/>
        </w:rPr>
      </w:pPr>
      <w:r w:rsidRPr="00787136">
        <w:rPr>
          <w:rFonts w:ascii="Arial Narrow" w:hAnsi="Arial Narrow"/>
          <w:sz w:val="24"/>
          <w:szCs w:val="32"/>
        </w:rPr>
        <w:t>H</w:t>
      </w:r>
      <w:r w:rsidR="00034970" w:rsidRPr="00787136">
        <w:rPr>
          <w:rFonts w:ascii="Arial Narrow" w:hAnsi="Arial Narrow"/>
          <w:sz w:val="24"/>
          <w:szCs w:val="32"/>
        </w:rPr>
        <w:t xml:space="preserve">ranice </w:t>
      </w:r>
      <w:r w:rsidR="007D3270" w:rsidRPr="00787136">
        <w:rPr>
          <w:rFonts w:ascii="Arial Narrow" w:hAnsi="Arial Narrow"/>
          <w:sz w:val="24"/>
          <w:szCs w:val="32"/>
        </w:rPr>
        <w:t>ohrožení příjmovou chudobou</w:t>
      </w:r>
      <w:r w:rsidR="008D6564" w:rsidRPr="00787136">
        <w:rPr>
          <w:rFonts w:ascii="Arial Narrow" w:hAnsi="Arial Narrow"/>
          <w:sz w:val="24"/>
          <w:szCs w:val="32"/>
        </w:rPr>
        <w:t xml:space="preserve"> </w:t>
      </w:r>
      <w:r w:rsidR="00034970" w:rsidRPr="00787136">
        <w:rPr>
          <w:rFonts w:ascii="Arial Narrow" w:hAnsi="Arial Narrow"/>
          <w:sz w:val="24"/>
          <w:szCs w:val="32"/>
        </w:rPr>
        <w:t>je odvozena z příjmového rozdělení v dané zemi a je definována jako 60</w:t>
      </w:r>
      <w:r w:rsidR="00033534" w:rsidRPr="00787136">
        <w:rPr>
          <w:rFonts w:ascii="Arial Narrow" w:hAnsi="Arial Narrow"/>
          <w:sz w:val="24"/>
          <w:szCs w:val="32"/>
        </w:rPr>
        <w:t> </w:t>
      </w:r>
      <w:r w:rsidR="00034970" w:rsidRPr="00787136">
        <w:rPr>
          <w:rFonts w:ascii="Arial Narrow" w:hAnsi="Arial Narrow"/>
          <w:sz w:val="24"/>
          <w:szCs w:val="32"/>
        </w:rPr>
        <w:t xml:space="preserve">% mediánu národního </w:t>
      </w:r>
      <w:r w:rsidR="00E70B54" w:rsidRPr="00787136">
        <w:rPr>
          <w:rFonts w:ascii="Arial Narrow" w:hAnsi="Arial Narrow"/>
          <w:sz w:val="24"/>
          <w:szCs w:val="32"/>
        </w:rPr>
        <w:t>ekvivalizovaného</w:t>
      </w:r>
      <w:r w:rsidR="003A5F67" w:rsidRPr="00787136">
        <w:rPr>
          <w:rStyle w:val="Znakapoznpodarou"/>
          <w:rFonts w:ascii="Arial Narrow" w:hAnsi="Arial Narrow"/>
          <w:sz w:val="24"/>
          <w:szCs w:val="32"/>
        </w:rPr>
        <w:footnoteReference w:id="2"/>
      </w:r>
      <w:r w:rsidR="00E70B54" w:rsidRPr="00787136">
        <w:rPr>
          <w:rFonts w:ascii="Arial Narrow" w:hAnsi="Arial Narrow"/>
          <w:sz w:val="24"/>
          <w:szCs w:val="32"/>
        </w:rPr>
        <w:t xml:space="preserve"> </w:t>
      </w:r>
      <w:r w:rsidR="00034970" w:rsidRPr="00787136">
        <w:rPr>
          <w:rFonts w:ascii="Arial Narrow" w:hAnsi="Arial Narrow"/>
          <w:sz w:val="24"/>
          <w:szCs w:val="32"/>
        </w:rPr>
        <w:t>di</w:t>
      </w:r>
      <w:r w:rsidR="00F46EE0" w:rsidRPr="00787136">
        <w:rPr>
          <w:rFonts w:ascii="Arial Narrow" w:hAnsi="Arial Narrow"/>
          <w:sz w:val="24"/>
          <w:szCs w:val="32"/>
        </w:rPr>
        <w:t xml:space="preserve">sponibilního příjmu. </w:t>
      </w:r>
      <w:r w:rsidR="003751CC" w:rsidRPr="00787136">
        <w:rPr>
          <w:rFonts w:ascii="Arial Narrow" w:hAnsi="Arial Narrow"/>
          <w:sz w:val="24"/>
          <w:szCs w:val="32"/>
        </w:rPr>
        <w:t xml:space="preserve">Při hodnocení rizika příjmové chudoby je </w:t>
      </w:r>
      <w:r w:rsidR="00847307">
        <w:rPr>
          <w:rFonts w:ascii="Arial Narrow" w:hAnsi="Arial Narrow"/>
          <w:sz w:val="24"/>
          <w:szCs w:val="32"/>
        </w:rPr>
        <w:t>zohledněna</w:t>
      </w:r>
      <w:r w:rsidR="003751CC" w:rsidRPr="00787136">
        <w:rPr>
          <w:rFonts w:ascii="Arial Narrow" w:hAnsi="Arial Narrow"/>
          <w:sz w:val="24"/>
          <w:szCs w:val="32"/>
        </w:rPr>
        <w:t xml:space="preserve"> </w:t>
      </w:r>
      <w:r w:rsidR="002D5931" w:rsidRPr="00787136">
        <w:rPr>
          <w:rFonts w:ascii="Arial Narrow" w:hAnsi="Arial Narrow"/>
          <w:sz w:val="24"/>
          <w:szCs w:val="32"/>
        </w:rPr>
        <w:t xml:space="preserve">také </w:t>
      </w:r>
      <w:r w:rsidR="003751CC" w:rsidRPr="00787136">
        <w:rPr>
          <w:rFonts w:ascii="Arial Narrow" w:hAnsi="Arial Narrow"/>
          <w:sz w:val="24"/>
          <w:szCs w:val="32"/>
        </w:rPr>
        <w:t xml:space="preserve">velikost a </w:t>
      </w:r>
      <w:r w:rsidR="00847307">
        <w:rPr>
          <w:rFonts w:ascii="Arial Narrow" w:hAnsi="Arial Narrow"/>
          <w:sz w:val="24"/>
          <w:szCs w:val="24"/>
        </w:rPr>
        <w:t>struktura každé</w:t>
      </w:r>
      <w:r w:rsidR="003751CC" w:rsidRPr="00787136">
        <w:rPr>
          <w:rFonts w:ascii="Arial Narrow" w:hAnsi="Arial Narrow"/>
          <w:sz w:val="24"/>
          <w:szCs w:val="24"/>
        </w:rPr>
        <w:t xml:space="preserve"> domácnosti. </w:t>
      </w:r>
      <w:r w:rsidR="00F46EE0" w:rsidRPr="00787136">
        <w:rPr>
          <w:rFonts w:ascii="Arial Narrow" w:hAnsi="Arial Narrow"/>
          <w:sz w:val="24"/>
          <w:szCs w:val="32"/>
        </w:rPr>
        <w:t>V roce 20</w:t>
      </w:r>
      <w:r w:rsidR="00E21FC5" w:rsidRPr="00787136">
        <w:rPr>
          <w:rFonts w:ascii="Arial Narrow" w:hAnsi="Arial Narrow"/>
          <w:sz w:val="24"/>
          <w:szCs w:val="32"/>
        </w:rPr>
        <w:t>2</w:t>
      </w:r>
      <w:r w:rsidR="002B7D32" w:rsidRPr="00787136">
        <w:rPr>
          <w:rFonts w:ascii="Arial Narrow" w:hAnsi="Arial Narrow"/>
          <w:sz w:val="24"/>
          <w:szCs w:val="32"/>
        </w:rPr>
        <w:t>4</w:t>
      </w:r>
      <w:r w:rsidR="00E21FC5" w:rsidRPr="00787136">
        <w:rPr>
          <w:rFonts w:ascii="Arial Narrow" w:hAnsi="Arial Narrow"/>
          <w:sz w:val="24"/>
          <w:szCs w:val="32"/>
        </w:rPr>
        <w:t xml:space="preserve"> (</w:t>
      </w:r>
      <w:r w:rsidR="00D404C5" w:rsidRPr="00787136">
        <w:rPr>
          <w:rFonts w:ascii="Arial Narrow" w:hAnsi="Arial Narrow"/>
          <w:sz w:val="24"/>
          <w:szCs w:val="32"/>
        </w:rPr>
        <w:t>na základě příjmů za</w:t>
      </w:r>
      <w:r w:rsidR="00721D2E" w:rsidRPr="00787136">
        <w:rPr>
          <w:rFonts w:ascii="Arial Narrow" w:hAnsi="Arial Narrow"/>
          <w:sz w:val="24"/>
          <w:szCs w:val="32"/>
        </w:rPr>
        <w:t> </w:t>
      </w:r>
      <w:r w:rsidR="00D404C5" w:rsidRPr="00787136">
        <w:rPr>
          <w:rFonts w:ascii="Arial Narrow" w:hAnsi="Arial Narrow"/>
          <w:sz w:val="24"/>
          <w:szCs w:val="32"/>
        </w:rPr>
        <w:t>rok 20</w:t>
      </w:r>
      <w:r w:rsidR="00E21FC5" w:rsidRPr="00787136">
        <w:rPr>
          <w:rFonts w:ascii="Arial Narrow" w:hAnsi="Arial Narrow"/>
          <w:sz w:val="24"/>
          <w:szCs w:val="32"/>
        </w:rPr>
        <w:t>2</w:t>
      </w:r>
      <w:r w:rsidR="002B7D32" w:rsidRPr="00787136">
        <w:rPr>
          <w:rFonts w:ascii="Arial Narrow" w:hAnsi="Arial Narrow"/>
          <w:sz w:val="24"/>
          <w:szCs w:val="32"/>
        </w:rPr>
        <w:t>3</w:t>
      </w:r>
      <w:r w:rsidR="00D404C5" w:rsidRPr="00787136">
        <w:rPr>
          <w:rFonts w:ascii="Arial Narrow" w:hAnsi="Arial Narrow"/>
          <w:sz w:val="24"/>
          <w:szCs w:val="32"/>
        </w:rPr>
        <w:t>)</w:t>
      </w:r>
      <w:r w:rsidRPr="00787136">
        <w:rPr>
          <w:rFonts w:ascii="Arial Narrow" w:hAnsi="Arial Narrow"/>
          <w:sz w:val="24"/>
          <w:szCs w:val="32"/>
        </w:rPr>
        <w:t xml:space="preserve"> </w:t>
      </w:r>
      <w:r w:rsidR="003751CC" w:rsidRPr="00787136">
        <w:rPr>
          <w:rFonts w:ascii="Arial Narrow" w:hAnsi="Arial Narrow"/>
          <w:sz w:val="24"/>
          <w:szCs w:val="32"/>
        </w:rPr>
        <w:t xml:space="preserve">činila </w:t>
      </w:r>
      <w:r w:rsidR="00FE4435" w:rsidRPr="00787136">
        <w:rPr>
          <w:rFonts w:ascii="Arial Narrow" w:hAnsi="Arial Narrow"/>
          <w:sz w:val="24"/>
          <w:szCs w:val="32"/>
        </w:rPr>
        <w:t xml:space="preserve">hranice </w:t>
      </w:r>
      <w:r w:rsidR="004242D2" w:rsidRPr="00787136">
        <w:rPr>
          <w:rFonts w:ascii="Arial Narrow" w:hAnsi="Arial Narrow"/>
          <w:sz w:val="24"/>
          <w:szCs w:val="32"/>
        </w:rPr>
        <w:t>18 163</w:t>
      </w:r>
      <w:r w:rsidR="00033534" w:rsidRPr="00787136">
        <w:rPr>
          <w:rFonts w:ascii="Arial Narrow" w:hAnsi="Arial Narrow"/>
          <w:sz w:val="24"/>
          <w:szCs w:val="32"/>
        </w:rPr>
        <w:t> </w:t>
      </w:r>
      <w:r w:rsidR="00034970" w:rsidRPr="00787136">
        <w:rPr>
          <w:rFonts w:ascii="Arial Narrow" w:hAnsi="Arial Narrow"/>
          <w:sz w:val="24"/>
          <w:szCs w:val="32"/>
        </w:rPr>
        <w:t>Kč</w:t>
      </w:r>
      <w:r w:rsidR="00721D2E" w:rsidRPr="00787136">
        <w:rPr>
          <w:rFonts w:ascii="Arial Narrow" w:hAnsi="Arial Narrow"/>
          <w:sz w:val="24"/>
          <w:szCs w:val="32"/>
        </w:rPr>
        <w:t xml:space="preserve"> za </w:t>
      </w:r>
      <w:r w:rsidR="00034970" w:rsidRPr="00787136">
        <w:rPr>
          <w:rFonts w:ascii="Arial Narrow" w:hAnsi="Arial Narrow"/>
          <w:sz w:val="24"/>
          <w:szCs w:val="32"/>
        </w:rPr>
        <w:t>měsíc</w:t>
      </w:r>
      <w:r w:rsidR="00346FF8" w:rsidRPr="00787136">
        <w:rPr>
          <w:rFonts w:ascii="Arial Narrow" w:hAnsi="Arial Narrow"/>
          <w:sz w:val="24"/>
          <w:szCs w:val="32"/>
        </w:rPr>
        <w:t xml:space="preserve"> (</w:t>
      </w:r>
      <w:r w:rsidR="00721D2E" w:rsidRPr="00787136">
        <w:rPr>
          <w:rFonts w:ascii="Arial Narrow" w:hAnsi="Arial Narrow"/>
          <w:sz w:val="24"/>
          <w:szCs w:val="32"/>
        </w:rPr>
        <w:t xml:space="preserve">tzn. </w:t>
      </w:r>
      <w:r w:rsidR="004242D2" w:rsidRPr="00787136">
        <w:rPr>
          <w:rFonts w:ascii="Arial Narrow" w:hAnsi="Arial Narrow"/>
          <w:sz w:val="24"/>
          <w:szCs w:val="32"/>
        </w:rPr>
        <w:t>217 952</w:t>
      </w:r>
      <w:r w:rsidR="000D4ABE" w:rsidRPr="00787136">
        <w:rPr>
          <w:rFonts w:ascii="Arial Narrow" w:hAnsi="Arial Narrow"/>
          <w:sz w:val="24"/>
          <w:szCs w:val="32"/>
        </w:rPr>
        <w:t xml:space="preserve"> </w:t>
      </w:r>
      <w:r w:rsidR="00B04D54" w:rsidRPr="00787136">
        <w:rPr>
          <w:rFonts w:ascii="Arial Narrow" w:hAnsi="Arial Narrow"/>
          <w:sz w:val="24"/>
          <w:szCs w:val="32"/>
        </w:rPr>
        <w:t>Kč</w:t>
      </w:r>
      <w:r w:rsidR="00721D2E" w:rsidRPr="00787136">
        <w:rPr>
          <w:rFonts w:ascii="Arial Narrow" w:hAnsi="Arial Narrow"/>
          <w:sz w:val="24"/>
          <w:szCs w:val="32"/>
        </w:rPr>
        <w:t xml:space="preserve"> za </w:t>
      </w:r>
      <w:r w:rsidR="00B04D54" w:rsidRPr="00787136">
        <w:rPr>
          <w:rFonts w:ascii="Arial Narrow" w:hAnsi="Arial Narrow"/>
          <w:sz w:val="24"/>
          <w:szCs w:val="32"/>
        </w:rPr>
        <w:t>rok)</w:t>
      </w:r>
      <w:r w:rsidR="003751CC" w:rsidRPr="00787136">
        <w:rPr>
          <w:rFonts w:ascii="Arial Narrow" w:hAnsi="Arial Narrow"/>
          <w:sz w:val="24"/>
          <w:szCs w:val="32"/>
        </w:rPr>
        <w:t xml:space="preserve">. </w:t>
      </w:r>
      <w:r w:rsidR="00034970" w:rsidRPr="00787136">
        <w:rPr>
          <w:rFonts w:ascii="Arial Narrow" w:hAnsi="Arial Narrow"/>
          <w:sz w:val="24"/>
          <w:szCs w:val="32"/>
        </w:rPr>
        <w:t xml:space="preserve">Tato částka představuje hranici </w:t>
      </w:r>
      <w:r w:rsidR="00880A08" w:rsidRPr="00787136">
        <w:rPr>
          <w:rFonts w:ascii="Arial Narrow" w:hAnsi="Arial Narrow"/>
          <w:sz w:val="24"/>
          <w:szCs w:val="32"/>
        </w:rPr>
        <w:t>pr</w:t>
      </w:r>
      <w:r w:rsidR="00034970" w:rsidRPr="00787136">
        <w:rPr>
          <w:rFonts w:ascii="Arial Narrow" w:hAnsi="Arial Narrow"/>
          <w:sz w:val="24"/>
          <w:szCs w:val="32"/>
        </w:rPr>
        <w:t>o</w:t>
      </w:r>
      <w:r w:rsidR="00352E2D" w:rsidRPr="00787136">
        <w:rPr>
          <w:rFonts w:ascii="Arial Narrow" w:hAnsi="Arial Narrow"/>
          <w:sz w:val="24"/>
          <w:szCs w:val="32"/>
        </w:rPr>
        <w:t> </w:t>
      </w:r>
      <w:r w:rsidR="00247399" w:rsidRPr="00787136">
        <w:rPr>
          <w:rFonts w:ascii="Arial Narrow" w:hAnsi="Arial Narrow"/>
          <w:sz w:val="24"/>
          <w:szCs w:val="32"/>
        </w:rPr>
        <w:t>domácnost jednotlivce. Například p</w:t>
      </w:r>
      <w:r w:rsidR="00EA6C9E" w:rsidRPr="00787136">
        <w:rPr>
          <w:rFonts w:ascii="Arial Narrow" w:hAnsi="Arial Narrow"/>
          <w:sz w:val="24"/>
          <w:szCs w:val="32"/>
        </w:rPr>
        <w:t>ro domácnost</w:t>
      </w:r>
      <w:r w:rsidR="00F6087E" w:rsidRPr="00787136">
        <w:rPr>
          <w:rFonts w:ascii="Arial Narrow" w:hAnsi="Arial Narrow"/>
          <w:sz w:val="24"/>
          <w:szCs w:val="32"/>
        </w:rPr>
        <w:t xml:space="preserve"> rodičů se dvěma dětmi </w:t>
      </w:r>
      <w:r w:rsidR="00EA6C9E" w:rsidRPr="00787136">
        <w:rPr>
          <w:rFonts w:ascii="Arial Narrow" w:hAnsi="Arial Narrow"/>
          <w:sz w:val="24"/>
          <w:szCs w:val="32"/>
        </w:rPr>
        <w:t>mladšími</w:t>
      </w:r>
      <w:r w:rsidR="00F6087E" w:rsidRPr="00787136">
        <w:rPr>
          <w:rFonts w:ascii="Arial Narrow" w:hAnsi="Arial Narrow"/>
          <w:sz w:val="24"/>
          <w:szCs w:val="32"/>
        </w:rPr>
        <w:t xml:space="preserve"> 13 let </w:t>
      </w:r>
      <w:r w:rsidR="002D5931" w:rsidRPr="00787136">
        <w:rPr>
          <w:rFonts w:ascii="Arial Narrow" w:hAnsi="Arial Narrow"/>
          <w:sz w:val="24"/>
          <w:szCs w:val="32"/>
        </w:rPr>
        <w:t xml:space="preserve">činila </w:t>
      </w:r>
      <w:r w:rsidR="00F6087E" w:rsidRPr="00787136">
        <w:rPr>
          <w:rFonts w:ascii="Arial Narrow" w:hAnsi="Arial Narrow"/>
          <w:sz w:val="24"/>
          <w:szCs w:val="32"/>
        </w:rPr>
        <w:t>měsíční hranice</w:t>
      </w:r>
      <w:r w:rsidR="00EA6C9E" w:rsidRPr="00787136">
        <w:rPr>
          <w:rFonts w:ascii="Arial Narrow" w:hAnsi="Arial Narrow"/>
          <w:sz w:val="24"/>
          <w:szCs w:val="32"/>
        </w:rPr>
        <w:t xml:space="preserve"> ohrožení příjmovou chudobou částku </w:t>
      </w:r>
      <w:r w:rsidR="00766BFC" w:rsidRPr="00787136">
        <w:rPr>
          <w:rFonts w:ascii="Arial Narrow" w:hAnsi="Arial Narrow"/>
          <w:sz w:val="24"/>
          <w:szCs w:val="32"/>
        </w:rPr>
        <w:t>38 142</w:t>
      </w:r>
      <w:r w:rsidR="00247399" w:rsidRPr="00787136">
        <w:rPr>
          <w:rFonts w:ascii="Arial Narrow" w:hAnsi="Arial Narrow"/>
          <w:sz w:val="24"/>
          <w:szCs w:val="32"/>
        </w:rPr>
        <w:t xml:space="preserve"> </w:t>
      </w:r>
      <w:r w:rsidR="004F5023">
        <w:rPr>
          <w:rFonts w:ascii="Arial Narrow" w:hAnsi="Arial Narrow"/>
          <w:sz w:val="24"/>
          <w:szCs w:val="32"/>
        </w:rPr>
        <w:t>Kč.</w:t>
      </w:r>
      <w:r w:rsidR="00EA6C9E" w:rsidRPr="00787136">
        <w:rPr>
          <w:rFonts w:ascii="Arial Narrow" w:hAnsi="Arial Narrow"/>
          <w:sz w:val="24"/>
          <w:szCs w:val="32"/>
        </w:rPr>
        <w:t xml:space="preserve"> </w:t>
      </w:r>
    </w:p>
    <w:p w14:paraId="687917FD" w14:textId="42C4C2FC" w:rsidR="00DA3DF4" w:rsidRDefault="00DA3DF4" w:rsidP="00DA3DF4">
      <w:pPr>
        <w:pStyle w:val="Titulek"/>
        <w:keepNext/>
        <w:divId w:val="1074475251"/>
      </w:pPr>
      <w:r>
        <w:t xml:space="preserve">Tab. </w:t>
      </w:r>
      <w:r w:rsidR="0019709C">
        <w:fldChar w:fldCharType="begin"/>
      </w:r>
      <w:r w:rsidR="0019709C">
        <w:instrText xml:space="preserve"> SEQ Tab. \* ARABIC </w:instrText>
      </w:r>
      <w:r w:rsidR="0019709C">
        <w:fldChar w:fldCharType="separate"/>
      </w:r>
      <w:r w:rsidR="00613C36">
        <w:rPr>
          <w:noProof/>
        </w:rPr>
        <w:t>1</w:t>
      </w:r>
      <w:r w:rsidR="0019709C">
        <w:rPr>
          <w:noProof/>
        </w:rPr>
        <w:fldChar w:fldCharType="end"/>
      </w:r>
      <w:r>
        <w:rPr>
          <w:lang w:val="cs-CZ"/>
        </w:rPr>
        <w:t xml:space="preserve"> Měsíční hranice ohrožení příjmovou chudobou pro vybrané složení domácnosti v roce 2024</w:t>
      </w:r>
    </w:p>
    <w:tbl>
      <w:tblPr>
        <w:tblW w:w="9075" w:type="dxa"/>
        <w:tblCellMar>
          <w:left w:w="70" w:type="dxa"/>
          <w:right w:w="70" w:type="dxa"/>
        </w:tblCellMar>
        <w:tblLook w:val="04A0" w:firstRow="1" w:lastRow="0" w:firstColumn="1" w:lastColumn="0" w:noHBand="0" w:noVBand="1"/>
      </w:tblPr>
      <w:tblGrid>
        <w:gridCol w:w="5295"/>
        <w:gridCol w:w="1688"/>
        <w:gridCol w:w="2092"/>
      </w:tblGrid>
      <w:tr w:rsidR="006E119F" w:rsidRPr="006E119F" w14:paraId="068E6282" w14:textId="77777777" w:rsidTr="006E119F">
        <w:trPr>
          <w:divId w:val="1074475251"/>
          <w:trHeight w:val="302"/>
        </w:trPr>
        <w:tc>
          <w:tcPr>
            <w:tcW w:w="5295" w:type="dxa"/>
            <w:tcBorders>
              <w:top w:val="single" w:sz="8" w:space="0" w:color="000000"/>
              <w:bottom w:val="single" w:sz="8" w:space="0" w:color="000000"/>
              <w:right w:val="single" w:sz="4" w:space="0" w:color="auto"/>
            </w:tcBorders>
            <w:shd w:val="clear" w:color="auto" w:fill="auto"/>
            <w:noWrap/>
            <w:vAlign w:val="center"/>
            <w:hideMark/>
          </w:tcPr>
          <w:p w14:paraId="60B828D8" w14:textId="7EA9B51F" w:rsidR="006E119F" w:rsidRPr="006E119F" w:rsidRDefault="006E119F" w:rsidP="006E119F">
            <w:pPr>
              <w:spacing w:after="0" w:line="240" w:lineRule="auto"/>
              <w:jc w:val="center"/>
              <w:rPr>
                <w:rFonts w:ascii="Arial" w:eastAsia="Times New Roman" w:hAnsi="Arial" w:cs="Arial"/>
                <w:b/>
                <w:bCs/>
                <w:sz w:val="18"/>
                <w:szCs w:val="18"/>
                <w:lang w:eastAsia="cs-CZ"/>
              </w:rPr>
            </w:pPr>
            <w:r w:rsidRPr="006E119F">
              <w:rPr>
                <w:rFonts w:ascii="Arial" w:eastAsia="Times New Roman" w:hAnsi="Arial" w:cs="Arial"/>
                <w:b/>
                <w:bCs/>
                <w:sz w:val="18"/>
                <w:szCs w:val="18"/>
                <w:lang w:eastAsia="cs-CZ"/>
              </w:rPr>
              <w:t> </w:t>
            </w:r>
          </w:p>
        </w:tc>
        <w:tc>
          <w:tcPr>
            <w:tcW w:w="1688" w:type="dxa"/>
            <w:tcBorders>
              <w:top w:val="single" w:sz="8" w:space="0" w:color="000000"/>
              <w:left w:val="nil"/>
              <w:bottom w:val="single" w:sz="8" w:space="0" w:color="000000"/>
              <w:right w:val="single" w:sz="4" w:space="0" w:color="auto"/>
            </w:tcBorders>
            <w:shd w:val="clear" w:color="auto" w:fill="auto"/>
            <w:noWrap/>
            <w:vAlign w:val="center"/>
            <w:hideMark/>
          </w:tcPr>
          <w:p w14:paraId="1403D058" w14:textId="77777777" w:rsidR="006E119F" w:rsidRPr="006E119F" w:rsidRDefault="006E119F" w:rsidP="006E119F">
            <w:pPr>
              <w:spacing w:after="0" w:line="240" w:lineRule="auto"/>
              <w:jc w:val="center"/>
              <w:rPr>
                <w:rFonts w:ascii="Arial" w:eastAsia="Times New Roman" w:hAnsi="Arial" w:cs="Arial"/>
                <w:b/>
                <w:bCs/>
                <w:sz w:val="18"/>
                <w:szCs w:val="18"/>
                <w:lang w:eastAsia="cs-CZ"/>
              </w:rPr>
            </w:pPr>
            <w:r w:rsidRPr="006E119F">
              <w:rPr>
                <w:rFonts w:ascii="Arial" w:eastAsia="Times New Roman" w:hAnsi="Arial" w:cs="Arial"/>
                <w:b/>
                <w:bCs/>
                <w:sz w:val="18"/>
                <w:szCs w:val="18"/>
                <w:lang w:eastAsia="cs-CZ"/>
              </w:rPr>
              <w:t>2024</w:t>
            </w:r>
          </w:p>
        </w:tc>
        <w:tc>
          <w:tcPr>
            <w:tcW w:w="2092" w:type="dxa"/>
            <w:tcBorders>
              <w:top w:val="single" w:sz="8" w:space="0" w:color="000000"/>
              <w:left w:val="nil"/>
              <w:bottom w:val="single" w:sz="8" w:space="0" w:color="000000"/>
              <w:right w:val="nil"/>
            </w:tcBorders>
            <w:shd w:val="clear" w:color="auto" w:fill="auto"/>
            <w:noWrap/>
            <w:vAlign w:val="center"/>
            <w:hideMark/>
          </w:tcPr>
          <w:p w14:paraId="715C8CB1" w14:textId="77777777" w:rsidR="006E119F" w:rsidRPr="006E119F" w:rsidRDefault="006E119F" w:rsidP="006E119F">
            <w:pPr>
              <w:spacing w:after="0" w:line="240" w:lineRule="auto"/>
              <w:jc w:val="center"/>
              <w:rPr>
                <w:rFonts w:ascii="Arial" w:eastAsia="Times New Roman" w:hAnsi="Arial" w:cs="Arial"/>
                <w:b/>
                <w:bCs/>
                <w:sz w:val="18"/>
                <w:szCs w:val="18"/>
                <w:lang w:eastAsia="cs-CZ"/>
              </w:rPr>
            </w:pPr>
            <w:r w:rsidRPr="006E119F">
              <w:rPr>
                <w:rFonts w:ascii="Arial" w:eastAsia="Times New Roman" w:hAnsi="Arial" w:cs="Arial"/>
                <w:b/>
                <w:bCs/>
                <w:sz w:val="18"/>
                <w:szCs w:val="18"/>
                <w:lang w:eastAsia="cs-CZ"/>
              </w:rPr>
              <w:t>meziroční nárůst</w:t>
            </w:r>
          </w:p>
        </w:tc>
      </w:tr>
      <w:tr w:rsidR="006E119F" w:rsidRPr="006E119F" w14:paraId="7020F137" w14:textId="77777777" w:rsidTr="006E119F">
        <w:trPr>
          <w:divId w:val="1074475251"/>
          <w:trHeight w:val="335"/>
        </w:trPr>
        <w:tc>
          <w:tcPr>
            <w:tcW w:w="5295" w:type="dxa"/>
            <w:tcBorders>
              <w:top w:val="nil"/>
              <w:left w:val="nil"/>
              <w:bottom w:val="nil"/>
              <w:right w:val="single" w:sz="4" w:space="0" w:color="auto"/>
            </w:tcBorders>
            <w:shd w:val="clear" w:color="auto" w:fill="auto"/>
            <w:noWrap/>
            <w:vAlign w:val="bottom"/>
            <w:hideMark/>
          </w:tcPr>
          <w:p w14:paraId="1F65C09D" w14:textId="77777777" w:rsidR="006E119F" w:rsidRPr="006E119F" w:rsidRDefault="006E119F" w:rsidP="006E119F">
            <w:pPr>
              <w:spacing w:after="0" w:line="240" w:lineRule="auto"/>
              <w:ind w:firstLineChars="100" w:firstLine="180"/>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Jednotlivec</w:t>
            </w:r>
          </w:p>
        </w:tc>
        <w:tc>
          <w:tcPr>
            <w:tcW w:w="1688" w:type="dxa"/>
            <w:tcBorders>
              <w:top w:val="nil"/>
              <w:left w:val="nil"/>
              <w:bottom w:val="nil"/>
              <w:right w:val="single" w:sz="4" w:space="0" w:color="auto"/>
            </w:tcBorders>
            <w:shd w:val="clear" w:color="auto" w:fill="auto"/>
            <w:noWrap/>
            <w:vAlign w:val="bottom"/>
            <w:hideMark/>
          </w:tcPr>
          <w:p w14:paraId="1D9B0108" w14:textId="77777777"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18 163 Kč </w:t>
            </w:r>
          </w:p>
        </w:tc>
        <w:tc>
          <w:tcPr>
            <w:tcW w:w="2092" w:type="dxa"/>
            <w:tcBorders>
              <w:top w:val="nil"/>
              <w:left w:val="nil"/>
              <w:bottom w:val="nil"/>
              <w:right w:val="nil"/>
            </w:tcBorders>
            <w:shd w:val="clear" w:color="auto" w:fill="auto"/>
            <w:noWrap/>
            <w:vAlign w:val="bottom"/>
            <w:hideMark/>
          </w:tcPr>
          <w:p w14:paraId="5E835A02" w14:textId="03484BCF"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w:t>
            </w:r>
            <w:r w:rsidR="00227A02">
              <w:rPr>
                <w:rFonts w:ascii="Arial" w:eastAsia="Times New Roman" w:hAnsi="Arial" w:cs="Arial"/>
                <w:color w:val="000000"/>
                <w:sz w:val="18"/>
                <w:szCs w:val="18"/>
                <w:lang w:eastAsia="cs-CZ"/>
              </w:rPr>
              <w:t>+</w:t>
            </w:r>
            <w:r w:rsidRPr="006E119F">
              <w:rPr>
                <w:rFonts w:ascii="Arial" w:eastAsia="Times New Roman" w:hAnsi="Arial" w:cs="Arial"/>
                <w:color w:val="000000"/>
                <w:sz w:val="18"/>
                <w:szCs w:val="18"/>
                <w:lang w:eastAsia="cs-CZ"/>
              </w:rPr>
              <w:t xml:space="preserve"> 1 389 Kč </w:t>
            </w:r>
          </w:p>
        </w:tc>
      </w:tr>
      <w:tr w:rsidR="006E119F" w:rsidRPr="006E119F" w14:paraId="47E2A65E" w14:textId="77777777" w:rsidTr="006E119F">
        <w:trPr>
          <w:divId w:val="1074475251"/>
          <w:trHeight w:val="335"/>
        </w:trPr>
        <w:tc>
          <w:tcPr>
            <w:tcW w:w="5295" w:type="dxa"/>
            <w:tcBorders>
              <w:top w:val="nil"/>
              <w:left w:val="nil"/>
              <w:bottom w:val="nil"/>
              <w:right w:val="single" w:sz="4" w:space="0" w:color="auto"/>
            </w:tcBorders>
            <w:shd w:val="clear" w:color="auto" w:fill="auto"/>
            <w:noWrap/>
            <w:vAlign w:val="bottom"/>
            <w:hideMark/>
          </w:tcPr>
          <w:p w14:paraId="3AD2B9CD" w14:textId="77777777" w:rsidR="006E119F" w:rsidRPr="006E119F" w:rsidRDefault="006E119F" w:rsidP="006E119F">
            <w:pPr>
              <w:spacing w:after="0" w:line="240" w:lineRule="auto"/>
              <w:ind w:firstLineChars="100" w:firstLine="180"/>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Dvě dospělé osoby</w:t>
            </w:r>
          </w:p>
        </w:tc>
        <w:tc>
          <w:tcPr>
            <w:tcW w:w="1688" w:type="dxa"/>
            <w:tcBorders>
              <w:top w:val="nil"/>
              <w:left w:val="nil"/>
              <w:bottom w:val="nil"/>
              <w:right w:val="single" w:sz="4" w:space="0" w:color="auto"/>
            </w:tcBorders>
            <w:shd w:val="clear" w:color="auto" w:fill="auto"/>
            <w:noWrap/>
            <w:vAlign w:val="bottom"/>
            <w:hideMark/>
          </w:tcPr>
          <w:p w14:paraId="412EB9D3" w14:textId="77777777"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27 244 Kč </w:t>
            </w:r>
          </w:p>
        </w:tc>
        <w:tc>
          <w:tcPr>
            <w:tcW w:w="2092" w:type="dxa"/>
            <w:tcBorders>
              <w:top w:val="nil"/>
              <w:left w:val="nil"/>
              <w:bottom w:val="nil"/>
              <w:right w:val="nil"/>
            </w:tcBorders>
            <w:shd w:val="clear" w:color="auto" w:fill="auto"/>
            <w:noWrap/>
            <w:vAlign w:val="bottom"/>
            <w:hideMark/>
          </w:tcPr>
          <w:p w14:paraId="389BB104" w14:textId="2EFCE99C"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w:t>
            </w:r>
            <w:r w:rsidR="00227A02">
              <w:rPr>
                <w:rFonts w:ascii="Arial" w:eastAsia="Times New Roman" w:hAnsi="Arial" w:cs="Arial"/>
                <w:color w:val="000000"/>
                <w:sz w:val="18"/>
                <w:szCs w:val="18"/>
                <w:lang w:eastAsia="cs-CZ"/>
              </w:rPr>
              <w:t>+</w:t>
            </w:r>
            <w:r w:rsidRPr="006E119F">
              <w:rPr>
                <w:rFonts w:ascii="Arial" w:eastAsia="Times New Roman" w:hAnsi="Arial" w:cs="Arial"/>
                <w:color w:val="000000"/>
                <w:sz w:val="18"/>
                <w:szCs w:val="18"/>
                <w:lang w:eastAsia="cs-CZ"/>
              </w:rPr>
              <w:t xml:space="preserve"> 2 084 Kč </w:t>
            </w:r>
          </w:p>
        </w:tc>
      </w:tr>
      <w:tr w:rsidR="006E119F" w:rsidRPr="006E119F" w14:paraId="4D4E6341" w14:textId="77777777" w:rsidTr="006E119F">
        <w:trPr>
          <w:divId w:val="1074475251"/>
          <w:trHeight w:val="335"/>
        </w:trPr>
        <w:tc>
          <w:tcPr>
            <w:tcW w:w="5295" w:type="dxa"/>
            <w:tcBorders>
              <w:top w:val="nil"/>
              <w:left w:val="nil"/>
              <w:bottom w:val="nil"/>
              <w:right w:val="single" w:sz="4" w:space="0" w:color="auto"/>
            </w:tcBorders>
            <w:shd w:val="clear" w:color="auto" w:fill="auto"/>
            <w:noWrap/>
            <w:vAlign w:val="bottom"/>
            <w:hideMark/>
          </w:tcPr>
          <w:p w14:paraId="5D153BAA" w14:textId="77777777" w:rsidR="006E119F" w:rsidRPr="006E119F" w:rsidRDefault="006E119F" w:rsidP="006E119F">
            <w:pPr>
              <w:spacing w:after="0" w:line="240" w:lineRule="auto"/>
              <w:ind w:firstLineChars="100" w:firstLine="180"/>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Rodič s dítětem do 13 let</w:t>
            </w:r>
          </w:p>
        </w:tc>
        <w:tc>
          <w:tcPr>
            <w:tcW w:w="1688" w:type="dxa"/>
            <w:tcBorders>
              <w:top w:val="nil"/>
              <w:left w:val="nil"/>
              <w:bottom w:val="nil"/>
              <w:right w:val="single" w:sz="4" w:space="0" w:color="auto"/>
            </w:tcBorders>
            <w:shd w:val="clear" w:color="auto" w:fill="auto"/>
            <w:noWrap/>
            <w:vAlign w:val="bottom"/>
            <w:hideMark/>
          </w:tcPr>
          <w:p w14:paraId="129EC898" w14:textId="77777777"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23 611 Kč </w:t>
            </w:r>
          </w:p>
        </w:tc>
        <w:tc>
          <w:tcPr>
            <w:tcW w:w="2092" w:type="dxa"/>
            <w:tcBorders>
              <w:top w:val="nil"/>
              <w:left w:val="nil"/>
              <w:bottom w:val="nil"/>
              <w:right w:val="nil"/>
            </w:tcBorders>
            <w:shd w:val="clear" w:color="auto" w:fill="auto"/>
            <w:noWrap/>
            <w:vAlign w:val="bottom"/>
            <w:hideMark/>
          </w:tcPr>
          <w:p w14:paraId="70822EE8" w14:textId="10A94333"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w:t>
            </w:r>
            <w:r w:rsidR="00227A02">
              <w:rPr>
                <w:rFonts w:ascii="Arial" w:eastAsia="Times New Roman" w:hAnsi="Arial" w:cs="Arial"/>
                <w:color w:val="000000"/>
                <w:sz w:val="18"/>
                <w:szCs w:val="18"/>
                <w:lang w:eastAsia="cs-CZ"/>
              </w:rPr>
              <w:t>+</w:t>
            </w:r>
            <w:r w:rsidRPr="006E119F">
              <w:rPr>
                <w:rFonts w:ascii="Arial" w:eastAsia="Times New Roman" w:hAnsi="Arial" w:cs="Arial"/>
                <w:color w:val="000000"/>
                <w:sz w:val="18"/>
                <w:szCs w:val="18"/>
                <w:lang w:eastAsia="cs-CZ"/>
              </w:rPr>
              <w:t xml:space="preserve"> 1 806 Kč </w:t>
            </w:r>
          </w:p>
        </w:tc>
      </w:tr>
      <w:tr w:rsidR="006E119F" w:rsidRPr="006E119F" w14:paraId="7AB5B5BE" w14:textId="77777777" w:rsidTr="006E119F">
        <w:trPr>
          <w:divId w:val="1074475251"/>
          <w:trHeight w:val="335"/>
        </w:trPr>
        <w:tc>
          <w:tcPr>
            <w:tcW w:w="5295" w:type="dxa"/>
            <w:tcBorders>
              <w:top w:val="nil"/>
              <w:left w:val="nil"/>
              <w:bottom w:val="nil"/>
              <w:right w:val="single" w:sz="4" w:space="0" w:color="auto"/>
            </w:tcBorders>
            <w:shd w:val="clear" w:color="auto" w:fill="auto"/>
            <w:noWrap/>
            <w:vAlign w:val="bottom"/>
            <w:hideMark/>
          </w:tcPr>
          <w:p w14:paraId="5342A0E2" w14:textId="77777777" w:rsidR="006E119F" w:rsidRPr="006E119F" w:rsidRDefault="006E119F" w:rsidP="006E119F">
            <w:pPr>
              <w:spacing w:after="0" w:line="240" w:lineRule="auto"/>
              <w:ind w:firstLineChars="100" w:firstLine="180"/>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Rodič se dvěma dětmi staršími 13 let</w:t>
            </w:r>
          </w:p>
        </w:tc>
        <w:tc>
          <w:tcPr>
            <w:tcW w:w="1688" w:type="dxa"/>
            <w:tcBorders>
              <w:top w:val="nil"/>
              <w:left w:val="nil"/>
              <w:bottom w:val="nil"/>
              <w:right w:val="single" w:sz="4" w:space="0" w:color="auto"/>
            </w:tcBorders>
            <w:shd w:val="clear" w:color="auto" w:fill="auto"/>
            <w:noWrap/>
            <w:vAlign w:val="bottom"/>
            <w:hideMark/>
          </w:tcPr>
          <w:p w14:paraId="3E22EA00" w14:textId="77777777"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36 325 Kč </w:t>
            </w:r>
          </w:p>
        </w:tc>
        <w:tc>
          <w:tcPr>
            <w:tcW w:w="2092" w:type="dxa"/>
            <w:tcBorders>
              <w:top w:val="nil"/>
              <w:left w:val="nil"/>
              <w:bottom w:val="nil"/>
              <w:right w:val="nil"/>
            </w:tcBorders>
            <w:shd w:val="clear" w:color="auto" w:fill="auto"/>
            <w:noWrap/>
            <w:vAlign w:val="bottom"/>
            <w:hideMark/>
          </w:tcPr>
          <w:p w14:paraId="5C77CB0E" w14:textId="2AD5DC39"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w:t>
            </w:r>
            <w:r w:rsidR="00227A02">
              <w:rPr>
                <w:rFonts w:ascii="Arial" w:eastAsia="Times New Roman" w:hAnsi="Arial" w:cs="Arial"/>
                <w:color w:val="000000"/>
                <w:sz w:val="18"/>
                <w:szCs w:val="18"/>
                <w:lang w:eastAsia="cs-CZ"/>
              </w:rPr>
              <w:t>+</w:t>
            </w:r>
            <w:r w:rsidRPr="006E119F">
              <w:rPr>
                <w:rFonts w:ascii="Arial" w:eastAsia="Times New Roman" w:hAnsi="Arial" w:cs="Arial"/>
                <w:color w:val="000000"/>
                <w:sz w:val="18"/>
                <w:szCs w:val="18"/>
                <w:lang w:eastAsia="cs-CZ"/>
              </w:rPr>
              <w:t xml:space="preserve"> 2 778 Kč </w:t>
            </w:r>
          </w:p>
        </w:tc>
      </w:tr>
      <w:tr w:rsidR="006E119F" w:rsidRPr="006E119F" w14:paraId="15B23DE6" w14:textId="77777777" w:rsidTr="006E119F">
        <w:trPr>
          <w:divId w:val="1074475251"/>
          <w:trHeight w:val="335"/>
        </w:trPr>
        <w:tc>
          <w:tcPr>
            <w:tcW w:w="5295" w:type="dxa"/>
            <w:tcBorders>
              <w:top w:val="nil"/>
              <w:left w:val="nil"/>
              <w:bottom w:val="nil"/>
              <w:right w:val="single" w:sz="4" w:space="0" w:color="auto"/>
            </w:tcBorders>
            <w:shd w:val="clear" w:color="auto" w:fill="auto"/>
            <w:noWrap/>
            <w:vAlign w:val="bottom"/>
            <w:hideMark/>
          </w:tcPr>
          <w:p w14:paraId="280A3C2D" w14:textId="77777777" w:rsidR="006E119F" w:rsidRPr="006E119F" w:rsidRDefault="006E119F" w:rsidP="006E119F">
            <w:pPr>
              <w:spacing w:after="0" w:line="240" w:lineRule="auto"/>
              <w:ind w:firstLineChars="100" w:firstLine="180"/>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Rodiče s dítětem do 13 let</w:t>
            </w:r>
          </w:p>
        </w:tc>
        <w:tc>
          <w:tcPr>
            <w:tcW w:w="1688" w:type="dxa"/>
            <w:tcBorders>
              <w:top w:val="nil"/>
              <w:left w:val="nil"/>
              <w:bottom w:val="nil"/>
              <w:right w:val="single" w:sz="4" w:space="0" w:color="auto"/>
            </w:tcBorders>
            <w:shd w:val="clear" w:color="auto" w:fill="auto"/>
            <w:noWrap/>
            <w:vAlign w:val="bottom"/>
            <w:hideMark/>
          </w:tcPr>
          <w:p w14:paraId="2BB35175" w14:textId="77777777"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32 693 Kč </w:t>
            </w:r>
          </w:p>
        </w:tc>
        <w:tc>
          <w:tcPr>
            <w:tcW w:w="2092" w:type="dxa"/>
            <w:tcBorders>
              <w:top w:val="nil"/>
              <w:left w:val="nil"/>
              <w:bottom w:val="nil"/>
              <w:right w:val="nil"/>
            </w:tcBorders>
            <w:shd w:val="clear" w:color="auto" w:fill="auto"/>
            <w:noWrap/>
            <w:vAlign w:val="bottom"/>
            <w:hideMark/>
          </w:tcPr>
          <w:p w14:paraId="1948B772" w14:textId="4A8F0E8F"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w:t>
            </w:r>
            <w:r w:rsidR="00227A02">
              <w:rPr>
                <w:rFonts w:ascii="Arial" w:eastAsia="Times New Roman" w:hAnsi="Arial" w:cs="Arial"/>
                <w:color w:val="000000"/>
                <w:sz w:val="18"/>
                <w:szCs w:val="18"/>
                <w:lang w:eastAsia="cs-CZ"/>
              </w:rPr>
              <w:t>+</w:t>
            </w:r>
            <w:r w:rsidRPr="006E119F">
              <w:rPr>
                <w:rFonts w:ascii="Arial" w:eastAsia="Times New Roman" w:hAnsi="Arial" w:cs="Arial"/>
                <w:color w:val="000000"/>
                <w:sz w:val="18"/>
                <w:szCs w:val="18"/>
                <w:lang w:eastAsia="cs-CZ"/>
              </w:rPr>
              <w:t xml:space="preserve"> 2 500 Kč </w:t>
            </w:r>
          </w:p>
        </w:tc>
      </w:tr>
      <w:tr w:rsidR="006E119F" w:rsidRPr="006E119F" w14:paraId="4C6E0A30" w14:textId="77777777" w:rsidTr="006E119F">
        <w:trPr>
          <w:divId w:val="1074475251"/>
          <w:trHeight w:val="335"/>
        </w:trPr>
        <w:tc>
          <w:tcPr>
            <w:tcW w:w="5295" w:type="dxa"/>
            <w:tcBorders>
              <w:top w:val="nil"/>
              <w:left w:val="nil"/>
              <w:bottom w:val="nil"/>
              <w:right w:val="single" w:sz="4" w:space="0" w:color="auto"/>
            </w:tcBorders>
            <w:shd w:val="clear" w:color="auto" w:fill="auto"/>
            <w:noWrap/>
            <w:vAlign w:val="bottom"/>
            <w:hideMark/>
          </w:tcPr>
          <w:p w14:paraId="71FD5DD8" w14:textId="77777777" w:rsidR="006E119F" w:rsidRPr="006E119F" w:rsidRDefault="006E119F" w:rsidP="006E119F">
            <w:pPr>
              <w:spacing w:after="0" w:line="240" w:lineRule="auto"/>
              <w:ind w:firstLineChars="100" w:firstLine="180"/>
              <w:rPr>
                <w:rFonts w:ascii="Arial" w:eastAsia="Times New Roman" w:hAnsi="Arial" w:cs="Arial"/>
                <w:sz w:val="18"/>
                <w:szCs w:val="18"/>
                <w:lang w:eastAsia="cs-CZ"/>
              </w:rPr>
            </w:pPr>
            <w:r w:rsidRPr="006E119F">
              <w:rPr>
                <w:rFonts w:ascii="Arial" w:eastAsia="Times New Roman" w:hAnsi="Arial" w:cs="Arial"/>
                <w:sz w:val="18"/>
                <w:szCs w:val="18"/>
                <w:lang w:eastAsia="cs-CZ"/>
              </w:rPr>
              <w:t>Rodiče se dvěma dětmi do 13 let</w:t>
            </w:r>
          </w:p>
        </w:tc>
        <w:tc>
          <w:tcPr>
            <w:tcW w:w="1688" w:type="dxa"/>
            <w:tcBorders>
              <w:top w:val="nil"/>
              <w:left w:val="nil"/>
              <w:bottom w:val="nil"/>
              <w:right w:val="single" w:sz="4" w:space="0" w:color="auto"/>
            </w:tcBorders>
            <w:shd w:val="clear" w:color="auto" w:fill="auto"/>
            <w:noWrap/>
            <w:vAlign w:val="bottom"/>
            <w:hideMark/>
          </w:tcPr>
          <w:p w14:paraId="200617A4" w14:textId="77777777"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38 142 Kč </w:t>
            </w:r>
          </w:p>
        </w:tc>
        <w:tc>
          <w:tcPr>
            <w:tcW w:w="2092" w:type="dxa"/>
            <w:tcBorders>
              <w:top w:val="nil"/>
              <w:left w:val="nil"/>
              <w:bottom w:val="nil"/>
              <w:right w:val="nil"/>
            </w:tcBorders>
            <w:shd w:val="clear" w:color="auto" w:fill="auto"/>
            <w:noWrap/>
            <w:vAlign w:val="bottom"/>
            <w:hideMark/>
          </w:tcPr>
          <w:p w14:paraId="24C59EE9" w14:textId="2BFF338A"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w:t>
            </w:r>
            <w:r w:rsidR="00227A02">
              <w:rPr>
                <w:rFonts w:ascii="Arial" w:eastAsia="Times New Roman" w:hAnsi="Arial" w:cs="Arial"/>
                <w:color w:val="000000"/>
                <w:sz w:val="18"/>
                <w:szCs w:val="18"/>
                <w:lang w:eastAsia="cs-CZ"/>
              </w:rPr>
              <w:t>+</w:t>
            </w:r>
            <w:r w:rsidRPr="006E119F">
              <w:rPr>
                <w:rFonts w:ascii="Arial" w:eastAsia="Times New Roman" w:hAnsi="Arial" w:cs="Arial"/>
                <w:color w:val="000000"/>
                <w:sz w:val="18"/>
                <w:szCs w:val="18"/>
                <w:lang w:eastAsia="cs-CZ"/>
              </w:rPr>
              <w:t xml:space="preserve"> 2 917 Kč </w:t>
            </w:r>
          </w:p>
        </w:tc>
      </w:tr>
      <w:tr w:rsidR="006E119F" w:rsidRPr="006E119F" w14:paraId="5E1249E5" w14:textId="77777777" w:rsidTr="006E119F">
        <w:trPr>
          <w:divId w:val="1074475251"/>
          <w:trHeight w:val="335"/>
        </w:trPr>
        <w:tc>
          <w:tcPr>
            <w:tcW w:w="5295" w:type="dxa"/>
            <w:tcBorders>
              <w:top w:val="nil"/>
              <w:left w:val="nil"/>
              <w:bottom w:val="nil"/>
              <w:right w:val="single" w:sz="4" w:space="0" w:color="auto"/>
            </w:tcBorders>
            <w:shd w:val="clear" w:color="auto" w:fill="auto"/>
            <w:noWrap/>
            <w:vAlign w:val="bottom"/>
            <w:hideMark/>
          </w:tcPr>
          <w:p w14:paraId="3489C076" w14:textId="77777777" w:rsidR="006E119F" w:rsidRPr="006E119F" w:rsidRDefault="006E119F" w:rsidP="006E119F">
            <w:pPr>
              <w:spacing w:after="0" w:line="240" w:lineRule="auto"/>
              <w:ind w:firstLineChars="100" w:firstLine="180"/>
              <w:rPr>
                <w:rFonts w:ascii="Arial" w:eastAsia="Times New Roman" w:hAnsi="Arial" w:cs="Arial"/>
                <w:sz w:val="18"/>
                <w:szCs w:val="18"/>
                <w:lang w:eastAsia="cs-CZ"/>
              </w:rPr>
            </w:pPr>
            <w:r w:rsidRPr="006E119F">
              <w:rPr>
                <w:rFonts w:ascii="Arial" w:eastAsia="Times New Roman" w:hAnsi="Arial" w:cs="Arial"/>
                <w:sz w:val="18"/>
                <w:szCs w:val="18"/>
                <w:lang w:eastAsia="cs-CZ"/>
              </w:rPr>
              <w:t>Rodiče se třemi dětmi</w:t>
            </w:r>
          </w:p>
        </w:tc>
        <w:tc>
          <w:tcPr>
            <w:tcW w:w="1688" w:type="dxa"/>
            <w:tcBorders>
              <w:top w:val="nil"/>
              <w:left w:val="nil"/>
              <w:bottom w:val="nil"/>
              <w:right w:val="single" w:sz="4" w:space="0" w:color="auto"/>
            </w:tcBorders>
            <w:shd w:val="clear" w:color="auto" w:fill="auto"/>
            <w:noWrap/>
            <w:vAlign w:val="bottom"/>
            <w:hideMark/>
          </w:tcPr>
          <w:p w14:paraId="23A92D5C" w14:textId="77777777"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50 855 Kč </w:t>
            </w:r>
          </w:p>
        </w:tc>
        <w:tc>
          <w:tcPr>
            <w:tcW w:w="2092" w:type="dxa"/>
            <w:tcBorders>
              <w:top w:val="nil"/>
              <w:left w:val="nil"/>
              <w:bottom w:val="nil"/>
              <w:right w:val="nil"/>
            </w:tcBorders>
            <w:shd w:val="clear" w:color="auto" w:fill="auto"/>
            <w:noWrap/>
            <w:vAlign w:val="bottom"/>
            <w:hideMark/>
          </w:tcPr>
          <w:p w14:paraId="2C3DE8A2" w14:textId="23DC6DB3" w:rsidR="006E119F" w:rsidRPr="006E119F" w:rsidRDefault="006E119F" w:rsidP="006E119F">
            <w:pPr>
              <w:spacing w:after="0" w:line="240" w:lineRule="auto"/>
              <w:jc w:val="right"/>
              <w:rPr>
                <w:rFonts w:ascii="Arial" w:eastAsia="Times New Roman" w:hAnsi="Arial" w:cs="Arial"/>
                <w:color w:val="000000"/>
                <w:sz w:val="18"/>
                <w:szCs w:val="18"/>
                <w:lang w:eastAsia="cs-CZ"/>
              </w:rPr>
            </w:pPr>
            <w:r w:rsidRPr="006E119F">
              <w:rPr>
                <w:rFonts w:ascii="Arial" w:eastAsia="Times New Roman" w:hAnsi="Arial" w:cs="Arial"/>
                <w:color w:val="000000"/>
                <w:sz w:val="18"/>
                <w:szCs w:val="18"/>
                <w:lang w:eastAsia="cs-CZ"/>
              </w:rPr>
              <w:t xml:space="preserve">       </w:t>
            </w:r>
            <w:r w:rsidR="00227A02">
              <w:rPr>
                <w:rFonts w:ascii="Arial" w:eastAsia="Times New Roman" w:hAnsi="Arial" w:cs="Arial"/>
                <w:color w:val="000000"/>
                <w:sz w:val="18"/>
                <w:szCs w:val="18"/>
                <w:lang w:eastAsia="cs-CZ"/>
              </w:rPr>
              <w:t>+</w:t>
            </w:r>
            <w:r w:rsidRPr="006E119F">
              <w:rPr>
                <w:rFonts w:ascii="Arial" w:eastAsia="Times New Roman" w:hAnsi="Arial" w:cs="Arial"/>
                <w:color w:val="000000"/>
                <w:sz w:val="18"/>
                <w:szCs w:val="18"/>
                <w:lang w:eastAsia="cs-CZ"/>
              </w:rPr>
              <w:t xml:space="preserve"> 3 889 Kč </w:t>
            </w:r>
          </w:p>
        </w:tc>
      </w:tr>
    </w:tbl>
    <w:p w14:paraId="6CAC17C5" w14:textId="74CA454D" w:rsidR="004F5023" w:rsidRDefault="004F5023" w:rsidP="004F5023">
      <w:pPr>
        <w:spacing w:after="0" w:line="288" w:lineRule="auto"/>
        <w:jc w:val="both"/>
        <w:rPr>
          <w:b/>
        </w:rPr>
      </w:pPr>
    </w:p>
    <w:p w14:paraId="232482BE" w14:textId="61011475" w:rsidR="004F5023" w:rsidRPr="004F5023" w:rsidRDefault="004F5023" w:rsidP="004F5023">
      <w:pPr>
        <w:spacing w:after="240" w:line="288" w:lineRule="auto"/>
        <w:jc w:val="both"/>
        <w:rPr>
          <w:rFonts w:ascii="Arial Narrow" w:hAnsi="Arial Narrow"/>
          <w:sz w:val="24"/>
          <w:szCs w:val="32"/>
        </w:rPr>
      </w:pPr>
      <w:r w:rsidRPr="004F5023">
        <w:rPr>
          <w:rFonts w:ascii="Arial Narrow" w:hAnsi="Arial Narrow"/>
          <w:sz w:val="24"/>
          <w:szCs w:val="32"/>
        </w:rPr>
        <w:t xml:space="preserve">Ukazatel míry ohrožení příjmovou chudobou se dlouhodobě v pohybuje v rozmezí od 8,5 % do 10,5 %. V roce 2024 se ohrožení příjmovou chudobou týkalo 998,2 tis. obyvatel České republiky. Nepatrný pokles </w:t>
      </w:r>
      <w:r w:rsidRPr="00847307">
        <w:rPr>
          <w:rFonts w:ascii="Arial Narrow" w:hAnsi="Arial Narrow"/>
          <w:sz w:val="24"/>
          <w:szCs w:val="32"/>
        </w:rPr>
        <w:t xml:space="preserve">o </w:t>
      </w:r>
      <w:r w:rsidR="00676F81" w:rsidRPr="00847307">
        <w:rPr>
          <w:rFonts w:ascii="Arial Narrow" w:hAnsi="Arial Narrow"/>
          <w:sz w:val="24"/>
          <w:szCs w:val="32"/>
        </w:rPr>
        <w:t>0,</w:t>
      </w:r>
      <w:r w:rsidRPr="00847307">
        <w:rPr>
          <w:rFonts w:ascii="Arial Narrow" w:hAnsi="Arial Narrow"/>
          <w:sz w:val="24"/>
          <w:szCs w:val="32"/>
        </w:rPr>
        <w:t>3 p. b.</w:t>
      </w:r>
      <w:r w:rsidRPr="004F5023">
        <w:rPr>
          <w:rFonts w:ascii="Arial Narrow" w:hAnsi="Arial Narrow"/>
          <w:sz w:val="24"/>
          <w:szCs w:val="32"/>
        </w:rPr>
        <w:t xml:space="preserve"> byl způsoben odlišným tempem růstu příjmů u různých skupin populace. K nejvýraznějšímu poklesu ohrožení příjmovou chudobou, z 33,2 % na 18,6 %, došlo u dom</w:t>
      </w:r>
      <w:r w:rsidR="00AF6CC5">
        <w:rPr>
          <w:rFonts w:ascii="Arial Narrow" w:hAnsi="Arial Narrow"/>
          <w:sz w:val="24"/>
          <w:szCs w:val="32"/>
        </w:rPr>
        <w:t>ácností jednotlivců starších 65 </w:t>
      </w:r>
      <w:r w:rsidRPr="004F5023">
        <w:rPr>
          <w:rFonts w:ascii="Arial Narrow" w:hAnsi="Arial Narrow"/>
          <w:sz w:val="24"/>
          <w:szCs w:val="32"/>
        </w:rPr>
        <w:t xml:space="preserve">let, v důsledku vysokého meziročního nárůstu jejich příjmů. </w:t>
      </w:r>
    </w:p>
    <w:p w14:paraId="24CCAF6D" w14:textId="2E7ACA97" w:rsidR="00DA3DF4" w:rsidRDefault="00DA3DF4" w:rsidP="004F5023">
      <w:pPr>
        <w:pStyle w:val="Titulek"/>
        <w:keepNext/>
        <w:spacing w:after="160" w:line="288" w:lineRule="auto"/>
        <w:jc w:val="both"/>
        <w:rPr>
          <w:lang w:val="cs-CZ"/>
        </w:rPr>
      </w:pPr>
      <w:r>
        <w:t xml:space="preserve">Graf </w:t>
      </w:r>
      <w:r w:rsidR="0019709C">
        <w:fldChar w:fldCharType="begin"/>
      </w:r>
      <w:r w:rsidR="0019709C">
        <w:instrText xml:space="preserve"> SEQ Graf \* ARABIC </w:instrText>
      </w:r>
      <w:r w:rsidR="0019709C">
        <w:fldChar w:fldCharType="separate"/>
      </w:r>
      <w:r w:rsidR="00AF6CC5">
        <w:rPr>
          <w:noProof/>
        </w:rPr>
        <w:t>10</w:t>
      </w:r>
      <w:r w:rsidR="0019709C">
        <w:rPr>
          <w:noProof/>
        </w:rPr>
        <w:fldChar w:fldCharType="end"/>
      </w:r>
      <w:r>
        <w:rPr>
          <w:lang w:val="cs-CZ"/>
        </w:rPr>
        <w:t xml:space="preserve"> Vývoj míry ohrožení příjmovou chudobou v ČR v letech 2014–2024</w:t>
      </w:r>
    </w:p>
    <w:p w14:paraId="6AE92E80" w14:textId="56FF465D" w:rsidR="00B850AD" w:rsidRPr="00AF6CC5" w:rsidRDefault="00AF6CC5" w:rsidP="00AF6CC5">
      <w:pPr>
        <w:rPr>
          <w:lang w:eastAsia="ar-SA"/>
        </w:rPr>
      </w:pPr>
      <w:r>
        <w:rPr>
          <w:noProof/>
          <w:lang w:eastAsia="cs-CZ"/>
        </w:rPr>
        <w:drawing>
          <wp:inline distT="0" distB="0" distL="0" distR="0" wp14:anchorId="7D409A63" wp14:editId="632834D7">
            <wp:extent cx="5724525" cy="2371725"/>
            <wp:effectExtent l="0" t="0" r="0" b="0"/>
            <wp:docPr id="12" name="Graf 12">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5B79583" w14:textId="474F2BC7" w:rsidR="00DB4984" w:rsidRDefault="004F5023" w:rsidP="007C3008">
      <w:pPr>
        <w:spacing w:after="240" w:line="288" w:lineRule="auto"/>
        <w:jc w:val="both"/>
        <w:rPr>
          <w:rFonts w:ascii="Arial Narrow" w:hAnsi="Arial Narrow"/>
          <w:sz w:val="24"/>
          <w:szCs w:val="32"/>
        </w:rPr>
      </w:pPr>
      <w:r w:rsidRPr="007C3008">
        <w:rPr>
          <w:rFonts w:ascii="Arial Narrow" w:hAnsi="Arial Narrow"/>
          <w:sz w:val="24"/>
          <w:szCs w:val="32"/>
        </w:rPr>
        <w:t xml:space="preserve">U </w:t>
      </w:r>
      <w:r w:rsidR="00BB0360" w:rsidRPr="007C3008">
        <w:rPr>
          <w:rFonts w:ascii="Arial Narrow" w:hAnsi="Arial Narrow"/>
          <w:sz w:val="24"/>
          <w:szCs w:val="32"/>
        </w:rPr>
        <w:t xml:space="preserve">většiny sledovaných typů domácností se </w:t>
      </w:r>
      <w:r w:rsidRPr="007C3008">
        <w:rPr>
          <w:rFonts w:ascii="Arial Narrow" w:hAnsi="Arial Narrow"/>
          <w:sz w:val="24"/>
          <w:szCs w:val="32"/>
        </w:rPr>
        <w:t>míra ohrožení příjmovou chudobou zvedla</w:t>
      </w:r>
      <w:r w:rsidR="00BB0360" w:rsidRPr="00BB0360">
        <w:rPr>
          <w:rFonts w:ascii="Arial Narrow" w:hAnsi="Arial Narrow"/>
          <w:sz w:val="24"/>
          <w:szCs w:val="32"/>
        </w:rPr>
        <w:t>.</w:t>
      </w:r>
      <w:r w:rsidR="00BB0360">
        <w:rPr>
          <w:rFonts w:ascii="Arial Narrow" w:hAnsi="Arial Narrow"/>
          <w:sz w:val="24"/>
          <w:szCs w:val="32"/>
        </w:rPr>
        <w:t xml:space="preserve"> </w:t>
      </w:r>
      <w:r w:rsidR="00DB4984" w:rsidRPr="007C3008">
        <w:rPr>
          <w:rFonts w:ascii="Arial Narrow" w:hAnsi="Arial Narrow"/>
          <w:sz w:val="24"/>
          <w:szCs w:val="32"/>
        </w:rPr>
        <w:t xml:space="preserve">Nejvíce ohrožené jsou neúplné rodiny s dětmi, tedy takové rodiny, kde žije pouze jeden rodič s jedním nebo více dětmi. U tohoto typu domácnosti došlo </w:t>
      </w:r>
      <w:r w:rsidR="00847307">
        <w:rPr>
          <w:rFonts w:ascii="Arial Narrow" w:hAnsi="Arial Narrow"/>
          <w:sz w:val="24"/>
          <w:szCs w:val="32"/>
        </w:rPr>
        <w:t xml:space="preserve">k </w:t>
      </w:r>
      <w:r w:rsidR="00DB4984" w:rsidRPr="007C3008">
        <w:rPr>
          <w:rFonts w:ascii="Arial Narrow" w:hAnsi="Arial Narrow"/>
          <w:sz w:val="24"/>
          <w:szCs w:val="32"/>
        </w:rPr>
        <w:t>meziročnímu nárůstu ohrožení příjmovou chudobou z</w:t>
      </w:r>
      <w:r w:rsidR="00907CD0" w:rsidRPr="007C3008">
        <w:rPr>
          <w:rFonts w:ascii="Arial Narrow" w:hAnsi="Arial Narrow"/>
          <w:sz w:val="24"/>
          <w:szCs w:val="32"/>
        </w:rPr>
        <w:t> 33,0</w:t>
      </w:r>
      <w:r w:rsidR="00DB4984" w:rsidRPr="007C3008">
        <w:rPr>
          <w:rFonts w:ascii="Arial Narrow" w:hAnsi="Arial Narrow"/>
          <w:sz w:val="24"/>
          <w:szCs w:val="32"/>
        </w:rPr>
        <w:t xml:space="preserve"> % na 3</w:t>
      </w:r>
      <w:r w:rsidR="00907CD0" w:rsidRPr="007C3008">
        <w:rPr>
          <w:rFonts w:ascii="Arial Narrow" w:hAnsi="Arial Narrow"/>
          <w:sz w:val="24"/>
          <w:szCs w:val="32"/>
        </w:rPr>
        <w:t>6,3</w:t>
      </w:r>
      <w:r w:rsidRPr="007C3008">
        <w:rPr>
          <w:rFonts w:ascii="Arial Narrow" w:hAnsi="Arial Narrow"/>
          <w:sz w:val="24"/>
          <w:szCs w:val="32"/>
        </w:rPr>
        <w:t> % a zůstávají tak nejohroženější skupinou domácností.</w:t>
      </w:r>
      <w:r w:rsidR="00DB4984" w:rsidRPr="007C3008">
        <w:rPr>
          <w:rFonts w:ascii="Arial Narrow" w:hAnsi="Arial Narrow"/>
          <w:sz w:val="24"/>
          <w:szCs w:val="32"/>
        </w:rPr>
        <w:t xml:space="preserve"> </w:t>
      </w:r>
      <w:r w:rsidR="007C3008" w:rsidRPr="007C3008">
        <w:rPr>
          <w:rFonts w:ascii="Arial Narrow" w:hAnsi="Arial Narrow"/>
          <w:sz w:val="24"/>
          <w:szCs w:val="32"/>
        </w:rPr>
        <w:t>U úplných rodin s dětmi došlo rovněž k mírnému zvýšení ohrožení příjmovou chudobou (o 1,6 p. b.) a podobné zvýšení (o 1,4 p. b.) nastalo také u</w:t>
      </w:r>
      <w:r w:rsidR="00676F81">
        <w:rPr>
          <w:rFonts w:ascii="Arial Narrow" w:hAnsi="Arial Narrow"/>
          <w:sz w:val="24"/>
          <w:szCs w:val="32"/>
        </w:rPr>
        <w:t> </w:t>
      </w:r>
      <w:r w:rsidR="007C3008" w:rsidRPr="007C3008">
        <w:rPr>
          <w:rFonts w:ascii="Arial Narrow" w:hAnsi="Arial Narrow"/>
          <w:sz w:val="24"/>
          <w:szCs w:val="32"/>
        </w:rPr>
        <w:t xml:space="preserve">domácností zaměstnanců. </w:t>
      </w:r>
      <w:r w:rsidR="00DB4984" w:rsidRPr="007C3008">
        <w:rPr>
          <w:rFonts w:ascii="Arial Narrow" w:hAnsi="Arial Narrow"/>
          <w:sz w:val="24"/>
          <w:szCs w:val="32"/>
        </w:rPr>
        <w:t xml:space="preserve">Další dlouhodobě </w:t>
      </w:r>
      <w:r w:rsidR="007C3008" w:rsidRPr="007C3008">
        <w:rPr>
          <w:rFonts w:ascii="Arial Narrow" w:hAnsi="Arial Narrow"/>
          <w:sz w:val="24"/>
          <w:szCs w:val="32"/>
        </w:rPr>
        <w:t xml:space="preserve">významně </w:t>
      </w:r>
      <w:r w:rsidR="00DB4984" w:rsidRPr="007C3008">
        <w:rPr>
          <w:rFonts w:ascii="Arial Narrow" w:hAnsi="Arial Narrow"/>
          <w:sz w:val="24"/>
          <w:szCs w:val="32"/>
        </w:rPr>
        <w:t xml:space="preserve">ohroženou skupinu tvoří </w:t>
      </w:r>
      <w:r w:rsidR="00907CD0" w:rsidRPr="007C3008">
        <w:rPr>
          <w:rFonts w:ascii="Arial Narrow" w:hAnsi="Arial Narrow"/>
          <w:sz w:val="24"/>
          <w:szCs w:val="32"/>
        </w:rPr>
        <w:t xml:space="preserve">důchodci, u kterých ale došlo </w:t>
      </w:r>
      <w:r w:rsidR="007C3008" w:rsidRPr="007C3008">
        <w:rPr>
          <w:rFonts w:ascii="Arial Narrow" w:hAnsi="Arial Narrow"/>
          <w:sz w:val="24"/>
          <w:szCs w:val="32"/>
        </w:rPr>
        <w:t xml:space="preserve">v roce 2024 </w:t>
      </w:r>
      <w:r w:rsidR="00907CD0" w:rsidRPr="007C3008">
        <w:rPr>
          <w:rFonts w:ascii="Arial Narrow" w:hAnsi="Arial Narrow"/>
          <w:sz w:val="24"/>
          <w:szCs w:val="32"/>
        </w:rPr>
        <w:t>k výraznému poklesu osob ohrožených příjm</w:t>
      </w:r>
      <w:r w:rsidR="00847307">
        <w:rPr>
          <w:rFonts w:ascii="Arial Narrow" w:hAnsi="Arial Narrow"/>
          <w:sz w:val="24"/>
          <w:szCs w:val="32"/>
        </w:rPr>
        <w:t>ovou chudobou, a to z 18,9 % na </w:t>
      </w:r>
      <w:r w:rsidR="00907CD0" w:rsidRPr="007C3008">
        <w:rPr>
          <w:rFonts w:ascii="Arial Narrow" w:hAnsi="Arial Narrow"/>
          <w:sz w:val="24"/>
          <w:szCs w:val="32"/>
        </w:rPr>
        <w:t>1</w:t>
      </w:r>
      <w:r w:rsidR="00BB0360" w:rsidRPr="007C3008">
        <w:rPr>
          <w:rFonts w:ascii="Arial Narrow" w:hAnsi="Arial Narrow"/>
          <w:sz w:val="24"/>
          <w:szCs w:val="32"/>
        </w:rPr>
        <w:t>2,5 </w:t>
      </w:r>
      <w:r w:rsidR="007C3008" w:rsidRPr="007C3008">
        <w:rPr>
          <w:rFonts w:ascii="Arial Narrow" w:hAnsi="Arial Narrow"/>
          <w:sz w:val="24"/>
          <w:szCs w:val="32"/>
        </w:rPr>
        <w:t>%, právě z důvodu jejich rostoucích příjmů.</w:t>
      </w:r>
      <w:r w:rsidR="00DB4984" w:rsidRPr="007C3008">
        <w:rPr>
          <w:rFonts w:ascii="Arial Narrow" w:hAnsi="Arial Narrow"/>
          <w:sz w:val="24"/>
          <w:szCs w:val="32"/>
        </w:rPr>
        <w:t xml:space="preserve"> </w:t>
      </w:r>
    </w:p>
    <w:p w14:paraId="74671FB9" w14:textId="457C5476" w:rsidR="0036113A" w:rsidRDefault="0036113A" w:rsidP="0036113A">
      <w:pPr>
        <w:pStyle w:val="Titulek"/>
        <w:keepNext/>
        <w:jc w:val="both"/>
        <w:rPr>
          <w:lang w:val="cs-CZ"/>
        </w:rPr>
      </w:pPr>
      <w:r>
        <w:t xml:space="preserve">Graf </w:t>
      </w:r>
      <w:r w:rsidR="0019709C">
        <w:fldChar w:fldCharType="begin"/>
      </w:r>
      <w:r w:rsidR="0019709C">
        <w:instrText xml:space="preserve"> SEQ Graf \* ARABIC </w:instrText>
      </w:r>
      <w:r w:rsidR="0019709C">
        <w:fldChar w:fldCharType="separate"/>
      </w:r>
      <w:r w:rsidR="00AF6CC5">
        <w:rPr>
          <w:noProof/>
        </w:rPr>
        <w:t>11</w:t>
      </w:r>
      <w:r w:rsidR="0019709C">
        <w:rPr>
          <w:noProof/>
        </w:rPr>
        <w:fldChar w:fldCharType="end"/>
      </w:r>
      <w:r>
        <w:rPr>
          <w:lang w:val="cs-CZ"/>
        </w:rPr>
        <w:t xml:space="preserve"> Podíl </w:t>
      </w:r>
      <w:r w:rsidR="007C3008">
        <w:rPr>
          <w:lang w:val="cs-CZ"/>
        </w:rPr>
        <w:t xml:space="preserve">osob </w:t>
      </w:r>
      <w:r>
        <w:rPr>
          <w:lang w:val="cs-CZ"/>
        </w:rPr>
        <w:t xml:space="preserve">ohrožených příjmovou chudobou </w:t>
      </w:r>
      <w:r w:rsidR="007C3008">
        <w:rPr>
          <w:lang w:val="cs-CZ"/>
        </w:rPr>
        <w:t xml:space="preserve">podle vybraných typů domácností </w:t>
      </w:r>
      <w:r>
        <w:rPr>
          <w:lang w:val="cs-CZ"/>
        </w:rPr>
        <w:t>(2023 a 2024, %)</w:t>
      </w:r>
    </w:p>
    <w:p w14:paraId="4588BD0B" w14:textId="78D6AA54" w:rsidR="0036113A" w:rsidRPr="00AF6CC5" w:rsidRDefault="00AF6CC5" w:rsidP="00AF6CC5">
      <w:pPr>
        <w:rPr>
          <w:lang w:eastAsia="ar-SA"/>
        </w:rPr>
      </w:pPr>
      <w:r>
        <w:rPr>
          <w:noProof/>
          <w:lang w:eastAsia="cs-CZ"/>
        </w:rPr>
        <w:drawing>
          <wp:inline distT="0" distB="0" distL="0" distR="0" wp14:anchorId="48299712" wp14:editId="4CA2E354">
            <wp:extent cx="5759450" cy="2152650"/>
            <wp:effectExtent l="0" t="0" r="0" b="0"/>
            <wp:docPr id="15" name="Graf 15">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49FBD6E" w14:textId="22D5BB51" w:rsidR="00613C36" w:rsidRPr="000C76F4" w:rsidRDefault="00B0577A" w:rsidP="000C76F4">
      <w:pPr>
        <w:spacing w:after="240" w:line="288" w:lineRule="auto"/>
        <w:jc w:val="both"/>
        <w:rPr>
          <w:rFonts w:ascii="Arial Narrow" w:hAnsi="Arial Narrow"/>
          <w:sz w:val="24"/>
          <w:szCs w:val="32"/>
        </w:rPr>
      </w:pPr>
      <w:r w:rsidRPr="000C76F4">
        <w:rPr>
          <w:rFonts w:ascii="Arial Narrow" w:hAnsi="Arial Narrow"/>
          <w:sz w:val="24"/>
          <w:szCs w:val="32"/>
        </w:rPr>
        <w:t>V rámci mezinárodního srovnání patří Če</w:t>
      </w:r>
      <w:r w:rsidR="000C76F4" w:rsidRPr="000C76F4">
        <w:rPr>
          <w:rFonts w:ascii="Arial Narrow" w:hAnsi="Arial Narrow"/>
          <w:sz w:val="24"/>
          <w:szCs w:val="32"/>
        </w:rPr>
        <w:t xml:space="preserve">sko </w:t>
      </w:r>
      <w:r w:rsidRPr="000C76F4">
        <w:rPr>
          <w:rFonts w:ascii="Arial Narrow" w:hAnsi="Arial Narrow"/>
          <w:sz w:val="24"/>
          <w:szCs w:val="32"/>
        </w:rPr>
        <w:t xml:space="preserve">dlouhodobě mezi státy s nejnižší mírou ohrožení příjmovou chudobou. Nejnovější dostupná data jsou za rok 2023, podle kterých činí průměrná míra ohrožení příjmovou chudobou u sledovaných evropských států 16,2 %. Mezi státy s nejnižším podílem osob ohrožených příjmovou chudobou se kromě Česka řadí dále Norsko, Dánsko nebo Irsko. Naopak země s nejvyšší mírou ohrožení příjmovou chudobou </w:t>
      </w:r>
      <w:r w:rsidR="008E740B">
        <w:rPr>
          <w:rFonts w:ascii="Arial Narrow" w:hAnsi="Arial Narrow"/>
          <w:sz w:val="24"/>
          <w:szCs w:val="32"/>
        </w:rPr>
        <w:t xml:space="preserve">jsou </w:t>
      </w:r>
      <w:r w:rsidR="001A6379">
        <w:rPr>
          <w:rFonts w:ascii="Arial Narrow" w:hAnsi="Arial Narrow"/>
          <w:sz w:val="24"/>
          <w:szCs w:val="32"/>
        </w:rPr>
        <w:t>Estonsko, Lotyšsko a Rumunsko</w:t>
      </w:r>
      <w:r w:rsidRPr="001A6379">
        <w:rPr>
          <w:rFonts w:ascii="Arial Narrow" w:hAnsi="Arial Narrow"/>
          <w:sz w:val="24"/>
          <w:szCs w:val="32"/>
        </w:rPr>
        <w:t>.</w:t>
      </w:r>
      <w:bookmarkEnd w:id="0"/>
    </w:p>
    <w:p w14:paraId="7F32E2A0" w14:textId="476C7D14" w:rsidR="00613C36" w:rsidRDefault="00AF6CC5" w:rsidP="003F44CE">
      <w:pPr>
        <w:pStyle w:val="Titulek"/>
        <w:keepNext/>
      </w:pPr>
      <w:r w:rsidRPr="00E00071">
        <w:rPr>
          <w:noProof/>
          <w:lang w:val="cs-CZ" w:eastAsia="cs-CZ"/>
        </w:rPr>
        <w:drawing>
          <wp:anchor distT="0" distB="0" distL="114300" distR="114300" simplePos="0" relativeHeight="251673600" behindDoc="0" locked="0" layoutInCell="1" allowOverlap="1" wp14:anchorId="3C101290" wp14:editId="5323958E">
            <wp:simplePos x="0" y="0"/>
            <wp:positionH relativeFrom="column">
              <wp:posOffset>3532505</wp:posOffset>
            </wp:positionH>
            <wp:positionV relativeFrom="paragraph">
              <wp:posOffset>277495</wp:posOffset>
            </wp:positionV>
            <wp:extent cx="1031286" cy="108966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031286" cy="1089660"/>
                    </a:xfrm>
                    <a:prstGeom prst="rect">
                      <a:avLst/>
                    </a:prstGeom>
                  </pic:spPr>
                </pic:pic>
              </a:graphicData>
            </a:graphic>
            <wp14:sizeRelH relativeFrom="margin">
              <wp14:pctWidth>0</wp14:pctWidth>
            </wp14:sizeRelH>
            <wp14:sizeRelV relativeFrom="margin">
              <wp14:pctHeight>0</wp14:pctHeight>
            </wp14:sizeRelV>
          </wp:anchor>
        </w:drawing>
      </w:r>
      <w:r w:rsidR="00613C36">
        <w:t xml:space="preserve">Graf </w:t>
      </w:r>
      <w:r w:rsidR="0019709C">
        <w:fldChar w:fldCharType="begin"/>
      </w:r>
      <w:r w:rsidR="0019709C">
        <w:instrText xml:space="preserve"> SEQ Graf \* ARABIC </w:instrText>
      </w:r>
      <w:r w:rsidR="0019709C">
        <w:fldChar w:fldCharType="separate"/>
      </w:r>
      <w:r>
        <w:rPr>
          <w:noProof/>
        </w:rPr>
        <w:t>12</w:t>
      </w:r>
      <w:r w:rsidR="0019709C">
        <w:rPr>
          <w:noProof/>
        </w:rPr>
        <w:fldChar w:fldCharType="end"/>
      </w:r>
      <w:r w:rsidR="00613C36">
        <w:rPr>
          <w:lang w:val="cs-CZ"/>
        </w:rPr>
        <w:t xml:space="preserve"> </w:t>
      </w:r>
      <w:r w:rsidR="00613C36" w:rsidRPr="00206CDC">
        <w:rPr>
          <w:lang w:val="cs-CZ"/>
        </w:rPr>
        <w:t>Ohrožení příjmovou chudobou v Evropě (2023, %)</w:t>
      </w:r>
    </w:p>
    <w:p w14:paraId="14553396" w14:textId="27DF9539" w:rsidR="00B0577A" w:rsidRDefault="00E00071" w:rsidP="003F44CE">
      <w:pPr>
        <w:pStyle w:val="Normlnweb"/>
        <w:spacing w:before="0" w:beforeAutospacing="0" w:after="0" w:afterAutospacing="0"/>
        <w:jc w:val="center"/>
      </w:pPr>
      <w:r w:rsidRPr="00E00071">
        <w:rPr>
          <w:noProof/>
        </w:rPr>
        <w:drawing>
          <wp:inline distT="0" distB="0" distL="0" distR="0" wp14:anchorId="028FAFEE" wp14:editId="3BA65509">
            <wp:extent cx="3365128" cy="3324225"/>
            <wp:effectExtent l="0" t="0" r="698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69990" cy="3329028"/>
                    </a:xfrm>
                    <a:prstGeom prst="rect">
                      <a:avLst/>
                    </a:prstGeom>
                  </pic:spPr>
                </pic:pic>
              </a:graphicData>
            </a:graphic>
          </wp:inline>
        </w:drawing>
      </w:r>
    </w:p>
    <w:p w14:paraId="7E3DB5BD" w14:textId="7BD01839" w:rsidR="000C76F4" w:rsidRDefault="00613C36" w:rsidP="003F44CE">
      <w:pPr>
        <w:spacing w:before="120" w:after="0" w:line="240" w:lineRule="auto"/>
        <w:ind w:left="709" w:firstLine="709"/>
        <w:rPr>
          <w:rFonts w:ascii="Arial Narrow" w:hAnsi="Arial Narrow"/>
          <w:b/>
          <w:sz w:val="26"/>
          <w:szCs w:val="26"/>
        </w:rPr>
      </w:pPr>
      <w:r>
        <w:rPr>
          <w:rFonts w:ascii="Arial Narrow" w:hAnsi="Arial Narrow"/>
          <w:sz w:val="24"/>
          <w:szCs w:val="32"/>
        </w:rPr>
        <w:t xml:space="preserve">  </w:t>
      </w:r>
      <w:r w:rsidR="00804D3A">
        <w:rPr>
          <w:rFonts w:ascii="Arial Narrow" w:hAnsi="Arial Narrow"/>
          <w:sz w:val="24"/>
          <w:szCs w:val="32"/>
        </w:rPr>
        <w:t xml:space="preserve">     </w:t>
      </w:r>
      <w:r w:rsidR="005A7D7A">
        <w:rPr>
          <w:rFonts w:ascii="Arial Narrow" w:hAnsi="Arial Narrow"/>
          <w:sz w:val="24"/>
          <w:szCs w:val="32"/>
        </w:rPr>
        <w:t xml:space="preserve"> </w:t>
      </w:r>
      <w:r>
        <w:rPr>
          <w:rFonts w:ascii="Arial Narrow" w:hAnsi="Arial Narrow"/>
          <w:sz w:val="24"/>
          <w:szCs w:val="32"/>
        </w:rPr>
        <w:t xml:space="preserve"> </w:t>
      </w:r>
      <w:r w:rsidR="00BB0360" w:rsidRPr="003F44CE">
        <w:rPr>
          <w:rFonts w:ascii="Arial Narrow" w:hAnsi="Arial Narrow"/>
          <w:sz w:val="18"/>
          <w:szCs w:val="18"/>
        </w:rPr>
        <w:t xml:space="preserve">Zdroj: </w:t>
      </w:r>
      <w:r w:rsidRPr="003F44CE">
        <w:rPr>
          <w:rFonts w:ascii="Arial Narrow" w:hAnsi="Arial Narrow"/>
          <w:sz w:val="18"/>
          <w:szCs w:val="18"/>
        </w:rPr>
        <w:t>https://ec.europa.eu/eurostat/databrowser/view/tespm010/default/map?lang=en</w:t>
      </w:r>
      <w:r w:rsidR="000C76F4">
        <w:rPr>
          <w:rFonts w:ascii="Arial Narrow" w:hAnsi="Arial Narrow"/>
          <w:b/>
          <w:sz w:val="26"/>
          <w:szCs w:val="26"/>
        </w:rPr>
        <w:br w:type="page"/>
      </w:r>
    </w:p>
    <w:p w14:paraId="27E07CB6" w14:textId="4C3A939C" w:rsidR="006A53D1" w:rsidRPr="00594570" w:rsidRDefault="000C76F4" w:rsidP="000C76F4">
      <w:pPr>
        <w:spacing w:after="120" w:line="240" w:lineRule="auto"/>
        <w:rPr>
          <w:rFonts w:ascii="Arial Narrow" w:hAnsi="Arial Narrow"/>
          <w:b/>
          <w:sz w:val="26"/>
          <w:szCs w:val="26"/>
        </w:rPr>
      </w:pPr>
      <w:r>
        <w:rPr>
          <w:rFonts w:ascii="Arial Narrow" w:hAnsi="Arial Narrow"/>
          <w:b/>
          <w:sz w:val="26"/>
          <w:szCs w:val="26"/>
        </w:rPr>
        <w:t>Mí</w:t>
      </w:r>
      <w:r w:rsidR="009D005B" w:rsidRPr="001F6D2A">
        <w:rPr>
          <w:rFonts w:ascii="Arial Narrow" w:hAnsi="Arial Narrow"/>
          <w:b/>
          <w:sz w:val="26"/>
          <w:szCs w:val="26"/>
        </w:rPr>
        <w:t>ra materiální</w:t>
      </w:r>
      <w:r w:rsidR="009D005B" w:rsidRPr="00594570">
        <w:rPr>
          <w:rFonts w:ascii="Arial Narrow" w:hAnsi="Arial Narrow"/>
          <w:b/>
          <w:sz w:val="26"/>
          <w:szCs w:val="26"/>
        </w:rPr>
        <w:t xml:space="preserve"> </w:t>
      </w:r>
      <w:r w:rsidR="0024337B" w:rsidRPr="00594570">
        <w:rPr>
          <w:rFonts w:ascii="Arial Narrow" w:hAnsi="Arial Narrow"/>
          <w:b/>
          <w:sz w:val="26"/>
          <w:szCs w:val="26"/>
        </w:rPr>
        <w:t xml:space="preserve">a sociální </w:t>
      </w:r>
      <w:r w:rsidR="00C16B01" w:rsidRPr="00594570">
        <w:rPr>
          <w:rFonts w:ascii="Arial Narrow" w:hAnsi="Arial Narrow"/>
          <w:b/>
          <w:sz w:val="26"/>
          <w:szCs w:val="26"/>
        </w:rPr>
        <w:t>deprivace v roce 202</w:t>
      </w:r>
      <w:r w:rsidR="00BD57CC">
        <w:rPr>
          <w:rFonts w:ascii="Arial Narrow" w:hAnsi="Arial Narrow"/>
          <w:b/>
          <w:sz w:val="26"/>
          <w:szCs w:val="26"/>
        </w:rPr>
        <w:t>4</w:t>
      </w:r>
    </w:p>
    <w:p w14:paraId="18599054" w14:textId="24CB2AAA" w:rsidR="00B8229B" w:rsidRPr="000C76F4" w:rsidRDefault="00AA41C4" w:rsidP="00C2787D">
      <w:pPr>
        <w:spacing w:after="60" w:line="288" w:lineRule="auto"/>
        <w:jc w:val="both"/>
        <w:rPr>
          <w:rFonts w:ascii="Arial Narrow" w:hAnsi="Arial Narrow"/>
          <w:sz w:val="24"/>
          <w:szCs w:val="24"/>
        </w:rPr>
      </w:pPr>
      <w:r w:rsidRPr="000C76F4">
        <w:rPr>
          <w:rFonts w:ascii="Arial Narrow" w:hAnsi="Arial Narrow"/>
          <w:sz w:val="24"/>
          <w:szCs w:val="24"/>
        </w:rPr>
        <w:t xml:space="preserve">Indikátor materiální </w:t>
      </w:r>
      <w:r w:rsidR="00ED570D" w:rsidRPr="000C76F4">
        <w:rPr>
          <w:rFonts w:ascii="Arial Narrow" w:hAnsi="Arial Narrow"/>
          <w:sz w:val="24"/>
          <w:szCs w:val="24"/>
        </w:rPr>
        <w:t xml:space="preserve">a sociální </w:t>
      </w:r>
      <w:r w:rsidRPr="000C76F4">
        <w:rPr>
          <w:rFonts w:ascii="Arial Narrow" w:hAnsi="Arial Narrow"/>
          <w:sz w:val="24"/>
          <w:szCs w:val="24"/>
        </w:rPr>
        <w:t xml:space="preserve">deprivace udává podíl osob, </w:t>
      </w:r>
      <w:r w:rsidR="007D2B59" w:rsidRPr="000C76F4">
        <w:rPr>
          <w:rFonts w:ascii="Arial Narrow" w:hAnsi="Arial Narrow"/>
          <w:sz w:val="24"/>
          <w:szCs w:val="24"/>
        </w:rPr>
        <w:t>jejichž domácnosti</w:t>
      </w:r>
      <w:r w:rsidRPr="000C76F4">
        <w:rPr>
          <w:rFonts w:ascii="Arial Narrow" w:hAnsi="Arial Narrow"/>
          <w:sz w:val="24"/>
          <w:szCs w:val="24"/>
        </w:rPr>
        <w:t xml:space="preserve"> si nemohou </w:t>
      </w:r>
      <w:r w:rsidR="00421909" w:rsidRPr="000C76F4">
        <w:rPr>
          <w:rFonts w:ascii="Arial Narrow" w:hAnsi="Arial Narrow"/>
          <w:sz w:val="24"/>
          <w:szCs w:val="24"/>
        </w:rPr>
        <w:t xml:space="preserve">z finančních důvodů </w:t>
      </w:r>
      <w:r w:rsidRPr="000C76F4">
        <w:rPr>
          <w:rFonts w:ascii="Arial Narrow" w:hAnsi="Arial Narrow"/>
          <w:sz w:val="24"/>
          <w:szCs w:val="24"/>
        </w:rPr>
        <w:t xml:space="preserve">dovolit </w:t>
      </w:r>
      <w:r w:rsidR="00ED570D" w:rsidRPr="000C76F4">
        <w:rPr>
          <w:rFonts w:ascii="Arial Narrow" w:hAnsi="Arial Narrow"/>
          <w:sz w:val="24"/>
          <w:szCs w:val="24"/>
        </w:rPr>
        <w:t>pět</w:t>
      </w:r>
      <w:r w:rsidRPr="000C76F4">
        <w:rPr>
          <w:rFonts w:ascii="Arial Narrow" w:hAnsi="Arial Narrow"/>
          <w:sz w:val="24"/>
          <w:szCs w:val="24"/>
        </w:rPr>
        <w:t xml:space="preserve"> a více </w:t>
      </w:r>
      <w:r w:rsidR="001A54CD" w:rsidRPr="000C76F4">
        <w:rPr>
          <w:rFonts w:ascii="Arial Narrow" w:hAnsi="Arial Narrow"/>
          <w:sz w:val="24"/>
          <w:szCs w:val="24"/>
        </w:rPr>
        <w:t>z</w:t>
      </w:r>
      <w:r w:rsidR="0017469E" w:rsidRPr="000C76F4">
        <w:rPr>
          <w:rFonts w:ascii="Arial Narrow" w:hAnsi="Arial Narrow"/>
          <w:sz w:val="24"/>
          <w:szCs w:val="24"/>
        </w:rPr>
        <w:t>e</w:t>
      </w:r>
      <w:r w:rsidR="00ED570D" w:rsidRPr="000C76F4">
        <w:rPr>
          <w:rFonts w:ascii="Arial Narrow" w:hAnsi="Arial Narrow"/>
          <w:sz w:val="24"/>
          <w:szCs w:val="24"/>
        </w:rPr>
        <w:t> třinácti</w:t>
      </w:r>
      <w:r w:rsidR="00DD1829" w:rsidRPr="000C76F4">
        <w:rPr>
          <w:rFonts w:ascii="Arial Narrow" w:hAnsi="Arial Narrow"/>
          <w:sz w:val="24"/>
          <w:szCs w:val="24"/>
        </w:rPr>
        <w:t xml:space="preserve"> </w:t>
      </w:r>
      <w:r w:rsidR="00F11508" w:rsidRPr="000C76F4">
        <w:rPr>
          <w:rFonts w:ascii="Arial Narrow" w:hAnsi="Arial Narrow"/>
          <w:sz w:val="24"/>
          <w:szCs w:val="24"/>
        </w:rPr>
        <w:t xml:space="preserve">sledovaných </w:t>
      </w:r>
      <w:r w:rsidR="001A54CD" w:rsidRPr="000C76F4">
        <w:rPr>
          <w:rFonts w:ascii="Arial Narrow" w:hAnsi="Arial Narrow"/>
          <w:sz w:val="24"/>
          <w:szCs w:val="24"/>
        </w:rPr>
        <w:t>položek.</w:t>
      </w:r>
      <w:r w:rsidR="008E36DE" w:rsidRPr="000C76F4">
        <w:rPr>
          <w:rFonts w:ascii="Arial Narrow" w:hAnsi="Arial Narrow"/>
          <w:sz w:val="24"/>
          <w:szCs w:val="24"/>
        </w:rPr>
        <w:t xml:space="preserve"> Podobně jako u míry ohrožení příjmovou chudobou </w:t>
      </w:r>
      <w:r w:rsidR="00CC4602" w:rsidRPr="000C76F4">
        <w:rPr>
          <w:rFonts w:ascii="Arial Narrow" w:hAnsi="Arial Narrow"/>
          <w:sz w:val="24"/>
          <w:szCs w:val="24"/>
        </w:rPr>
        <w:t>jde</w:t>
      </w:r>
      <w:r w:rsidR="008E36DE" w:rsidRPr="000C76F4">
        <w:rPr>
          <w:rFonts w:ascii="Arial Narrow" w:hAnsi="Arial Narrow"/>
          <w:sz w:val="24"/>
          <w:szCs w:val="24"/>
        </w:rPr>
        <w:t xml:space="preserve"> o </w:t>
      </w:r>
      <w:r w:rsidR="008E36DE" w:rsidRPr="000C76F4">
        <w:rPr>
          <w:rFonts w:ascii="Arial Narrow" w:hAnsi="Arial Narrow"/>
          <w:sz w:val="24"/>
          <w:szCs w:val="32"/>
        </w:rPr>
        <w:t xml:space="preserve">indikátor, který vychází z metodiky dané </w:t>
      </w:r>
      <w:r w:rsidR="00CC4602" w:rsidRPr="000C76F4">
        <w:rPr>
          <w:rFonts w:ascii="Arial Narrow" w:hAnsi="Arial Narrow"/>
          <w:sz w:val="24"/>
          <w:szCs w:val="32"/>
        </w:rPr>
        <w:t>Eurostatem.</w:t>
      </w:r>
      <w:r w:rsidR="001A54CD" w:rsidRPr="000C76F4">
        <w:rPr>
          <w:rFonts w:ascii="Arial Narrow" w:hAnsi="Arial Narrow"/>
          <w:sz w:val="24"/>
          <w:szCs w:val="24"/>
        </w:rPr>
        <w:t xml:space="preserve"> </w:t>
      </w:r>
      <w:r w:rsidR="0024337B" w:rsidRPr="000C76F4">
        <w:rPr>
          <w:rFonts w:ascii="Arial Narrow" w:hAnsi="Arial Narrow"/>
          <w:sz w:val="24"/>
          <w:szCs w:val="24"/>
        </w:rPr>
        <w:t>V roce 20</w:t>
      </w:r>
      <w:r w:rsidR="00C16B01" w:rsidRPr="000C76F4">
        <w:rPr>
          <w:rFonts w:ascii="Arial Narrow" w:hAnsi="Arial Narrow"/>
          <w:sz w:val="24"/>
          <w:szCs w:val="24"/>
        </w:rPr>
        <w:t>2</w:t>
      </w:r>
      <w:r w:rsidR="00BD57CC" w:rsidRPr="000C76F4">
        <w:rPr>
          <w:rFonts w:ascii="Arial Narrow" w:hAnsi="Arial Narrow"/>
          <w:sz w:val="24"/>
          <w:szCs w:val="24"/>
        </w:rPr>
        <w:t>4</w:t>
      </w:r>
      <w:r w:rsidR="0024337B" w:rsidRPr="000C76F4">
        <w:rPr>
          <w:rFonts w:ascii="Arial Narrow" w:hAnsi="Arial Narrow"/>
          <w:sz w:val="24"/>
          <w:szCs w:val="24"/>
        </w:rPr>
        <w:t xml:space="preserve"> </w:t>
      </w:r>
      <w:r w:rsidR="00B52C1D" w:rsidRPr="000C76F4">
        <w:rPr>
          <w:rFonts w:ascii="Arial Narrow" w:hAnsi="Arial Narrow"/>
          <w:sz w:val="24"/>
          <w:szCs w:val="24"/>
        </w:rPr>
        <w:t xml:space="preserve">dosáhla </w:t>
      </w:r>
      <w:r w:rsidR="00F11508" w:rsidRPr="000C76F4">
        <w:rPr>
          <w:rFonts w:ascii="Arial Narrow" w:hAnsi="Arial Narrow"/>
          <w:sz w:val="24"/>
          <w:szCs w:val="24"/>
        </w:rPr>
        <w:t xml:space="preserve">tato míra </w:t>
      </w:r>
      <w:r w:rsidR="00B52C1D" w:rsidRPr="000C76F4">
        <w:rPr>
          <w:rFonts w:ascii="Arial Narrow" w:hAnsi="Arial Narrow"/>
          <w:sz w:val="24"/>
          <w:szCs w:val="24"/>
        </w:rPr>
        <w:t>hodnoty</w:t>
      </w:r>
      <w:r w:rsidR="004E3901" w:rsidRPr="000C76F4">
        <w:rPr>
          <w:rFonts w:ascii="Arial Narrow" w:hAnsi="Arial Narrow"/>
          <w:sz w:val="24"/>
          <w:szCs w:val="24"/>
        </w:rPr>
        <w:t xml:space="preserve"> 6,1</w:t>
      </w:r>
      <w:r w:rsidR="00240483" w:rsidRPr="000C76F4">
        <w:rPr>
          <w:rFonts w:ascii="Arial Narrow" w:hAnsi="Arial Narrow"/>
          <w:sz w:val="24"/>
          <w:szCs w:val="24"/>
        </w:rPr>
        <w:t xml:space="preserve"> </w:t>
      </w:r>
      <w:r w:rsidR="0024337B" w:rsidRPr="000C76F4">
        <w:rPr>
          <w:rFonts w:ascii="Arial Narrow" w:hAnsi="Arial Narrow"/>
          <w:sz w:val="24"/>
          <w:szCs w:val="24"/>
        </w:rPr>
        <w:t>%</w:t>
      </w:r>
      <w:r w:rsidR="001D47A8">
        <w:rPr>
          <w:rFonts w:ascii="Arial Narrow" w:hAnsi="Arial Narrow"/>
          <w:sz w:val="24"/>
          <w:szCs w:val="24"/>
        </w:rPr>
        <w:t xml:space="preserve">. </w:t>
      </w:r>
      <w:r w:rsidR="003E474B" w:rsidRPr="000C76F4">
        <w:rPr>
          <w:rFonts w:ascii="Arial Narrow" w:hAnsi="Arial Narrow"/>
          <w:sz w:val="24"/>
          <w:szCs w:val="24"/>
        </w:rPr>
        <w:t xml:space="preserve">Jedná </w:t>
      </w:r>
      <w:r w:rsidR="00FD3EA7" w:rsidRPr="000C76F4">
        <w:rPr>
          <w:rFonts w:ascii="Arial Narrow" w:hAnsi="Arial Narrow"/>
          <w:sz w:val="24"/>
          <w:szCs w:val="24"/>
        </w:rPr>
        <w:t>se o</w:t>
      </w:r>
      <w:r w:rsidR="00F11508" w:rsidRPr="000C76F4">
        <w:rPr>
          <w:rFonts w:ascii="Arial Narrow" w:hAnsi="Arial Narrow"/>
          <w:sz w:val="24"/>
          <w:szCs w:val="24"/>
        </w:rPr>
        <w:t> </w:t>
      </w:r>
      <w:r w:rsidR="00FD3EA7" w:rsidRPr="000C76F4">
        <w:rPr>
          <w:rFonts w:ascii="Arial Narrow" w:hAnsi="Arial Narrow"/>
          <w:sz w:val="24"/>
          <w:szCs w:val="24"/>
        </w:rPr>
        <w:t>měření podle metodiky</w:t>
      </w:r>
      <w:r w:rsidR="00B52C1D" w:rsidRPr="000C76F4">
        <w:rPr>
          <w:rFonts w:ascii="Arial Narrow" w:hAnsi="Arial Narrow"/>
          <w:sz w:val="24"/>
          <w:szCs w:val="24"/>
        </w:rPr>
        <w:t>, kter</w:t>
      </w:r>
      <w:r w:rsidR="00B46AFB" w:rsidRPr="000C76F4">
        <w:rPr>
          <w:rFonts w:ascii="Arial Narrow" w:hAnsi="Arial Narrow"/>
          <w:sz w:val="24"/>
          <w:szCs w:val="24"/>
        </w:rPr>
        <w:t>á</w:t>
      </w:r>
      <w:r w:rsidR="00B52C1D" w:rsidRPr="000C76F4">
        <w:rPr>
          <w:rFonts w:ascii="Arial Narrow" w:hAnsi="Arial Narrow"/>
          <w:sz w:val="24"/>
          <w:szCs w:val="24"/>
        </w:rPr>
        <w:t xml:space="preserve"> </w:t>
      </w:r>
      <w:r w:rsidR="00F11508" w:rsidRPr="000C76F4">
        <w:rPr>
          <w:rFonts w:ascii="Arial Narrow" w:hAnsi="Arial Narrow"/>
          <w:sz w:val="24"/>
          <w:szCs w:val="24"/>
        </w:rPr>
        <w:t xml:space="preserve">posuzuje nejen </w:t>
      </w:r>
      <w:r w:rsidR="00052267" w:rsidRPr="000C76F4">
        <w:rPr>
          <w:rFonts w:ascii="Arial Narrow" w:hAnsi="Arial Narrow"/>
          <w:sz w:val="24"/>
          <w:szCs w:val="24"/>
        </w:rPr>
        <w:t>materiální položk</w:t>
      </w:r>
      <w:r w:rsidR="00C16B01" w:rsidRPr="000C76F4">
        <w:rPr>
          <w:rFonts w:ascii="Arial Narrow" w:hAnsi="Arial Narrow"/>
          <w:sz w:val="24"/>
          <w:szCs w:val="24"/>
        </w:rPr>
        <w:t>y</w:t>
      </w:r>
      <w:r w:rsidR="00F11508" w:rsidRPr="000C76F4">
        <w:rPr>
          <w:rFonts w:ascii="Arial Narrow" w:hAnsi="Arial Narrow"/>
          <w:sz w:val="24"/>
          <w:szCs w:val="24"/>
        </w:rPr>
        <w:t xml:space="preserve">, ale i </w:t>
      </w:r>
      <w:r w:rsidR="003E474B" w:rsidRPr="000C76F4">
        <w:rPr>
          <w:rFonts w:ascii="Arial Narrow" w:hAnsi="Arial Narrow"/>
          <w:sz w:val="24"/>
          <w:szCs w:val="24"/>
        </w:rPr>
        <w:t>sociální prvk</w:t>
      </w:r>
      <w:r w:rsidR="00C16B01" w:rsidRPr="000C76F4">
        <w:rPr>
          <w:rFonts w:ascii="Arial Narrow" w:hAnsi="Arial Narrow"/>
          <w:sz w:val="24"/>
          <w:szCs w:val="24"/>
        </w:rPr>
        <w:t>y</w:t>
      </w:r>
      <w:r w:rsidR="003E474B" w:rsidRPr="000C76F4">
        <w:rPr>
          <w:rFonts w:ascii="Arial Narrow" w:hAnsi="Arial Narrow"/>
          <w:sz w:val="24"/>
          <w:szCs w:val="24"/>
        </w:rPr>
        <w:t xml:space="preserve"> života</w:t>
      </w:r>
      <w:r w:rsidR="00DE5642" w:rsidRPr="000C76F4">
        <w:rPr>
          <w:rFonts w:ascii="Arial Narrow" w:hAnsi="Arial Narrow"/>
          <w:sz w:val="24"/>
          <w:szCs w:val="24"/>
        </w:rPr>
        <w:t xml:space="preserve"> (</w:t>
      </w:r>
      <w:r w:rsidR="00F11508" w:rsidRPr="000C76F4">
        <w:rPr>
          <w:rFonts w:ascii="Arial Narrow" w:hAnsi="Arial Narrow"/>
          <w:sz w:val="24"/>
          <w:szCs w:val="24"/>
        </w:rPr>
        <w:t>jako je v</w:t>
      </w:r>
      <w:r w:rsidR="003E474B" w:rsidRPr="000C76F4">
        <w:rPr>
          <w:rFonts w:ascii="Arial Narrow" w:hAnsi="Arial Narrow"/>
          <w:sz w:val="24"/>
          <w:szCs w:val="24"/>
        </w:rPr>
        <w:t>olnočasová aktivita, kontakt s</w:t>
      </w:r>
      <w:r w:rsidR="00DE5642" w:rsidRPr="000C76F4">
        <w:rPr>
          <w:rFonts w:ascii="Arial Narrow" w:hAnsi="Arial Narrow"/>
          <w:sz w:val="24"/>
          <w:szCs w:val="24"/>
        </w:rPr>
        <w:t> </w:t>
      </w:r>
      <w:r w:rsidR="003E474B" w:rsidRPr="000C76F4">
        <w:rPr>
          <w:rFonts w:ascii="Arial Narrow" w:hAnsi="Arial Narrow"/>
          <w:sz w:val="24"/>
          <w:szCs w:val="24"/>
        </w:rPr>
        <w:t>přáteli</w:t>
      </w:r>
      <w:r w:rsidR="00DE5642" w:rsidRPr="000C76F4">
        <w:rPr>
          <w:rFonts w:ascii="Arial Narrow" w:hAnsi="Arial Narrow"/>
          <w:sz w:val="24"/>
          <w:szCs w:val="24"/>
        </w:rPr>
        <w:t xml:space="preserve"> či</w:t>
      </w:r>
      <w:r w:rsidR="003E474B" w:rsidRPr="000C76F4">
        <w:rPr>
          <w:rFonts w:ascii="Arial Narrow" w:hAnsi="Arial Narrow"/>
          <w:sz w:val="24"/>
          <w:szCs w:val="24"/>
        </w:rPr>
        <w:t xml:space="preserve"> útrata pro sebe</w:t>
      </w:r>
      <w:r w:rsidR="00DE5642" w:rsidRPr="000C76F4">
        <w:rPr>
          <w:rFonts w:ascii="Arial Narrow" w:hAnsi="Arial Narrow"/>
          <w:sz w:val="24"/>
          <w:szCs w:val="24"/>
        </w:rPr>
        <w:t>)</w:t>
      </w:r>
      <w:r w:rsidR="00D9342F" w:rsidRPr="000C76F4">
        <w:rPr>
          <w:rFonts w:ascii="Arial Narrow" w:hAnsi="Arial Narrow"/>
          <w:sz w:val="24"/>
          <w:szCs w:val="24"/>
        </w:rPr>
        <w:t>.</w:t>
      </w:r>
      <w:r w:rsidR="00756F7C" w:rsidRPr="000C76F4">
        <w:rPr>
          <w:rFonts w:ascii="Arial Narrow" w:hAnsi="Arial Narrow"/>
          <w:sz w:val="24"/>
          <w:szCs w:val="24"/>
        </w:rPr>
        <w:t xml:space="preserve"> </w:t>
      </w:r>
      <w:r w:rsidR="006B49FA" w:rsidRPr="000C76F4">
        <w:rPr>
          <w:rFonts w:ascii="Arial Narrow" w:hAnsi="Arial Narrow"/>
          <w:sz w:val="24"/>
          <w:szCs w:val="24"/>
        </w:rPr>
        <w:t xml:space="preserve">Téměř </w:t>
      </w:r>
      <w:r w:rsidR="00431129" w:rsidRPr="000C76F4">
        <w:rPr>
          <w:rFonts w:ascii="Arial Narrow" w:hAnsi="Arial Narrow"/>
          <w:sz w:val="24"/>
          <w:szCs w:val="24"/>
        </w:rPr>
        <w:t>tři čtvrtiny</w:t>
      </w:r>
      <w:r w:rsidR="00756F7C" w:rsidRPr="000C76F4">
        <w:rPr>
          <w:rFonts w:ascii="Arial Narrow" w:hAnsi="Arial Narrow"/>
          <w:sz w:val="24"/>
          <w:szCs w:val="24"/>
        </w:rPr>
        <w:t xml:space="preserve"> </w:t>
      </w:r>
      <w:r w:rsidR="00431129" w:rsidRPr="000C76F4">
        <w:rPr>
          <w:rFonts w:ascii="Arial Narrow" w:hAnsi="Arial Narrow"/>
          <w:sz w:val="24"/>
          <w:szCs w:val="24"/>
        </w:rPr>
        <w:t xml:space="preserve">(73,8 %) </w:t>
      </w:r>
      <w:r w:rsidR="00756F7C" w:rsidRPr="000C76F4">
        <w:rPr>
          <w:rFonts w:ascii="Arial Narrow" w:hAnsi="Arial Narrow"/>
          <w:sz w:val="24"/>
          <w:szCs w:val="24"/>
        </w:rPr>
        <w:t xml:space="preserve">respondentů </w:t>
      </w:r>
      <w:r w:rsidR="00DE5642" w:rsidRPr="000C76F4">
        <w:rPr>
          <w:rFonts w:ascii="Arial Narrow" w:hAnsi="Arial Narrow"/>
          <w:sz w:val="24"/>
          <w:szCs w:val="24"/>
        </w:rPr>
        <w:t xml:space="preserve">přitom </w:t>
      </w:r>
      <w:r w:rsidR="00756F7C" w:rsidRPr="000C76F4">
        <w:rPr>
          <w:rFonts w:ascii="Arial Narrow" w:hAnsi="Arial Narrow"/>
          <w:sz w:val="24"/>
          <w:szCs w:val="24"/>
        </w:rPr>
        <w:t>nebyly deprivovány ani jednou položkou.</w:t>
      </w:r>
      <w:r w:rsidR="00C2787D">
        <w:rPr>
          <w:rFonts w:ascii="Arial Narrow" w:hAnsi="Arial Narrow"/>
          <w:sz w:val="24"/>
          <w:szCs w:val="24"/>
        </w:rPr>
        <w:t xml:space="preserve"> </w:t>
      </w:r>
      <w:r w:rsidR="000C76F4" w:rsidRPr="000C76F4">
        <w:rPr>
          <w:rFonts w:ascii="Arial Narrow" w:hAnsi="Arial Narrow"/>
          <w:sz w:val="24"/>
          <w:szCs w:val="32"/>
        </w:rPr>
        <w:t>Nejčastěji si domácnosti nemohly dovolit pořídit nový nábytek za opotřebovaný</w:t>
      </w:r>
      <w:r w:rsidR="000C76F4">
        <w:rPr>
          <w:rFonts w:ascii="Arial Narrow" w:hAnsi="Arial Narrow"/>
          <w:sz w:val="24"/>
          <w:szCs w:val="32"/>
        </w:rPr>
        <w:t xml:space="preserve"> (27,8 %)</w:t>
      </w:r>
      <w:r w:rsidR="000C76F4" w:rsidRPr="000C76F4">
        <w:rPr>
          <w:rFonts w:ascii="Arial Narrow" w:hAnsi="Arial Narrow"/>
          <w:sz w:val="24"/>
          <w:szCs w:val="32"/>
        </w:rPr>
        <w:t>, zaplatit neočekávaný výdaj ve výši 15 600 Kč</w:t>
      </w:r>
      <w:r w:rsidR="000C76F4">
        <w:rPr>
          <w:rFonts w:ascii="Arial Narrow" w:hAnsi="Arial Narrow"/>
          <w:sz w:val="24"/>
          <w:szCs w:val="32"/>
        </w:rPr>
        <w:t xml:space="preserve"> </w:t>
      </w:r>
      <w:r w:rsidR="001D47A8">
        <w:rPr>
          <w:rFonts w:ascii="Arial Narrow" w:hAnsi="Arial Narrow"/>
          <w:sz w:val="24"/>
          <w:szCs w:val="32"/>
        </w:rPr>
        <w:t xml:space="preserve">(19,2 %) </w:t>
      </w:r>
      <w:r w:rsidR="000C76F4">
        <w:rPr>
          <w:rFonts w:ascii="Arial Narrow" w:hAnsi="Arial Narrow"/>
          <w:sz w:val="24"/>
          <w:szCs w:val="32"/>
        </w:rPr>
        <w:t>nebo</w:t>
      </w:r>
      <w:r w:rsidR="000C76F4" w:rsidRPr="000C76F4">
        <w:rPr>
          <w:rFonts w:ascii="Arial Narrow" w:hAnsi="Arial Narrow"/>
          <w:sz w:val="24"/>
          <w:szCs w:val="32"/>
        </w:rPr>
        <w:t xml:space="preserve"> týdenní dovolenou pro všechny členy domácnosti</w:t>
      </w:r>
      <w:r w:rsidR="000C76F4">
        <w:rPr>
          <w:rFonts w:ascii="Arial Narrow" w:hAnsi="Arial Narrow"/>
          <w:sz w:val="24"/>
          <w:szCs w:val="32"/>
        </w:rPr>
        <w:t xml:space="preserve"> (18,5 %)</w:t>
      </w:r>
      <w:r w:rsidR="000C76F4" w:rsidRPr="000C76F4">
        <w:rPr>
          <w:rFonts w:ascii="Arial Narrow" w:hAnsi="Arial Narrow"/>
          <w:sz w:val="24"/>
          <w:szCs w:val="32"/>
        </w:rPr>
        <w:t xml:space="preserve">. </w:t>
      </w:r>
    </w:p>
    <w:p w14:paraId="08619F7A" w14:textId="2F52FA7D" w:rsidR="00613C36" w:rsidRPr="000C76F4" w:rsidRDefault="00613C36" w:rsidP="00613C36">
      <w:pPr>
        <w:pStyle w:val="Titulek"/>
        <w:keepNext/>
        <w:divId w:val="1016074479"/>
      </w:pPr>
      <w:r w:rsidRPr="000C76F4">
        <w:t xml:space="preserve">Tab. </w:t>
      </w:r>
      <w:r w:rsidR="0019709C">
        <w:fldChar w:fldCharType="begin"/>
      </w:r>
      <w:r w:rsidR="0019709C">
        <w:instrText xml:space="preserve"> SEQ Tab. \* ARABIC </w:instrText>
      </w:r>
      <w:r w:rsidR="0019709C">
        <w:fldChar w:fldCharType="separate"/>
      </w:r>
      <w:r w:rsidRPr="000C76F4">
        <w:rPr>
          <w:noProof/>
        </w:rPr>
        <w:t>2</w:t>
      </w:r>
      <w:r w:rsidR="0019709C">
        <w:rPr>
          <w:noProof/>
        </w:rPr>
        <w:fldChar w:fldCharType="end"/>
      </w:r>
      <w:r w:rsidRPr="000C76F4">
        <w:rPr>
          <w:lang w:val="cs-CZ"/>
        </w:rPr>
        <w:t xml:space="preserve"> Podíl osob v domácnostech, které si v roce 2023 a 2024 nemohly dovolit z finančních důvodů danou položku (%)</w:t>
      </w:r>
    </w:p>
    <w:tbl>
      <w:tblPr>
        <w:tblW w:w="8565" w:type="dxa"/>
        <w:tblCellMar>
          <w:left w:w="70" w:type="dxa"/>
          <w:right w:w="70" w:type="dxa"/>
        </w:tblCellMar>
        <w:tblLook w:val="04A0" w:firstRow="1" w:lastRow="0" w:firstColumn="1" w:lastColumn="0" w:noHBand="0" w:noVBand="1"/>
      </w:tblPr>
      <w:tblGrid>
        <w:gridCol w:w="4253"/>
        <w:gridCol w:w="2156"/>
        <w:gridCol w:w="2156"/>
      </w:tblGrid>
      <w:tr w:rsidR="00B8229B" w:rsidRPr="000C76F4" w14:paraId="3CE62DB1" w14:textId="77777777" w:rsidTr="00B8229B">
        <w:trPr>
          <w:divId w:val="1016074479"/>
          <w:trHeight w:val="315"/>
        </w:trPr>
        <w:tc>
          <w:tcPr>
            <w:tcW w:w="4253" w:type="dxa"/>
            <w:tcBorders>
              <w:top w:val="single" w:sz="8" w:space="0" w:color="000000"/>
              <w:left w:val="nil"/>
              <w:bottom w:val="single" w:sz="8" w:space="0" w:color="000000"/>
              <w:right w:val="single" w:sz="4" w:space="0" w:color="auto"/>
            </w:tcBorders>
            <w:shd w:val="clear" w:color="auto" w:fill="auto"/>
            <w:noWrap/>
            <w:vAlign w:val="center"/>
            <w:hideMark/>
          </w:tcPr>
          <w:p w14:paraId="27D97158" w14:textId="7CA67168" w:rsidR="00B8229B" w:rsidRPr="000C76F4" w:rsidRDefault="00B8229B" w:rsidP="00B8229B">
            <w:pPr>
              <w:spacing w:after="0" w:line="240" w:lineRule="auto"/>
              <w:jc w:val="center"/>
              <w:rPr>
                <w:rFonts w:ascii="Arial" w:eastAsia="Times New Roman" w:hAnsi="Arial" w:cs="Arial"/>
                <w:b/>
                <w:bCs/>
                <w:sz w:val="18"/>
                <w:szCs w:val="18"/>
                <w:lang w:eastAsia="cs-CZ"/>
              </w:rPr>
            </w:pPr>
            <w:r w:rsidRPr="000C76F4">
              <w:rPr>
                <w:rFonts w:ascii="Arial" w:eastAsia="Times New Roman" w:hAnsi="Arial" w:cs="Arial"/>
                <w:b/>
                <w:bCs/>
                <w:sz w:val="18"/>
                <w:szCs w:val="18"/>
                <w:lang w:eastAsia="cs-CZ"/>
              </w:rPr>
              <w:t> </w:t>
            </w:r>
          </w:p>
        </w:tc>
        <w:tc>
          <w:tcPr>
            <w:tcW w:w="2156" w:type="dxa"/>
            <w:tcBorders>
              <w:top w:val="single" w:sz="8" w:space="0" w:color="000000"/>
              <w:left w:val="nil"/>
              <w:bottom w:val="single" w:sz="8" w:space="0" w:color="000000"/>
              <w:right w:val="single" w:sz="4" w:space="0" w:color="auto"/>
            </w:tcBorders>
            <w:shd w:val="clear" w:color="auto" w:fill="auto"/>
            <w:noWrap/>
            <w:vAlign w:val="center"/>
            <w:hideMark/>
          </w:tcPr>
          <w:p w14:paraId="5BDE06D9" w14:textId="77777777" w:rsidR="00B8229B" w:rsidRPr="000C76F4" w:rsidRDefault="00B8229B" w:rsidP="00B8229B">
            <w:pPr>
              <w:spacing w:after="0" w:line="240" w:lineRule="auto"/>
              <w:jc w:val="center"/>
              <w:rPr>
                <w:rFonts w:ascii="Arial" w:eastAsia="Times New Roman" w:hAnsi="Arial" w:cs="Arial"/>
                <w:b/>
                <w:bCs/>
                <w:sz w:val="18"/>
                <w:szCs w:val="18"/>
                <w:lang w:eastAsia="cs-CZ"/>
              </w:rPr>
            </w:pPr>
            <w:r w:rsidRPr="000C76F4">
              <w:rPr>
                <w:rFonts w:ascii="Arial" w:eastAsia="Times New Roman" w:hAnsi="Arial" w:cs="Arial"/>
                <w:b/>
                <w:bCs/>
                <w:sz w:val="18"/>
                <w:szCs w:val="18"/>
                <w:lang w:eastAsia="cs-CZ"/>
              </w:rPr>
              <w:t>2023</w:t>
            </w:r>
          </w:p>
        </w:tc>
        <w:tc>
          <w:tcPr>
            <w:tcW w:w="2156" w:type="dxa"/>
            <w:tcBorders>
              <w:top w:val="single" w:sz="8" w:space="0" w:color="000000"/>
              <w:left w:val="nil"/>
              <w:bottom w:val="single" w:sz="8" w:space="0" w:color="000000"/>
              <w:right w:val="nil"/>
            </w:tcBorders>
            <w:shd w:val="clear" w:color="auto" w:fill="auto"/>
            <w:noWrap/>
            <w:vAlign w:val="center"/>
            <w:hideMark/>
          </w:tcPr>
          <w:p w14:paraId="6FB9906A" w14:textId="77777777" w:rsidR="00B8229B" w:rsidRPr="000C76F4" w:rsidRDefault="00B8229B" w:rsidP="00B8229B">
            <w:pPr>
              <w:spacing w:after="0" w:line="240" w:lineRule="auto"/>
              <w:jc w:val="center"/>
              <w:rPr>
                <w:rFonts w:ascii="Arial" w:eastAsia="Times New Roman" w:hAnsi="Arial" w:cs="Arial"/>
                <w:b/>
                <w:bCs/>
                <w:sz w:val="18"/>
                <w:szCs w:val="18"/>
                <w:lang w:eastAsia="cs-CZ"/>
              </w:rPr>
            </w:pPr>
            <w:r w:rsidRPr="000C76F4">
              <w:rPr>
                <w:rFonts w:ascii="Arial" w:eastAsia="Times New Roman" w:hAnsi="Arial" w:cs="Arial"/>
                <w:b/>
                <w:bCs/>
                <w:sz w:val="18"/>
                <w:szCs w:val="18"/>
                <w:lang w:eastAsia="cs-CZ"/>
              </w:rPr>
              <w:t>2024</w:t>
            </w:r>
          </w:p>
        </w:tc>
      </w:tr>
      <w:tr w:rsidR="00B8229B" w:rsidRPr="000C76F4" w14:paraId="7C52918F"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6573AA74" w14:textId="77777777" w:rsidR="00B8229B" w:rsidRPr="000C76F4" w:rsidRDefault="00B8229B" w:rsidP="00B8229B">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Pořizovat nový nábytek za opotřebovaný</w:t>
            </w:r>
          </w:p>
        </w:tc>
        <w:tc>
          <w:tcPr>
            <w:tcW w:w="2156" w:type="dxa"/>
            <w:tcBorders>
              <w:top w:val="nil"/>
              <w:left w:val="nil"/>
              <w:bottom w:val="nil"/>
              <w:right w:val="single" w:sz="4" w:space="0" w:color="auto"/>
            </w:tcBorders>
            <w:shd w:val="clear" w:color="auto" w:fill="auto"/>
            <w:noWrap/>
            <w:vAlign w:val="bottom"/>
            <w:hideMark/>
          </w:tcPr>
          <w:p w14:paraId="215F051A"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30,0</w:t>
            </w:r>
          </w:p>
        </w:tc>
        <w:tc>
          <w:tcPr>
            <w:tcW w:w="2156" w:type="dxa"/>
            <w:tcBorders>
              <w:top w:val="nil"/>
              <w:left w:val="nil"/>
              <w:bottom w:val="nil"/>
              <w:right w:val="nil"/>
            </w:tcBorders>
            <w:shd w:val="clear" w:color="auto" w:fill="auto"/>
            <w:noWrap/>
            <w:vAlign w:val="bottom"/>
            <w:hideMark/>
          </w:tcPr>
          <w:p w14:paraId="55536B92"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27,8</w:t>
            </w:r>
          </w:p>
        </w:tc>
      </w:tr>
      <w:tr w:rsidR="00B8229B" w:rsidRPr="000C76F4" w14:paraId="2ED67E53"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06A70CC5" w14:textId="080CE727" w:rsidR="00B8229B" w:rsidRPr="000C76F4" w:rsidRDefault="00613C36" w:rsidP="00613C36">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Neočekávaný výdaj ve výši 14 100</w:t>
            </w:r>
            <w:r w:rsidR="00B8229B" w:rsidRPr="000C76F4">
              <w:rPr>
                <w:rFonts w:ascii="Arial" w:eastAsia="Times New Roman" w:hAnsi="Arial" w:cs="Arial"/>
                <w:color w:val="000000"/>
                <w:sz w:val="18"/>
                <w:szCs w:val="18"/>
                <w:lang w:eastAsia="cs-CZ"/>
              </w:rPr>
              <w:t xml:space="preserve"> </w:t>
            </w:r>
            <w:r w:rsidRPr="000C76F4">
              <w:rPr>
                <w:rFonts w:ascii="Arial" w:eastAsia="Times New Roman" w:hAnsi="Arial" w:cs="Arial"/>
                <w:color w:val="000000"/>
                <w:sz w:val="18"/>
                <w:szCs w:val="18"/>
                <w:lang w:eastAsia="cs-CZ"/>
              </w:rPr>
              <w:t xml:space="preserve">(15 600) </w:t>
            </w:r>
            <w:r w:rsidR="00B8229B" w:rsidRPr="000C76F4">
              <w:rPr>
                <w:rFonts w:ascii="Arial" w:eastAsia="Times New Roman" w:hAnsi="Arial" w:cs="Arial"/>
                <w:color w:val="000000"/>
                <w:sz w:val="18"/>
                <w:szCs w:val="18"/>
                <w:lang w:eastAsia="cs-CZ"/>
              </w:rPr>
              <w:t>Kč</w:t>
            </w:r>
          </w:p>
        </w:tc>
        <w:tc>
          <w:tcPr>
            <w:tcW w:w="2156" w:type="dxa"/>
            <w:tcBorders>
              <w:top w:val="nil"/>
              <w:left w:val="nil"/>
              <w:bottom w:val="nil"/>
              <w:right w:val="single" w:sz="4" w:space="0" w:color="auto"/>
            </w:tcBorders>
            <w:shd w:val="clear" w:color="auto" w:fill="auto"/>
            <w:noWrap/>
            <w:vAlign w:val="bottom"/>
            <w:hideMark/>
          </w:tcPr>
          <w:p w14:paraId="51A191BF"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19,7</w:t>
            </w:r>
          </w:p>
        </w:tc>
        <w:tc>
          <w:tcPr>
            <w:tcW w:w="2156" w:type="dxa"/>
            <w:tcBorders>
              <w:top w:val="nil"/>
              <w:left w:val="nil"/>
              <w:bottom w:val="nil"/>
              <w:right w:val="nil"/>
            </w:tcBorders>
            <w:shd w:val="clear" w:color="auto" w:fill="auto"/>
            <w:noWrap/>
            <w:vAlign w:val="bottom"/>
            <w:hideMark/>
          </w:tcPr>
          <w:p w14:paraId="3E611E5C"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19,2</w:t>
            </w:r>
          </w:p>
        </w:tc>
      </w:tr>
      <w:tr w:rsidR="00B8229B" w:rsidRPr="000C76F4" w14:paraId="78DC5F64"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75B8F3E4" w14:textId="77777777" w:rsidR="00B8229B" w:rsidRPr="000C76F4" w:rsidRDefault="00B8229B" w:rsidP="00B8229B">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Týdenní dovolená</w:t>
            </w:r>
          </w:p>
        </w:tc>
        <w:tc>
          <w:tcPr>
            <w:tcW w:w="2156" w:type="dxa"/>
            <w:tcBorders>
              <w:top w:val="nil"/>
              <w:left w:val="nil"/>
              <w:bottom w:val="nil"/>
              <w:right w:val="single" w:sz="4" w:space="0" w:color="auto"/>
            </w:tcBorders>
            <w:shd w:val="clear" w:color="auto" w:fill="auto"/>
            <w:noWrap/>
            <w:vAlign w:val="bottom"/>
            <w:hideMark/>
          </w:tcPr>
          <w:p w14:paraId="53716571"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20,3</w:t>
            </w:r>
          </w:p>
        </w:tc>
        <w:tc>
          <w:tcPr>
            <w:tcW w:w="2156" w:type="dxa"/>
            <w:tcBorders>
              <w:top w:val="nil"/>
              <w:left w:val="nil"/>
              <w:bottom w:val="nil"/>
              <w:right w:val="nil"/>
            </w:tcBorders>
            <w:shd w:val="clear" w:color="auto" w:fill="auto"/>
            <w:noWrap/>
            <w:vAlign w:val="bottom"/>
            <w:hideMark/>
          </w:tcPr>
          <w:p w14:paraId="404D8461"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18,5</w:t>
            </w:r>
          </w:p>
        </w:tc>
      </w:tr>
      <w:tr w:rsidR="00B8229B" w:rsidRPr="000C76F4" w14:paraId="0DC43DE1"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39447D95" w14:textId="77777777" w:rsidR="00B8229B" w:rsidRPr="000C76F4" w:rsidRDefault="00B8229B" w:rsidP="00B8229B">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Jíst maso, ryby, drůbež, obden</w:t>
            </w:r>
          </w:p>
        </w:tc>
        <w:tc>
          <w:tcPr>
            <w:tcW w:w="2156" w:type="dxa"/>
            <w:tcBorders>
              <w:top w:val="nil"/>
              <w:left w:val="nil"/>
              <w:bottom w:val="nil"/>
              <w:right w:val="single" w:sz="4" w:space="0" w:color="auto"/>
            </w:tcBorders>
            <w:shd w:val="clear" w:color="auto" w:fill="auto"/>
            <w:noWrap/>
            <w:vAlign w:val="bottom"/>
            <w:hideMark/>
          </w:tcPr>
          <w:p w14:paraId="13929985"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6,9</w:t>
            </w:r>
          </w:p>
        </w:tc>
        <w:tc>
          <w:tcPr>
            <w:tcW w:w="2156" w:type="dxa"/>
            <w:tcBorders>
              <w:top w:val="nil"/>
              <w:left w:val="nil"/>
              <w:bottom w:val="nil"/>
              <w:right w:val="nil"/>
            </w:tcBorders>
            <w:shd w:val="clear" w:color="auto" w:fill="auto"/>
            <w:noWrap/>
            <w:vAlign w:val="bottom"/>
            <w:hideMark/>
          </w:tcPr>
          <w:p w14:paraId="7A18355E"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6,2</w:t>
            </w:r>
          </w:p>
        </w:tc>
      </w:tr>
      <w:tr w:rsidR="00B8229B" w:rsidRPr="000C76F4" w14:paraId="1AB31BEC"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3C86956A" w14:textId="77777777" w:rsidR="00B8229B" w:rsidRPr="000C76F4" w:rsidRDefault="00B8229B" w:rsidP="00B8229B">
            <w:pPr>
              <w:spacing w:after="0" w:line="240" w:lineRule="auto"/>
              <w:ind w:firstLineChars="100" w:firstLine="180"/>
              <w:rPr>
                <w:rFonts w:ascii="Arial" w:eastAsia="Times New Roman" w:hAnsi="Arial" w:cs="Arial"/>
                <w:sz w:val="18"/>
                <w:szCs w:val="18"/>
                <w:lang w:eastAsia="cs-CZ"/>
              </w:rPr>
            </w:pPr>
            <w:r w:rsidRPr="000C76F4">
              <w:rPr>
                <w:rFonts w:ascii="Arial" w:eastAsia="Times New Roman" w:hAnsi="Arial" w:cs="Arial"/>
                <w:sz w:val="18"/>
                <w:szCs w:val="18"/>
                <w:lang w:eastAsia="cs-CZ"/>
              </w:rPr>
              <w:t>Útrata pro sebe každý týden</w:t>
            </w:r>
          </w:p>
        </w:tc>
        <w:tc>
          <w:tcPr>
            <w:tcW w:w="2156" w:type="dxa"/>
            <w:tcBorders>
              <w:top w:val="nil"/>
              <w:left w:val="nil"/>
              <w:bottom w:val="nil"/>
              <w:right w:val="single" w:sz="4" w:space="0" w:color="auto"/>
            </w:tcBorders>
            <w:shd w:val="clear" w:color="auto" w:fill="auto"/>
            <w:noWrap/>
            <w:vAlign w:val="bottom"/>
            <w:hideMark/>
          </w:tcPr>
          <w:p w14:paraId="121ED196"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5,8</w:t>
            </w:r>
          </w:p>
        </w:tc>
        <w:tc>
          <w:tcPr>
            <w:tcW w:w="2156" w:type="dxa"/>
            <w:tcBorders>
              <w:top w:val="nil"/>
              <w:left w:val="nil"/>
              <w:bottom w:val="nil"/>
              <w:right w:val="nil"/>
            </w:tcBorders>
            <w:shd w:val="clear" w:color="auto" w:fill="auto"/>
            <w:noWrap/>
            <w:vAlign w:val="bottom"/>
            <w:hideMark/>
          </w:tcPr>
          <w:p w14:paraId="435B254F"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5,4</w:t>
            </w:r>
          </w:p>
        </w:tc>
      </w:tr>
      <w:tr w:rsidR="00B8229B" w:rsidRPr="000C76F4" w14:paraId="74321DC2"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6442E681" w14:textId="77777777" w:rsidR="00B8229B" w:rsidRPr="000C76F4" w:rsidRDefault="00B8229B" w:rsidP="00B8229B">
            <w:pPr>
              <w:spacing w:after="0" w:line="240" w:lineRule="auto"/>
              <w:ind w:firstLineChars="100" w:firstLine="180"/>
              <w:rPr>
                <w:rFonts w:ascii="Arial" w:eastAsia="Times New Roman" w:hAnsi="Arial" w:cs="Arial"/>
                <w:sz w:val="18"/>
                <w:szCs w:val="18"/>
                <w:lang w:eastAsia="cs-CZ"/>
              </w:rPr>
            </w:pPr>
            <w:r w:rsidRPr="000C76F4">
              <w:rPr>
                <w:rFonts w:ascii="Arial" w:eastAsia="Times New Roman" w:hAnsi="Arial" w:cs="Arial"/>
                <w:sz w:val="18"/>
                <w:szCs w:val="18"/>
                <w:lang w:eastAsia="cs-CZ"/>
              </w:rPr>
              <w:t>Pravidelná volnočasová aktivita</w:t>
            </w:r>
          </w:p>
        </w:tc>
        <w:tc>
          <w:tcPr>
            <w:tcW w:w="2156" w:type="dxa"/>
            <w:tcBorders>
              <w:top w:val="nil"/>
              <w:left w:val="nil"/>
              <w:bottom w:val="nil"/>
              <w:right w:val="single" w:sz="4" w:space="0" w:color="auto"/>
            </w:tcBorders>
            <w:shd w:val="clear" w:color="auto" w:fill="auto"/>
            <w:noWrap/>
            <w:vAlign w:val="bottom"/>
            <w:hideMark/>
          </w:tcPr>
          <w:p w14:paraId="7591BE6C"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5,4</w:t>
            </w:r>
          </w:p>
        </w:tc>
        <w:tc>
          <w:tcPr>
            <w:tcW w:w="2156" w:type="dxa"/>
            <w:tcBorders>
              <w:top w:val="nil"/>
              <w:left w:val="nil"/>
              <w:bottom w:val="nil"/>
              <w:right w:val="nil"/>
            </w:tcBorders>
            <w:shd w:val="clear" w:color="auto" w:fill="auto"/>
            <w:noWrap/>
            <w:vAlign w:val="bottom"/>
            <w:hideMark/>
          </w:tcPr>
          <w:p w14:paraId="73433416"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5,0</w:t>
            </w:r>
          </w:p>
        </w:tc>
      </w:tr>
      <w:tr w:rsidR="00B8229B" w:rsidRPr="000C76F4" w14:paraId="10F58AD8"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41AC9FBA" w14:textId="77777777" w:rsidR="00B8229B" w:rsidRPr="000C76F4" w:rsidRDefault="00B8229B" w:rsidP="00B8229B">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Dostatečně vytápět byt</w:t>
            </w:r>
          </w:p>
        </w:tc>
        <w:tc>
          <w:tcPr>
            <w:tcW w:w="2156" w:type="dxa"/>
            <w:tcBorders>
              <w:top w:val="nil"/>
              <w:left w:val="nil"/>
              <w:bottom w:val="nil"/>
              <w:right w:val="single" w:sz="4" w:space="0" w:color="auto"/>
            </w:tcBorders>
            <w:shd w:val="clear" w:color="auto" w:fill="auto"/>
            <w:noWrap/>
            <w:vAlign w:val="bottom"/>
            <w:hideMark/>
          </w:tcPr>
          <w:p w14:paraId="16786CFA"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6,1</w:t>
            </w:r>
          </w:p>
        </w:tc>
        <w:tc>
          <w:tcPr>
            <w:tcW w:w="2156" w:type="dxa"/>
            <w:tcBorders>
              <w:top w:val="nil"/>
              <w:left w:val="nil"/>
              <w:bottom w:val="nil"/>
              <w:right w:val="nil"/>
            </w:tcBorders>
            <w:shd w:val="clear" w:color="auto" w:fill="auto"/>
            <w:noWrap/>
            <w:vAlign w:val="bottom"/>
            <w:hideMark/>
          </w:tcPr>
          <w:p w14:paraId="24F97476"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4,9</w:t>
            </w:r>
          </w:p>
        </w:tc>
      </w:tr>
      <w:tr w:rsidR="00B8229B" w:rsidRPr="000C76F4" w14:paraId="0686DEAF"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36DC27E2" w14:textId="77777777" w:rsidR="00B8229B" w:rsidRPr="000C76F4" w:rsidRDefault="00B8229B" w:rsidP="00B8229B">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Automobil</w:t>
            </w:r>
          </w:p>
        </w:tc>
        <w:tc>
          <w:tcPr>
            <w:tcW w:w="2156" w:type="dxa"/>
            <w:tcBorders>
              <w:top w:val="nil"/>
              <w:left w:val="nil"/>
              <w:bottom w:val="nil"/>
              <w:right w:val="single" w:sz="4" w:space="0" w:color="auto"/>
            </w:tcBorders>
            <w:shd w:val="clear" w:color="auto" w:fill="auto"/>
            <w:noWrap/>
            <w:vAlign w:val="bottom"/>
            <w:hideMark/>
          </w:tcPr>
          <w:p w14:paraId="36F2D169"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4,5</w:t>
            </w:r>
          </w:p>
        </w:tc>
        <w:tc>
          <w:tcPr>
            <w:tcW w:w="2156" w:type="dxa"/>
            <w:tcBorders>
              <w:top w:val="nil"/>
              <w:left w:val="nil"/>
              <w:bottom w:val="nil"/>
              <w:right w:val="nil"/>
            </w:tcBorders>
            <w:shd w:val="clear" w:color="auto" w:fill="auto"/>
            <w:noWrap/>
            <w:vAlign w:val="bottom"/>
            <w:hideMark/>
          </w:tcPr>
          <w:p w14:paraId="1C58677D"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4,6</w:t>
            </w:r>
          </w:p>
        </w:tc>
      </w:tr>
      <w:tr w:rsidR="00B8229B" w:rsidRPr="000C76F4" w14:paraId="542F3D82"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7F19A2DB" w14:textId="77777777" w:rsidR="00B8229B" w:rsidRPr="000C76F4" w:rsidRDefault="00B8229B" w:rsidP="00B8229B">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Schopnost uhradit náklady na bydlení</w:t>
            </w:r>
          </w:p>
        </w:tc>
        <w:tc>
          <w:tcPr>
            <w:tcW w:w="2156" w:type="dxa"/>
            <w:tcBorders>
              <w:top w:val="nil"/>
              <w:left w:val="nil"/>
              <w:bottom w:val="nil"/>
              <w:right w:val="single" w:sz="4" w:space="0" w:color="auto"/>
            </w:tcBorders>
            <w:shd w:val="clear" w:color="auto" w:fill="auto"/>
            <w:noWrap/>
            <w:vAlign w:val="bottom"/>
            <w:hideMark/>
          </w:tcPr>
          <w:p w14:paraId="1589B01C"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2,9</w:t>
            </w:r>
          </w:p>
        </w:tc>
        <w:tc>
          <w:tcPr>
            <w:tcW w:w="2156" w:type="dxa"/>
            <w:tcBorders>
              <w:top w:val="nil"/>
              <w:left w:val="nil"/>
              <w:bottom w:val="nil"/>
              <w:right w:val="nil"/>
            </w:tcBorders>
            <w:shd w:val="clear" w:color="auto" w:fill="auto"/>
            <w:noWrap/>
            <w:vAlign w:val="bottom"/>
            <w:hideMark/>
          </w:tcPr>
          <w:p w14:paraId="5E35E216"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3,4</w:t>
            </w:r>
          </w:p>
        </w:tc>
      </w:tr>
      <w:tr w:rsidR="00B8229B" w:rsidRPr="000C76F4" w14:paraId="6D3C0A27"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33578410" w14:textId="77777777" w:rsidR="00B8229B" w:rsidRPr="000C76F4" w:rsidRDefault="00B8229B" w:rsidP="00B8229B">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Nové oblečení za obnošené</w:t>
            </w:r>
          </w:p>
        </w:tc>
        <w:tc>
          <w:tcPr>
            <w:tcW w:w="2156" w:type="dxa"/>
            <w:tcBorders>
              <w:top w:val="nil"/>
              <w:left w:val="nil"/>
              <w:bottom w:val="nil"/>
              <w:right w:val="single" w:sz="4" w:space="0" w:color="auto"/>
            </w:tcBorders>
            <w:shd w:val="clear" w:color="auto" w:fill="auto"/>
            <w:noWrap/>
            <w:vAlign w:val="bottom"/>
            <w:hideMark/>
          </w:tcPr>
          <w:p w14:paraId="3F721980"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2,5</w:t>
            </w:r>
          </w:p>
        </w:tc>
        <w:tc>
          <w:tcPr>
            <w:tcW w:w="2156" w:type="dxa"/>
            <w:tcBorders>
              <w:top w:val="nil"/>
              <w:left w:val="nil"/>
              <w:bottom w:val="nil"/>
              <w:right w:val="nil"/>
            </w:tcBorders>
            <w:shd w:val="clear" w:color="auto" w:fill="auto"/>
            <w:noWrap/>
            <w:vAlign w:val="bottom"/>
            <w:hideMark/>
          </w:tcPr>
          <w:p w14:paraId="17492C7A"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2,3</w:t>
            </w:r>
          </w:p>
        </w:tc>
      </w:tr>
      <w:tr w:rsidR="00B8229B" w:rsidRPr="000C76F4" w14:paraId="34B1378A"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335E5F19" w14:textId="77777777" w:rsidR="00B8229B" w:rsidRPr="000C76F4" w:rsidRDefault="00B8229B" w:rsidP="00B8229B">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Scházení se s přáteli, příbuznými 1x měsíčně</w:t>
            </w:r>
          </w:p>
        </w:tc>
        <w:tc>
          <w:tcPr>
            <w:tcW w:w="2156" w:type="dxa"/>
            <w:tcBorders>
              <w:top w:val="nil"/>
              <w:left w:val="nil"/>
              <w:bottom w:val="nil"/>
              <w:right w:val="single" w:sz="4" w:space="0" w:color="auto"/>
            </w:tcBorders>
            <w:shd w:val="clear" w:color="auto" w:fill="auto"/>
            <w:noWrap/>
            <w:vAlign w:val="bottom"/>
            <w:hideMark/>
          </w:tcPr>
          <w:p w14:paraId="46730F55"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2,5</w:t>
            </w:r>
          </w:p>
        </w:tc>
        <w:tc>
          <w:tcPr>
            <w:tcW w:w="2156" w:type="dxa"/>
            <w:tcBorders>
              <w:top w:val="nil"/>
              <w:left w:val="nil"/>
              <w:bottom w:val="nil"/>
              <w:right w:val="nil"/>
            </w:tcBorders>
            <w:shd w:val="clear" w:color="auto" w:fill="auto"/>
            <w:noWrap/>
            <w:vAlign w:val="bottom"/>
            <w:hideMark/>
          </w:tcPr>
          <w:p w14:paraId="47201422"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2,0</w:t>
            </w:r>
          </w:p>
        </w:tc>
      </w:tr>
      <w:tr w:rsidR="00B8229B" w:rsidRPr="000C76F4" w14:paraId="5FBE6858"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0DAC8526" w14:textId="77777777" w:rsidR="00B8229B" w:rsidRPr="000C76F4" w:rsidRDefault="00B8229B" w:rsidP="00B8229B">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Připojení k internetu</w:t>
            </w:r>
          </w:p>
        </w:tc>
        <w:tc>
          <w:tcPr>
            <w:tcW w:w="2156" w:type="dxa"/>
            <w:tcBorders>
              <w:top w:val="nil"/>
              <w:left w:val="nil"/>
              <w:bottom w:val="nil"/>
              <w:right w:val="single" w:sz="4" w:space="0" w:color="auto"/>
            </w:tcBorders>
            <w:shd w:val="clear" w:color="auto" w:fill="auto"/>
            <w:noWrap/>
            <w:vAlign w:val="bottom"/>
            <w:hideMark/>
          </w:tcPr>
          <w:p w14:paraId="2E7CB861"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1,0</w:t>
            </w:r>
          </w:p>
        </w:tc>
        <w:tc>
          <w:tcPr>
            <w:tcW w:w="2156" w:type="dxa"/>
            <w:tcBorders>
              <w:top w:val="nil"/>
              <w:left w:val="nil"/>
              <w:bottom w:val="nil"/>
              <w:right w:val="nil"/>
            </w:tcBorders>
            <w:shd w:val="clear" w:color="auto" w:fill="auto"/>
            <w:noWrap/>
            <w:vAlign w:val="bottom"/>
            <w:hideMark/>
          </w:tcPr>
          <w:p w14:paraId="01BA3636"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0,9</w:t>
            </w:r>
          </w:p>
        </w:tc>
      </w:tr>
      <w:tr w:rsidR="00B8229B" w:rsidRPr="000C76F4" w14:paraId="52395609" w14:textId="77777777" w:rsidTr="00B8229B">
        <w:trPr>
          <w:divId w:val="1016074479"/>
          <w:trHeight w:val="300"/>
        </w:trPr>
        <w:tc>
          <w:tcPr>
            <w:tcW w:w="4253" w:type="dxa"/>
            <w:tcBorders>
              <w:top w:val="nil"/>
              <w:left w:val="nil"/>
              <w:bottom w:val="nil"/>
              <w:right w:val="single" w:sz="4" w:space="0" w:color="auto"/>
            </w:tcBorders>
            <w:shd w:val="clear" w:color="auto" w:fill="auto"/>
            <w:noWrap/>
            <w:vAlign w:val="bottom"/>
            <w:hideMark/>
          </w:tcPr>
          <w:p w14:paraId="26B5D0B0" w14:textId="77777777" w:rsidR="00B8229B" w:rsidRPr="000C76F4" w:rsidRDefault="00B8229B" w:rsidP="00B8229B">
            <w:pPr>
              <w:spacing w:after="0" w:line="240" w:lineRule="auto"/>
              <w:ind w:firstLineChars="100" w:firstLine="180"/>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Dva páry bot</w:t>
            </w:r>
          </w:p>
        </w:tc>
        <w:tc>
          <w:tcPr>
            <w:tcW w:w="2156" w:type="dxa"/>
            <w:tcBorders>
              <w:top w:val="nil"/>
              <w:left w:val="nil"/>
              <w:bottom w:val="nil"/>
              <w:right w:val="single" w:sz="4" w:space="0" w:color="auto"/>
            </w:tcBorders>
            <w:shd w:val="clear" w:color="auto" w:fill="auto"/>
            <w:noWrap/>
            <w:vAlign w:val="bottom"/>
            <w:hideMark/>
          </w:tcPr>
          <w:p w14:paraId="2813BCD1"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0,7</w:t>
            </w:r>
          </w:p>
        </w:tc>
        <w:tc>
          <w:tcPr>
            <w:tcW w:w="2156" w:type="dxa"/>
            <w:tcBorders>
              <w:top w:val="nil"/>
              <w:left w:val="nil"/>
              <w:bottom w:val="nil"/>
              <w:right w:val="nil"/>
            </w:tcBorders>
            <w:shd w:val="clear" w:color="auto" w:fill="auto"/>
            <w:noWrap/>
            <w:vAlign w:val="bottom"/>
            <w:hideMark/>
          </w:tcPr>
          <w:p w14:paraId="183F5F57" w14:textId="77777777" w:rsidR="00B8229B" w:rsidRPr="000C76F4" w:rsidRDefault="00B8229B" w:rsidP="00B8229B">
            <w:pPr>
              <w:spacing w:after="0" w:line="240" w:lineRule="auto"/>
              <w:jc w:val="right"/>
              <w:rPr>
                <w:rFonts w:ascii="Arial" w:eastAsia="Times New Roman" w:hAnsi="Arial" w:cs="Arial"/>
                <w:color w:val="000000"/>
                <w:sz w:val="18"/>
                <w:szCs w:val="18"/>
                <w:lang w:eastAsia="cs-CZ"/>
              </w:rPr>
            </w:pPr>
            <w:r w:rsidRPr="000C76F4">
              <w:rPr>
                <w:rFonts w:ascii="Arial" w:eastAsia="Times New Roman" w:hAnsi="Arial" w:cs="Arial"/>
                <w:color w:val="000000"/>
                <w:sz w:val="18"/>
                <w:szCs w:val="18"/>
                <w:lang w:eastAsia="cs-CZ"/>
              </w:rPr>
              <w:t>0,5</w:t>
            </w:r>
          </w:p>
        </w:tc>
      </w:tr>
    </w:tbl>
    <w:p w14:paraId="5AB156BB" w14:textId="18523515" w:rsidR="009F4EBD" w:rsidRDefault="009F4EBD" w:rsidP="001D47A8">
      <w:pPr>
        <w:spacing w:after="0" w:line="288" w:lineRule="auto"/>
        <w:jc w:val="both"/>
        <w:rPr>
          <w:sz w:val="24"/>
          <w:szCs w:val="32"/>
        </w:rPr>
      </w:pPr>
    </w:p>
    <w:p w14:paraId="335755C9" w14:textId="60A754F0" w:rsidR="00B33C33" w:rsidRPr="001D47A8" w:rsidRDefault="003E3C26" w:rsidP="001D47A8">
      <w:pPr>
        <w:spacing w:after="240" w:line="288" w:lineRule="auto"/>
        <w:jc w:val="both"/>
        <w:rPr>
          <w:rFonts w:ascii="Arial Narrow" w:hAnsi="Arial Narrow"/>
          <w:sz w:val="24"/>
          <w:szCs w:val="24"/>
        </w:rPr>
      </w:pPr>
      <w:r w:rsidRPr="001D47A8">
        <w:rPr>
          <w:rFonts w:ascii="Arial Narrow" w:hAnsi="Arial Narrow"/>
          <w:sz w:val="24"/>
          <w:szCs w:val="24"/>
        </w:rPr>
        <w:t xml:space="preserve">Míra materiální a sociální deprivace se liší </w:t>
      </w:r>
      <w:r w:rsidR="001D3CCB">
        <w:rPr>
          <w:rFonts w:ascii="Arial Narrow" w:hAnsi="Arial Narrow"/>
          <w:sz w:val="24"/>
          <w:szCs w:val="24"/>
        </w:rPr>
        <w:t>napříč různými</w:t>
      </w:r>
      <w:r w:rsidRPr="001D47A8">
        <w:rPr>
          <w:rFonts w:ascii="Arial Narrow" w:hAnsi="Arial Narrow"/>
          <w:sz w:val="24"/>
          <w:szCs w:val="24"/>
        </w:rPr>
        <w:t xml:space="preserve"> </w:t>
      </w:r>
      <w:r w:rsidR="001D3CCB">
        <w:rPr>
          <w:rFonts w:ascii="Arial Narrow" w:hAnsi="Arial Narrow"/>
          <w:sz w:val="24"/>
          <w:szCs w:val="24"/>
        </w:rPr>
        <w:t>typy domácností</w:t>
      </w:r>
      <w:r w:rsidR="001D47A8" w:rsidRPr="001D47A8">
        <w:rPr>
          <w:rFonts w:ascii="Arial Narrow" w:hAnsi="Arial Narrow"/>
          <w:sz w:val="24"/>
          <w:szCs w:val="24"/>
        </w:rPr>
        <w:t xml:space="preserve">. </w:t>
      </w:r>
      <w:r w:rsidRPr="001D47A8">
        <w:rPr>
          <w:rFonts w:ascii="Arial Narrow" w:hAnsi="Arial Narrow"/>
          <w:sz w:val="24"/>
          <w:szCs w:val="24"/>
        </w:rPr>
        <w:t xml:space="preserve">Dlouhodobě nejvíce deprivovanou skupinu představují domácnosti tvořené samotným rodičem s jedním či více dětmi. </w:t>
      </w:r>
      <w:r w:rsidR="001D3CCB">
        <w:rPr>
          <w:rFonts w:ascii="Arial Narrow" w:hAnsi="Arial Narrow"/>
          <w:sz w:val="24"/>
          <w:szCs w:val="24"/>
        </w:rPr>
        <w:t>Podobně u úplných rodin</w:t>
      </w:r>
      <w:r w:rsidR="001D47A8" w:rsidRPr="001D47A8">
        <w:rPr>
          <w:rFonts w:ascii="Arial Narrow" w:hAnsi="Arial Narrow"/>
          <w:sz w:val="24"/>
          <w:szCs w:val="24"/>
        </w:rPr>
        <w:t xml:space="preserve"> s dětmi </w:t>
      </w:r>
      <w:r w:rsidR="001D3CCB">
        <w:rPr>
          <w:rFonts w:ascii="Arial Narrow" w:hAnsi="Arial Narrow"/>
          <w:sz w:val="24"/>
          <w:szCs w:val="24"/>
        </w:rPr>
        <w:t xml:space="preserve">byl </w:t>
      </w:r>
      <w:r w:rsidR="001D47A8" w:rsidRPr="001D47A8">
        <w:rPr>
          <w:rFonts w:ascii="Arial Narrow" w:hAnsi="Arial Narrow"/>
          <w:sz w:val="24"/>
          <w:szCs w:val="24"/>
        </w:rPr>
        <w:t>také zazname</w:t>
      </w:r>
      <w:r w:rsidR="001D3CCB" w:rsidRPr="001D3CCB">
        <w:rPr>
          <w:rFonts w:ascii="Arial Narrow" w:hAnsi="Arial Narrow"/>
          <w:sz w:val="24"/>
          <w:szCs w:val="24"/>
        </w:rPr>
        <w:t>nán</w:t>
      </w:r>
      <w:r w:rsidR="001D47A8" w:rsidRPr="001D47A8">
        <w:rPr>
          <w:rFonts w:ascii="Arial Narrow" w:hAnsi="Arial Narrow"/>
          <w:sz w:val="24"/>
          <w:szCs w:val="24"/>
        </w:rPr>
        <w:t xml:space="preserve"> mírný</w:t>
      </w:r>
      <w:r w:rsidRPr="001D47A8">
        <w:rPr>
          <w:rFonts w:ascii="Arial Narrow" w:hAnsi="Arial Narrow"/>
          <w:sz w:val="24"/>
          <w:szCs w:val="24"/>
        </w:rPr>
        <w:t xml:space="preserve"> nárůst z 5,0 % na 5,5 %. Naopak k poklesu došlo u domácností důchodců, kdy tato míra klesla z 8,7 % na 8,0 %. </w:t>
      </w:r>
      <w:r w:rsidR="001D47A8" w:rsidRPr="001D47A8">
        <w:rPr>
          <w:rFonts w:ascii="Arial Narrow" w:hAnsi="Arial Narrow"/>
          <w:sz w:val="24"/>
          <w:szCs w:val="24"/>
        </w:rPr>
        <w:t>D</w:t>
      </w:r>
      <w:r w:rsidRPr="001D47A8">
        <w:rPr>
          <w:rFonts w:ascii="Arial Narrow" w:hAnsi="Arial Narrow"/>
          <w:sz w:val="24"/>
          <w:szCs w:val="24"/>
        </w:rPr>
        <w:t>omácnosti zaměstnanců</w:t>
      </w:r>
      <w:r w:rsidR="001D47A8" w:rsidRPr="001D47A8">
        <w:rPr>
          <w:rFonts w:ascii="Arial Narrow" w:hAnsi="Arial Narrow"/>
          <w:sz w:val="24"/>
          <w:szCs w:val="24"/>
        </w:rPr>
        <w:t xml:space="preserve"> </w:t>
      </w:r>
      <w:r w:rsidR="001D47A8">
        <w:rPr>
          <w:rFonts w:ascii="Arial Narrow" w:hAnsi="Arial Narrow"/>
          <w:sz w:val="24"/>
          <w:szCs w:val="24"/>
        </w:rPr>
        <w:t>zůstaly na úrovni 4</w:t>
      </w:r>
      <w:r w:rsidR="001D47A8" w:rsidRPr="001D47A8">
        <w:rPr>
          <w:rFonts w:ascii="Arial Narrow" w:hAnsi="Arial Narrow"/>
          <w:sz w:val="24"/>
          <w:szCs w:val="24"/>
        </w:rPr>
        <w:t xml:space="preserve"> %</w:t>
      </w:r>
      <w:r w:rsidRPr="001D47A8">
        <w:rPr>
          <w:rFonts w:ascii="Arial Narrow" w:hAnsi="Arial Narrow"/>
          <w:sz w:val="24"/>
          <w:szCs w:val="24"/>
        </w:rPr>
        <w:t>.</w:t>
      </w:r>
      <w:bookmarkStart w:id="1" w:name="_Toc514922363"/>
    </w:p>
    <w:p w14:paraId="09C19637" w14:textId="5BCEAC5B" w:rsidR="00B33C33" w:rsidRDefault="00B33C33" w:rsidP="00B33C33">
      <w:pPr>
        <w:pStyle w:val="Titulek"/>
        <w:keepNext/>
        <w:jc w:val="both"/>
        <w:rPr>
          <w:lang w:val="cs-CZ"/>
        </w:rPr>
      </w:pPr>
      <w:r>
        <w:t xml:space="preserve">Graf </w:t>
      </w:r>
      <w:r w:rsidR="0019709C">
        <w:fldChar w:fldCharType="begin"/>
      </w:r>
      <w:r w:rsidR="0019709C">
        <w:instrText xml:space="preserve"> SEQ Graf \* ARABIC </w:instrText>
      </w:r>
      <w:r w:rsidR="0019709C">
        <w:fldChar w:fldCharType="separate"/>
      </w:r>
      <w:r w:rsidR="00AF6CC5">
        <w:rPr>
          <w:noProof/>
        </w:rPr>
        <w:t>13</w:t>
      </w:r>
      <w:r w:rsidR="0019709C">
        <w:rPr>
          <w:noProof/>
        </w:rPr>
        <w:fldChar w:fldCharType="end"/>
      </w:r>
      <w:r>
        <w:rPr>
          <w:lang w:val="cs-CZ"/>
        </w:rPr>
        <w:t xml:space="preserve"> </w:t>
      </w:r>
      <w:r w:rsidRPr="00A7154B">
        <w:rPr>
          <w:lang w:val="cs-CZ"/>
        </w:rPr>
        <w:t xml:space="preserve">Míra materiální a sociální deprivace podle </w:t>
      </w:r>
      <w:r>
        <w:rPr>
          <w:lang w:val="cs-CZ"/>
        </w:rPr>
        <w:t>vybraného druhu</w:t>
      </w:r>
      <w:r w:rsidRPr="00A7154B">
        <w:rPr>
          <w:lang w:val="cs-CZ"/>
        </w:rPr>
        <w:t xml:space="preserve"> domácnosti (2023, 20</w:t>
      </w:r>
      <w:r>
        <w:rPr>
          <w:lang w:val="cs-CZ"/>
        </w:rPr>
        <w:t xml:space="preserve">24, </w:t>
      </w:r>
      <w:r w:rsidRPr="00A7154B">
        <w:rPr>
          <w:lang w:val="cs-CZ"/>
        </w:rPr>
        <w:t>%)</w:t>
      </w:r>
    </w:p>
    <w:p w14:paraId="0DED12B5" w14:textId="21AE34B9" w:rsidR="00F01517" w:rsidRPr="00AF6CC5" w:rsidRDefault="00804D3A" w:rsidP="00AF6CC5">
      <w:pPr>
        <w:rPr>
          <w:lang w:eastAsia="ar-SA"/>
        </w:rPr>
      </w:pPr>
      <w:r w:rsidRPr="00613C36">
        <w:rPr>
          <w:noProof/>
          <w:lang w:eastAsia="cs-CZ"/>
        </w:rPr>
        <w:drawing>
          <wp:inline distT="0" distB="0" distL="0" distR="0" wp14:anchorId="332970C1" wp14:editId="17B09EB5">
            <wp:extent cx="5759450" cy="2457450"/>
            <wp:effectExtent l="0" t="0" r="0"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55F756F" w14:textId="77777777" w:rsidR="00B33C33" w:rsidRPr="00DC4482" w:rsidRDefault="00B33C33" w:rsidP="00DC4482">
      <w:pPr>
        <w:pStyle w:val="2Text0"/>
        <w:rPr>
          <w:b/>
          <w:sz w:val="26"/>
          <w:szCs w:val="26"/>
        </w:rPr>
      </w:pPr>
      <w:r w:rsidRPr="00DC4482">
        <w:rPr>
          <w:b/>
          <w:sz w:val="26"/>
          <w:szCs w:val="26"/>
        </w:rPr>
        <w:t>MODUL 2024</w:t>
      </w:r>
    </w:p>
    <w:p w14:paraId="7A290254" w14:textId="77777777" w:rsidR="00B33C33" w:rsidRDefault="00B33C33" w:rsidP="00B33C33">
      <w:pPr>
        <w:spacing w:after="0" w:line="240" w:lineRule="auto"/>
        <w:jc w:val="both"/>
        <w:rPr>
          <w:rFonts w:ascii="Arial Narrow" w:hAnsi="Arial Narrow"/>
          <w:sz w:val="24"/>
          <w:szCs w:val="24"/>
        </w:rPr>
      </w:pPr>
    </w:p>
    <w:p w14:paraId="124B5D02" w14:textId="3CD9C2DA" w:rsidR="00B33C33" w:rsidRDefault="00B33C33" w:rsidP="00DC4482">
      <w:pPr>
        <w:spacing w:after="240" w:line="288" w:lineRule="auto"/>
        <w:jc w:val="both"/>
        <w:rPr>
          <w:rFonts w:ascii="Arial Narrow" w:hAnsi="Arial Narrow"/>
          <w:sz w:val="24"/>
          <w:szCs w:val="24"/>
        </w:rPr>
      </w:pPr>
      <w:r>
        <w:rPr>
          <w:rFonts w:ascii="Arial Narrow" w:hAnsi="Arial Narrow"/>
          <w:sz w:val="24"/>
          <w:szCs w:val="24"/>
        </w:rPr>
        <w:t>Šetření Životní podmínky zahrnuje každoročně i speciální okruh otázek zvaný modul, který byl v loňském roce věnován několika významným tématům. Prvním bylo zdraví dětí do 16 let a také materiální a sociální podmínky dětí žijících v domácnostech. Druhý tematický okruh se týkal profesionální domácí péče o</w:t>
      </w:r>
      <w:r w:rsidR="00EC0741">
        <w:rPr>
          <w:rFonts w:ascii="Arial Narrow" w:hAnsi="Arial Narrow"/>
          <w:sz w:val="24"/>
          <w:szCs w:val="24"/>
        </w:rPr>
        <w:t> </w:t>
      </w:r>
      <w:r>
        <w:rPr>
          <w:rFonts w:ascii="Arial Narrow" w:hAnsi="Arial Narrow"/>
          <w:sz w:val="24"/>
          <w:szCs w:val="24"/>
        </w:rPr>
        <w:t>dospělé osoby a poslední blok tvořily otázky na veřejnou hromadnou dopravu. Některé z těchto otázek již byly součástí šetření v předchozích letech, takže je k dispozici i srovnání s jinými roky.</w:t>
      </w:r>
    </w:p>
    <w:p w14:paraId="703BDF61" w14:textId="77777777" w:rsidR="00B33C33" w:rsidRPr="00DC4482" w:rsidRDefault="00B33C33" w:rsidP="00DC4482">
      <w:pPr>
        <w:spacing w:after="120" w:line="240" w:lineRule="auto"/>
        <w:rPr>
          <w:rFonts w:ascii="Arial Narrow" w:hAnsi="Arial Narrow"/>
          <w:b/>
          <w:sz w:val="26"/>
          <w:szCs w:val="26"/>
        </w:rPr>
      </w:pPr>
      <w:r w:rsidRPr="00DC4482">
        <w:rPr>
          <w:rFonts w:ascii="Arial Narrow" w:hAnsi="Arial Narrow"/>
          <w:b/>
          <w:sz w:val="26"/>
          <w:szCs w:val="26"/>
        </w:rPr>
        <w:t>Zdraví a životní podmínky dětí do 16 let</w:t>
      </w:r>
    </w:p>
    <w:p w14:paraId="43F57B48" w14:textId="6A11C0B1" w:rsidR="00B33C33" w:rsidRDefault="00B33C33" w:rsidP="00DC4482">
      <w:pPr>
        <w:spacing w:after="240" w:line="288" w:lineRule="auto"/>
        <w:jc w:val="both"/>
        <w:rPr>
          <w:rFonts w:ascii="Arial Narrow" w:hAnsi="Arial Narrow"/>
          <w:sz w:val="24"/>
          <w:szCs w:val="24"/>
        </w:rPr>
      </w:pPr>
      <w:r>
        <w:rPr>
          <w:rFonts w:ascii="Arial Narrow" w:hAnsi="Arial Narrow"/>
          <w:sz w:val="24"/>
          <w:szCs w:val="24"/>
        </w:rPr>
        <w:t>Subjektivní hodnocení zdravotního stavu dětí mladších 16 let, které nám poskytují jejich rodiče nebo jiný dospělý člen šetřené domácnosti, se v čase příliš nemění. V „covidovém“ roce se dokonce jevily odpovědi dotazovaných ještě o něco příznivější. Vloni měly přes tři čtvrtiny českých dětí velmi dobrý zdravotní stav, každé páté</w:t>
      </w:r>
      <w:r>
        <w:rPr>
          <w:rFonts w:ascii="Arial Narrow" w:hAnsi="Arial Narrow"/>
          <w:spacing w:val="-20"/>
          <w:sz w:val="24"/>
          <w:szCs w:val="24"/>
        </w:rPr>
        <w:t xml:space="preserve"> </w:t>
      </w:r>
      <w:r>
        <w:rPr>
          <w:rFonts w:ascii="Arial Narrow" w:hAnsi="Arial Narrow"/>
          <w:sz w:val="24"/>
          <w:szCs w:val="24"/>
        </w:rPr>
        <w:t>dítě mělo stav dobrý a u</w:t>
      </w:r>
      <w:r>
        <w:rPr>
          <w:rFonts w:ascii="Arial Narrow" w:hAnsi="Arial Narrow"/>
          <w:spacing w:val="-20"/>
          <w:sz w:val="24"/>
          <w:szCs w:val="24"/>
        </w:rPr>
        <w:t xml:space="preserve"> </w:t>
      </w:r>
      <w:r>
        <w:rPr>
          <w:rFonts w:ascii="Arial Narrow" w:hAnsi="Arial Narrow"/>
          <w:sz w:val="24"/>
          <w:szCs w:val="24"/>
        </w:rPr>
        <w:t>pouhých 2,4</w:t>
      </w:r>
      <w:r>
        <w:rPr>
          <w:rFonts w:ascii="Arial Narrow" w:hAnsi="Arial Narrow"/>
          <w:spacing w:val="-20"/>
          <w:sz w:val="24"/>
          <w:szCs w:val="24"/>
        </w:rPr>
        <w:t xml:space="preserve"> </w:t>
      </w:r>
      <w:r>
        <w:rPr>
          <w:rFonts w:ascii="Arial Narrow" w:hAnsi="Arial Narrow"/>
          <w:sz w:val="24"/>
          <w:szCs w:val="24"/>
        </w:rPr>
        <w:t>% dětí byl uveden zdravotní stav přijatelný,</w:t>
      </w:r>
      <w:r>
        <w:rPr>
          <w:rFonts w:ascii="Arial Narrow" w:hAnsi="Arial Narrow"/>
          <w:spacing w:val="-20"/>
          <w:sz w:val="24"/>
          <w:szCs w:val="24"/>
        </w:rPr>
        <w:t xml:space="preserve"> </w:t>
      </w:r>
      <w:r>
        <w:rPr>
          <w:rFonts w:ascii="Arial Narrow" w:hAnsi="Arial Narrow"/>
          <w:sz w:val="24"/>
          <w:szCs w:val="24"/>
        </w:rPr>
        <w:t xml:space="preserve">tedy ani dobrý ani špatný. </w:t>
      </w:r>
      <w:r w:rsidR="00C2787D">
        <w:rPr>
          <w:rFonts w:ascii="Arial Narrow" w:hAnsi="Arial Narrow"/>
          <w:sz w:val="24"/>
          <w:szCs w:val="24"/>
        </w:rPr>
        <w:t>Š</w:t>
      </w:r>
      <w:r>
        <w:rPr>
          <w:rFonts w:ascii="Arial Narrow" w:hAnsi="Arial Narrow"/>
          <w:sz w:val="24"/>
          <w:szCs w:val="24"/>
        </w:rPr>
        <w:t>patný či velmi špatný byl uveden zhruba u jednoho procenta dětské populace.</w:t>
      </w:r>
    </w:p>
    <w:p w14:paraId="1EA8EF24" w14:textId="2A6F86B6" w:rsidR="00B33C33" w:rsidRDefault="00B33C33" w:rsidP="00B33C33">
      <w:pPr>
        <w:pStyle w:val="Titulek"/>
        <w:keepNext/>
        <w:jc w:val="both"/>
      </w:pPr>
      <w:r>
        <w:t xml:space="preserve">Graf </w:t>
      </w:r>
      <w:r w:rsidR="0019709C">
        <w:fldChar w:fldCharType="begin"/>
      </w:r>
      <w:r w:rsidR="0019709C">
        <w:instrText xml:space="preserve"> SEQ Graf \* ARABIC </w:instrText>
      </w:r>
      <w:r w:rsidR="0019709C">
        <w:fldChar w:fldCharType="separate"/>
      </w:r>
      <w:r w:rsidR="00AF6CC5">
        <w:rPr>
          <w:noProof/>
        </w:rPr>
        <w:t>14</w:t>
      </w:r>
      <w:r w:rsidR="0019709C">
        <w:rPr>
          <w:noProof/>
        </w:rPr>
        <w:fldChar w:fldCharType="end"/>
      </w:r>
      <w:r>
        <w:rPr>
          <w:lang w:val="cs-CZ"/>
        </w:rPr>
        <w:t xml:space="preserve"> </w:t>
      </w:r>
      <w:r w:rsidRPr="001D2E0A">
        <w:rPr>
          <w:lang w:val="cs-CZ"/>
        </w:rPr>
        <w:t>Zdravotní stav dětí do 16 le</w:t>
      </w:r>
      <w:r>
        <w:rPr>
          <w:lang w:val="cs-CZ"/>
        </w:rPr>
        <w:t xml:space="preserve">t </w:t>
      </w:r>
      <w:r w:rsidR="00DC4482">
        <w:rPr>
          <w:lang w:val="cs-CZ"/>
        </w:rPr>
        <w:t xml:space="preserve">(2017, 2021 a 2024, </w:t>
      </w:r>
      <w:r w:rsidRPr="001D2E0A">
        <w:rPr>
          <w:lang w:val="cs-CZ"/>
        </w:rPr>
        <w:t>%)</w:t>
      </w:r>
    </w:p>
    <w:p w14:paraId="761D5727" w14:textId="6E732638" w:rsidR="00B33C33" w:rsidRDefault="00B33C33" w:rsidP="002D0971">
      <w:pPr>
        <w:pStyle w:val="3GRAF"/>
        <w:spacing w:before="240"/>
        <w:jc w:val="both"/>
        <w:rPr>
          <w:sz w:val="24"/>
          <w:szCs w:val="24"/>
        </w:rPr>
      </w:pPr>
      <w:r>
        <w:rPr>
          <w:noProof/>
          <w:lang w:val="cs-CZ" w:eastAsia="cs-CZ"/>
        </w:rPr>
        <w:drawing>
          <wp:inline distT="0" distB="0" distL="0" distR="0" wp14:anchorId="5D00C416" wp14:editId="38B2CE7F">
            <wp:extent cx="5760000" cy="3013544"/>
            <wp:effectExtent l="0" t="0" r="0" b="0"/>
            <wp:docPr id="45" name="Graf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28E1F83" w14:textId="77777777" w:rsidR="002D0971" w:rsidRDefault="002D0971" w:rsidP="002D0971">
      <w:pPr>
        <w:pStyle w:val="3GRAF"/>
        <w:spacing w:before="240"/>
        <w:jc w:val="both"/>
        <w:rPr>
          <w:sz w:val="24"/>
          <w:szCs w:val="24"/>
        </w:rPr>
      </w:pPr>
    </w:p>
    <w:p w14:paraId="5EA566DB" w14:textId="77777777" w:rsidR="00B33C33" w:rsidRDefault="00B33C33" w:rsidP="00DC4482">
      <w:pPr>
        <w:spacing w:after="240" w:line="288" w:lineRule="auto"/>
        <w:jc w:val="both"/>
        <w:rPr>
          <w:rFonts w:ascii="Arial Narrow" w:hAnsi="Arial Narrow"/>
          <w:sz w:val="24"/>
          <w:szCs w:val="24"/>
        </w:rPr>
      </w:pPr>
      <w:r>
        <w:rPr>
          <w:rFonts w:ascii="Arial Narrow" w:hAnsi="Arial Narrow"/>
          <w:sz w:val="24"/>
          <w:szCs w:val="24"/>
        </w:rPr>
        <w:t>Dále se zjišťovalo, zda jsou děti nějak omezeny ve svých běžných činnostech, jako jsou školní povinnosti, sebeobsluha, jejich zájmy, volnočasové aktivity nebo pomoc v domácnosti (odpovídající věku dítěte). Braly se v úvahu všechny dlouhodobé zdravotní problémy, např. vrozené vady, zdravotní postižení, následky úrazů i chronické nemoci. Ze zjištěných údajů plyne, že drtivá většina dětí mladších 16 let nemá žádné dlouhodobé omezení v běžných aktivitách ze zdravotních důvodů (94,5 %). Naproti tomu zhruba 1,2 % dětí v Česku je omezeno vážně.</w:t>
      </w:r>
    </w:p>
    <w:p w14:paraId="5542AD69" w14:textId="77777777" w:rsidR="00B33C33" w:rsidRDefault="00B33C33" w:rsidP="00B33C33">
      <w:pPr>
        <w:spacing w:after="120"/>
      </w:pPr>
      <w:r>
        <w:rPr>
          <w:rFonts w:ascii="Arial Narrow" w:hAnsi="Arial Narrow"/>
          <w:sz w:val="24"/>
          <w:szCs w:val="24"/>
        </w:rPr>
        <w:t xml:space="preserve">         </w:t>
      </w:r>
    </w:p>
    <w:p w14:paraId="7A03720D" w14:textId="7425FC00" w:rsidR="00B33C33" w:rsidRDefault="00B33C33" w:rsidP="00E22A46">
      <w:pPr>
        <w:pStyle w:val="Titulek"/>
        <w:keepNext/>
        <w:spacing w:before="240" w:after="120"/>
      </w:pPr>
      <w:r>
        <w:t xml:space="preserve">Graf </w:t>
      </w:r>
      <w:r w:rsidR="0019709C">
        <w:fldChar w:fldCharType="begin"/>
      </w:r>
      <w:r w:rsidR="0019709C">
        <w:instrText xml:space="preserve"> SEQ Graf \* ARABIC </w:instrText>
      </w:r>
      <w:r w:rsidR="0019709C">
        <w:fldChar w:fldCharType="separate"/>
      </w:r>
      <w:r w:rsidR="00AF6CC5">
        <w:rPr>
          <w:noProof/>
        </w:rPr>
        <w:t>15</w:t>
      </w:r>
      <w:r w:rsidR="0019709C">
        <w:rPr>
          <w:noProof/>
        </w:rPr>
        <w:fldChar w:fldCharType="end"/>
      </w:r>
      <w:r>
        <w:rPr>
          <w:lang w:val="cs-CZ"/>
        </w:rPr>
        <w:t xml:space="preserve"> </w:t>
      </w:r>
      <w:r w:rsidRPr="00303DC9">
        <w:rPr>
          <w:lang w:val="cs-CZ"/>
        </w:rPr>
        <w:t>Omezení dětí v běžných činnostech kvůli zdravotním problémům (2024, %)</w:t>
      </w:r>
    </w:p>
    <w:p w14:paraId="4ADB31B9" w14:textId="110DB0C2" w:rsidR="00B33C33" w:rsidRDefault="00B33C33" w:rsidP="00D13F2C">
      <w:pPr>
        <w:spacing w:after="120"/>
        <w:rPr>
          <w:rFonts w:ascii="Arial Narrow" w:hAnsi="Arial Narrow"/>
          <w:sz w:val="24"/>
          <w:szCs w:val="24"/>
        </w:rPr>
      </w:pPr>
      <w:r>
        <w:rPr>
          <w:noProof/>
          <w:lang w:eastAsia="cs-CZ"/>
        </w:rPr>
        <w:drawing>
          <wp:inline distT="0" distB="0" distL="0" distR="0" wp14:anchorId="016F79E8" wp14:editId="1DCF6718">
            <wp:extent cx="5759450" cy="1562100"/>
            <wp:effectExtent l="0" t="0" r="0" b="0"/>
            <wp:docPr id="43" name="Graf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9E48F31" w14:textId="77777777" w:rsidR="00C2787D" w:rsidRDefault="00B33C33" w:rsidP="00C2787D">
      <w:pPr>
        <w:spacing w:before="160" w:after="0" w:line="288" w:lineRule="auto"/>
        <w:jc w:val="both"/>
        <w:rPr>
          <w:rFonts w:ascii="Arial Narrow" w:hAnsi="Arial Narrow"/>
          <w:sz w:val="24"/>
          <w:szCs w:val="24"/>
        </w:rPr>
      </w:pPr>
      <w:r>
        <w:rPr>
          <w:rFonts w:ascii="Arial Narrow" w:hAnsi="Arial Narrow"/>
          <w:sz w:val="24"/>
          <w:szCs w:val="24"/>
        </w:rPr>
        <w:t>Materiální podmínky dětí jsou dalším ukazatelem celkové životní úrovně domácností. K jejich hodnocení se nejvíce používají položky indikátoru materiální a sociální deprivace, u kterých se zjišťuje, zda si může domácnost dovolit zabezpečit všem dětem mladším 16 let vybrané předměty a aktivity.</w:t>
      </w:r>
    </w:p>
    <w:p w14:paraId="274639A3" w14:textId="0703D25B" w:rsidR="00B33C33" w:rsidRDefault="00B33C33" w:rsidP="00C2787D">
      <w:pPr>
        <w:spacing w:before="160" w:after="0" w:line="288" w:lineRule="auto"/>
        <w:jc w:val="both"/>
        <w:rPr>
          <w:rFonts w:ascii="Arial Narrow" w:hAnsi="Arial Narrow"/>
          <w:sz w:val="24"/>
          <w:szCs w:val="24"/>
        </w:rPr>
      </w:pPr>
      <w:r>
        <w:rPr>
          <w:rFonts w:ascii="Arial Narrow" w:hAnsi="Arial Narrow"/>
          <w:sz w:val="24"/>
          <w:szCs w:val="24"/>
        </w:rPr>
        <w:t>Největší podíl rodin si ze sledovaných položek nemůže dovolit zaplatit svým dětem zájmové kroužky či pravidelné volnočasové aktivity – jako je sport, hra na hudební nástroj, výtvarné či taneční kurzy atd. Těch bylo v loňském roce 4,3 %. Ve srovnání s rokem 2021, kdy proběhlo stejné zjišťování, nastal u této položky největší nárůst. Může to být do značné míry způsobeno plošnými restrikcemi kolektivních aktivit v době pandemie, kdy zájmové kroužky ani nebyly povoleny, takže za ně domácnosti nemusely platit. Podobný je i podíl rodin, které svým dětem nemohly zaplatit týdenní pr</w:t>
      </w:r>
      <w:r w:rsidR="00F05D31">
        <w:rPr>
          <w:rFonts w:ascii="Arial Narrow" w:hAnsi="Arial Narrow"/>
          <w:sz w:val="24"/>
          <w:szCs w:val="24"/>
        </w:rPr>
        <w:t>ázdniny mimo domov, dovolenou i </w:t>
      </w:r>
      <w:r>
        <w:rPr>
          <w:rFonts w:ascii="Arial Narrow" w:hAnsi="Arial Narrow"/>
          <w:sz w:val="24"/>
          <w:szCs w:val="24"/>
        </w:rPr>
        <w:t xml:space="preserve">tábor. Dále z výsledků vyplývá, že zhruba 2,5 % domácností si nemohlo dovolit pořídit dětem sportovní vybavení pro venkovní aktivity jako je kolo, lyže, kolečkové brusle apod. Umožnit dětem zvát svoje kamarády na návštěvu domů a pohostit je drobným občerstvením uvedlo jako problém 2,4 % domácností. Pouze dvě rodiny ze sta nemají finanční možnosti na to, aby zařadily maso, drůbež nebo ryby (či jeho vegetariánskou náhražku) dětem do každodenního jídelníčku. Ještě menší je podíl domácností, které nemohou dopřát dětem ovoce či zeleninu každý den (1,1 %). </w:t>
      </w:r>
    </w:p>
    <w:p w14:paraId="62327CC6" w14:textId="4A1CE01A" w:rsidR="00B33C33" w:rsidRDefault="00B33C33" w:rsidP="00B33C33">
      <w:pPr>
        <w:pStyle w:val="Titulek"/>
        <w:keepNext/>
        <w:spacing w:before="240" w:after="0"/>
      </w:pPr>
      <w:r>
        <w:t xml:space="preserve">Graf </w:t>
      </w:r>
      <w:r w:rsidR="0019709C">
        <w:fldChar w:fldCharType="begin"/>
      </w:r>
      <w:r w:rsidR="0019709C">
        <w:instrText xml:space="preserve"> SEQ Graf \* ARABIC </w:instrText>
      </w:r>
      <w:r w:rsidR="0019709C">
        <w:fldChar w:fldCharType="separate"/>
      </w:r>
      <w:r w:rsidR="00AF6CC5">
        <w:rPr>
          <w:noProof/>
        </w:rPr>
        <w:t>16</w:t>
      </w:r>
      <w:r w:rsidR="0019709C">
        <w:rPr>
          <w:noProof/>
        </w:rPr>
        <w:fldChar w:fldCharType="end"/>
      </w:r>
      <w:r>
        <w:rPr>
          <w:lang w:val="cs-CZ"/>
        </w:rPr>
        <w:t xml:space="preserve"> </w:t>
      </w:r>
      <w:r w:rsidRPr="00170930">
        <w:rPr>
          <w:lang w:val="cs-CZ"/>
        </w:rPr>
        <w:t>Podíly domácností, které si nemohly dovolit zaplatit dětem do 16 let</w:t>
      </w:r>
      <w:r w:rsidR="0074229E">
        <w:rPr>
          <w:lang w:val="cs-CZ"/>
        </w:rPr>
        <w:t xml:space="preserve"> vybrané položky</w:t>
      </w:r>
      <w:r w:rsidR="00B157C6">
        <w:rPr>
          <w:lang w:val="cs-CZ"/>
        </w:rPr>
        <w:t xml:space="preserve"> </w:t>
      </w:r>
      <w:r w:rsidR="002D0971">
        <w:rPr>
          <w:lang w:val="cs-CZ"/>
        </w:rPr>
        <w:br/>
      </w:r>
      <w:r w:rsidR="0074229E">
        <w:rPr>
          <w:lang w:val="cs-CZ"/>
        </w:rPr>
        <w:t>(20</w:t>
      </w:r>
      <w:r w:rsidR="008E4255">
        <w:rPr>
          <w:lang w:val="cs-CZ"/>
        </w:rPr>
        <w:t>14, 20</w:t>
      </w:r>
      <w:r w:rsidR="0074229E">
        <w:rPr>
          <w:lang w:val="cs-CZ"/>
        </w:rPr>
        <w:t>21</w:t>
      </w:r>
      <w:r w:rsidR="00B157C6">
        <w:rPr>
          <w:lang w:val="cs-CZ"/>
        </w:rPr>
        <w:t xml:space="preserve"> </w:t>
      </w:r>
      <w:r w:rsidR="0074229E">
        <w:rPr>
          <w:lang w:val="cs-CZ"/>
        </w:rPr>
        <w:t>a</w:t>
      </w:r>
      <w:r>
        <w:rPr>
          <w:lang w:val="cs-CZ"/>
        </w:rPr>
        <w:t xml:space="preserve"> 2024</w:t>
      </w:r>
      <w:r w:rsidR="0074229E">
        <w:rPr>
          <w:lang w:val="cs-CZ"/>
        </w:rPr>
        <w:t xml:space="preserve">, </w:t>
      </w:r>
      <w:r w:rsidRPr="00170930">
        <w:rPr>
          <w:lang w:val="cs-CZ"/>
        </w:rPr>
        <w:t>%)</w:t>
      </w:r>
    </w:p>
    <w:p w14:paraId="318A22BB" w14:textId="0B1B451F" w:rsidR="00B33C33" w:rsidRPr="008E4255" w:rsidRDefault="008E4255" w:rsidP="002D0971">
      <w:pPr>
        <w:spacing w:after="0"/>
        <w:rPr>
          <w:rFonts w:ascii="Arial Narrow" w:hAnsi="Arial Narrow"/>
          <w:b/>
          <w:sz w:val="30"/>
          <w:szCs w:val="30"/>
          <w:lang w:val="x-none"/>
        </w:rPr>
      </w:pPr>
      <w:r w:rsidRPr="002D0971">
        <w:rPr>
          <w:rFonts w:ascii="Arial" w:hAnsi="Arial" w:cs="Arial"/>
          <w:noProof/>
          <w:lang w:eastAsia="cs-CZ"/>
        </w:rPr>
        <w:drawing>
          <wp:inline distT="0" distB="0" distL="0" distR="0" wp14:anchorId="30377893" wp14:editId="1F9AC234">
            <wp:extent cx="5760000" cy="3676650"/>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B63270B" w14:textId="3962C70C" w:rsidR="00B33C33" w:rsidRPr="0074229E" w:rsidRDefault="00B33C33" w:rsidP="0074229E">
      <w:pPr>
        <w:spacing w:after="120" w:line="240" w:lineRule="auto"/>
        <w:rPr>
          <w:rFonts w:ascii="Arial Narrow" w:hAnsi="Arial Narrow"/>
          <w:b/>
          <w:sz w:val="26"/>
          <w:szCs w:val="26"/>
        </w:rPr>
      </w:pPr>
      <w:r w:rsidRPr="0074229E">
        <w:rPr>
          <w:rFonts w:ascii="Arial Narrow" w:hAnsi="Arial Narrow"/>
          <w:b/>
          <w:sz w:val="26"/>
          <w:szCs w:val="26"/>
        </w:rPr>
        <w:t>Domácí péče o dospělé</w:t>
      </w:r>
    </w:p>
    <w:p w14:paraId="45DD92EF" w14:textId="3EAA9361" w:rsidR="00B33C33" w:rsidRDefault="00B33C33" w:rsidP="00A5473B">
      <w:pPr>
        <w:spacing w:after="0" w:line="288" w:lineRule="auto"/>
        <w:jc w:val="both"/>
        <w:rPr>
          <w:rFonts w:ascii="Arial Narrow" w:hAnsi="Arial Narrow"/>
          <w:sz w:val="24"/>
          <w:szCs w:val="24"/>
        </w:rPr>
      </w:pPr>
      <w:r>
        <w:rPr>
          <w:rFonts w:ascii="Arial Narrow" w:hAnsi="Arial Narrow"/>
          <w:sz w:val="24"/>
          <w:szCs w:val="24"/>
        </w:rPr>
        <w:t xml:space="preserve">Novou oblastí, která byla v loňském roce zařazena do dotazování, bylo téma domácí péče o dospělé. Zjišťovalo se, zda některý z členů domácnosti potřebuje péči z důvodu dlouhodobé nemoci, postižení nebo stáří. </w:t>
      </w:r>
      <w:r w:rsidR="00BB23B1">
        <w:rPr>
          <w:rFonts w:ascii="Arial Narrow" w:hAnsi="Arial Narrow"/>
          <w:sz w:val="24"/>
          <w:szCs w:val="24"/>
        </w:rPr>
        <w:t>A z</w:t>
      </w:r>
      <w:r>
        <w:rPr>
          <w:rFonts w:ascii="Arial Narrow" w:hAnsi="Arial Narrow"/>
          <w:sz w:val="24"/>
          <w:szCs w:val="24"/>
        </w:rPr>
        <w:t>da je této osobě poskytována profesionální domácí péče kvalifikovanými</w:t>
      </w:r>
      <w:r w:rsidR="00BB23B1">
        <w:rPr>
          <w:rFonts w:ascii="Arial Narrow" w:hAnsi="Arial Narrow"/>
          <w:sz w:val="24"/>
          <w:szCs w:val="24"/>
        </w:rPr>
        <w:t xml:space="preserve"> </w:t>
      </w:r>
      <w:r>
        <w:rPr>
          <w:rFonts w:ascii="Arial Narrow" w:hAnsi="Arial Narrow"/>
          <w:sz w:val="24"/>
          <w:szCs w:val="24"/>
        </w:rPr>
        <w:t>zdravotnickými nebo pečovatelskými pracovníky</w:t>
      </w:r>
      <w:r w:rsidR="00BB23B1" w:rsidRPr="00984C2B">
        <w:rPr>
          <w:rFonts w:ascii="Arial Narrow" w:hAnsi="Arial Narrow"/>
          <w:sz w:val="24"/>
          <w:szCs w:val="24"/>
        </w:rPr>
        <w:t>.</w:t>
      </w:r>
      <w:r w:rsidR="00A5473B">
        <w:rPr>
          <w:rFonts w:ascii="Arial Narrow" w:hAnsi="Arial Narrow"/>
          <w:sz w:val="24"/>
          <w:szCs w:val="24"/>
        </w:rPr>
        <w:t xml:space="preserve"> </w:t>
      </w:r>
      <w:r>
        <w:rPr>
          <w:rFonts w:ascii="Arial Narrow" w:hAnsi="Arial Narrow"/>
          <w:sz w:val="24"/>
          <w:szCs w:val="24"/>
        </w:rPr>
        <w:t>Domácí zdravotní péče může zahrnovat odběry krve, aplikace injekce, podání infuze, převazy ran či rehabilitace. Patří sem ale i sociální péče,</w:t>
      </w:r>
      <w:r w:rsidR="00A5473B" w:rsidRPr="00A5473B">
        <w:rPr>
          <w:rFonts w:ascii="Arial Narrow" w:hAnsi="Arial Narrow"/>
          <w:spacing w:val="-20"/>
          <w:sz w:val="24"/>
          <w:szCs w:val="24"/>
        </w:rPr>
        <w:t xml:space="preserve"> </w:t>
      </w:r>
      <w:r>
        <w:rPr>
          <w:rFonts w:ascii="Arial Narrow" w:hAnsi="Arial Narrow"/>
          <w:sz w:val="24"/>
          <w:szCs w:val="24"/>
        </w:rPr>
        <w:t>což je pomoc s</w:t>
      </w:r>
      <w:r w:rsidRPr="00A5473B">
        <w:rPr>
          <w:rFonts w:ascii="Arial Narrow" w:hAnsi="Arial Narrow"/>
          <w:spacing w:val="-20"/>
          <w:sz w:val="24"/>
          <w:szCs w:val="24"/>
        </w:rPr>
        <w:t xml:space="preserve"> </w:t>
      </w:r>
      <w:r>
        <w:rPr>
          <w:rFonts w:ascii="Arial Narrow" w:hAnsi="Arial Narrow"/>
          <w:sz w:val="24"/>
          <w:szCs w:val="24"/>
        </w:rPr>
        <w:t>každodenními úkony</w:t>
      </w:r>
      <w:r w:rsidR="00C2787D">
        <w:rPr>
          <w:rFonts w:ascii="Arial Narrow" w:hAnsi="Arial Narrow"/>
          <w:sz w:val="24"/>
          <w:szCs w:val="24"/>
        </w:rPr>
        <w:t>,</w:t>
      </w:r>
      <w:r w:rsidR="00A5473B">
        <w:rPr>
          <w:rFonts w:ascii="Arial Narrow" w:hAnsi="Arial Narrow"/>
          <w:sz w:val="24"/>
          <w:szCs w:val="24"/>
        </w:rPr>
        <w:t xml:space="preserve"> </w:t>
      </w:r>
      <w:r>
        <w:rPr>
          <w:rFonts w:ascii="Arial Narrow" w:hAnsi="Arial Narrow"/>
          <w:sz w:val="24"/>
          <w:szCs w:val="24"/>
        </w:rPr>
        <w:t>jako je mytí pacienta, příprava pokrmů, dohled nad</w:t>
      </w:r>
      <w:r w:rsidR="00A5473B">
        <w:rPr>
          <w:rFonts w:ascii="Arial Narrow" w:hAnsi="Arial Narrow"/>
          <w:sz w:val="24"/>
          <w:szCs w:val="24"/>
        </w:rPr>
        <w:t xml:space="preserve"> </w:t>
      </w:r>
      <w:r>
        <w:rPr>
          <w:rFonts w:ascii="Arial Narrow" w:hAnsi="Arial Narrow"/>
          <w:sz w:val="24"/>
          <w:szCs w:val="24"/>
        </w:rPr>
        <w:t xml:space="preserve">pravidelným užíváním léků, lehké domácí práce či </w:t>
      </w:r>
      <w:r w:rsidR="00C2787D">
        <w:rPr>
          <w:rFonts w:ascii="Arial Narrow" w:hAnsi="Arial Narrow"/>
          <w:sz w:val="24"/>
          <w:szCs w:val="24"/>
        </w:rPr>
        <w:t>osobní komunikace s klientem</w:t>
      </w:r>
      <w:r>
        <w:rPr>
          <w:rFonts w:ascii="Arial Narrow" w:hAnsi="Arial Narrow"/>
          <w:sz w:val="24"/>
          <w:szCs w:val="24"/>
        </w:rPr>
        <w:t>.</w:t>
      </w:r>
    </w:p>
    <w:p w14:paraId="605AAEAB" w14:textId="77777777" w:rsidR="00B33C33" w:rsidRDefault="00B33C33" w:rsidP="00F22778">
      <w:pPr>
        <w:spacing w:after="240" w:line="288" w:lineRule="auto"/>
        <w:jc w:val="both"/>
        <w:rPr>
          <w:rFonts w:ascii="Arial Narrow" w:hAnsi="Arial Narrow"/>
          <w:sz w:val="24"/>
          <w:szCs w:val="24"/>
        </w:rPr>
      </w:pPr>
      <w:r>
        <w:rPr>
          <w:rFonts w:ascii="Arial Narrow" w:hAnsi="Arial Narrow"/>
          <w:sz w:val="24"/>
          <w:szCs w:val="24"/>
        </w:rPr>
        <w:t>Z výsledků vyplynulo, že 6,5</w:t>
      </w:r>
      <w:r>
        <w:rPr>
          <w:rFonts w:ascii="Arial Narrow" w:hAnsi="Arial Narrow"/>
          <w:spacing w:val="-20"/>
          <w:sz w:val="24"/>
          <w:szCs w:val="24"/>
        </w:rPr>
        <w:t xml:space="preserve"> </w:t>
      </w:r>
      <w:r>
        <w:rPr>
          <w:rFonts w:ascii="Arial Narrow" w:hAnsi="Arial Narrow"/>
          <w:sz w:val="24"/>
          <w:szCs w:val="24"/>
        </w:rPr>
        <w:t>% domácností v</w:t>
      </w:r>
      <w:r>
        <w:rPr>
          <w:rFonts w:ascii="Arial Narrow" w:hAnsi="Arial Narrow"/>
          <w:spacing w:val="-20"/>
          <w:sz w:val="24"/>
          <w:szCs w:val="24"/>
        </w:rPr>
        <w:t> </w:t>
      </w:r>
      <w:r>
        <w:rPr>
          <w:rFonts w:ascii="Arial Narrow" w:hAnsi="Arial Narrow"/>
          <w:sz w:val="24"/>
          <w:szCs w:val="24"/>
        </w:rPr>
        <w:t>Česku má doma nějakou osobu, která není zcela soběstačná a potřebuje péči, ale pouze méně než třetině z nich, tj. 1,8 %, je poskytována profesionální domácí péče.</w:t>
      </w:r>
    </w:p>
    <w:p w14:paraId="5DC585F6" w14:textId="27631085" w:rsidR="00B33C33" w:rsidRDefault="00B33C33" w:rsidP="0054157D">
      <w:pPr>
        <w:pStyle w:val="Titulek"/>
        <w:keepNext/>
        <w:spacing w:after="120" w:line="288" w:lineRule="auto"/>
      </w:pPr>
      <w:r>
        <w:t xml:space="preserve">Graf </w:t>
      </w:r>
      <w:r w:rsidR="0019709C">
        <w:fldChar w:fldCharType="begin"/>
      </w:r>
      <w:r w:rsidR="0019709C">
        <w:instrText xml:space="preserve"> SEQ Graf \* ARABIC </w:instrText>
      </w:r>
      <w:r w:rsidR="0019709C">
        <w:fldChar w:fldCharType="separate"/>
      </w:r>
      <w:r w:rsidR="00AF6CC5">
        <w:rPr>
          <w:noProof/>
        </w:rPr>
        <w:t>17</w:t>
      </w:r>
      <w:r w:rsidR="0019709C">
        <w:rPr>
          <w:noProof/>
        </w:rPr>
        <w:fldChar w:fldCharType="end"/>
      </w:r>
      <w:r>
        <w:rPr>
          <w:lang w:val="cs-CZ"/>
        </w:rPr>
        <w:t xml:space="preserve"> </w:t>
      </w:r>
      <w:r w:rsidRPr="00FF267F">
        <w:rPr>
          <w:lang w:val="cs-CZ"/>
        </w:rPr>
        <w:t>Podíl domácností, které využívají domácí péči (2024, %)</w:t>
      </w:r>
    </w:p>
    <w:p w14:paraId="1B42D11A" w14:textId="28154236" w:rsidR="00B33C33" w:rsidRDefault="00B33C33" w:rsidP="008312F4">
      <w:pPr>
        <w:spacing w:after="240" w:line="288" w:lineRule="auto"/>
        <w:jc w:val="both"/>
        <w:rPr>
          <w:rFonts w:ascii="Arial Narrow" w:hAnsi="Arial Narrow"/>
          <w:sz w:val="24"/>
          <w:szCs w:val="24"/>
        </w:rPr>
      </w:pPr>
      <w:r w:rsidRPr="002D0971">
        <w:rPr>
          <w:rFonts w:ascii="Arial" w:hAnsi="Arial" w:cs="Arial"/>
          <w:noProof/>
          <w:lang w:eastAsia="cs-CZ"/>
        </w:rPr>
        <w:drawing>
          <wp:inline distT="0" distB="0" distL="0" distR="0" wp14:anchorId="38385F51" wp14:editId="0F1914FE">
            <wp:extent cx="5760000" cy="2251710"/>
            <wp:effectExtent l="0" t="0" r="0" b="0"/>
            <wp:docPr id="41" name="Graf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551A05D" w14:textId="071ACCF9" w:rsidR="00B33C33" w:rsidRDefault="00B33C33" w:rsidP="00F22778">
      <w:pPr>
        <w:spacing w:after="240" w:line="288" w:lineRule="auto"/>
        <w:jc w:val="both"/>
        <w:rPr>
          <w:rFonts w:ascii="Arial Narrow" w:hAnsi="Arial Narrow"/>
          <w:sz w:val="24"/>
          <w:szCs w:val="24"/>
        </w:rPr>
      </w:pPr>
      <w:r>
        <w:rPr>
          <w:rFonts w:ascii="Arial Narrow" w:hAnsi="Arial Narrow"/>
          <w:sz w:val="24"/>
          <w:szCs w:val="24"/>
        </w:rPr>
        <w:t>Domácnosti, které již služby profesionální domácí péče využívají, byly dále dotazovány, kdo je plátcem za poskytované služby. Ukázalo se, že téměř třetina těchto domácností za odbornou domácí péči vůbec nic neplatí, neboť je plně hrazena z veřejného zdravotního pojištění. Dalších 41,2 % domácností uvedlo, že tuto péči platí jen částečně, přičemž zbytek je jim proplácen z veřejných peněz. Pouze čtvrtina (25,3 %) domácností připustila, že si plně hradí domácí ošetřovatelku.</w:t>
      </w:r>
    </w:p>
    <w:p w14:paraId="495C18B7" w14:textId="62694560" w:rsidR="00BC5C5B" w:rsidRDefault="00BC5C5B" w:rsidP="00F22778">
      <w:pPr>
        <w:pStyle w:val="Titulek"/>
        <w:keepNext/>
        <w:spacing w:after="240" w:line="24" w:lineRule="atLeast"/>
      </w:pPr>
      <w:r>
        <w:t xml:space="preserve">Graf </w:t>
      </w:r>
      <w:r w:rsidR="0019709C">
        <w:fldChar w:fldCharType="begin"/>
      </w:r>
      <w:r w:rsidR="0019709C">
        <w:instrText xml:space="preserve"> SEQ Graf \* ARABIC </w:instrText>
      </w:r>
      <w:r w:rsidR="0019709C">
        <w:fldChar w:fldCharType="separate"/>
      </w:r>
      <w:r w:rsidR="00AF6CC5">
        <w:rPr>
          <w:noProof/>
        </w:rPr>
        <w:t>18</w:t>
      </w:r>
      <w:r w:rsidR="0019709C">
        <w:rPr>
          <w:noProof/>
        </w:rPr>
        <w:fldChar w:fldCharType="end"/>
      </w:r>
      <w:r>
        <w:rPr>
          <w:lang w:val="cs-CZ"/>
        </w:rPr>
        <w:t xml:space="preserve"> </w:t>
      </w:r>
      <w:r w:rsidRPr="00FB788F">
        <w:rPr>
          <w:lang w:val="cs-CZ"/>
        </w:rPr>
        <w:t>Platba za profesionální domácí péči (2024, %)</w:t>
      </w:r>
    </w:p>
    <w:p w14:paraId="5AE453B7" w14:textId="63008C10" w:rsidR="00B33C33" w:rsidRDefault="00B33C33" w:rsidP="00F22778">
      <w:pPr>
        <w:spacing w:after="240" w:line="24" w:lineRule="atLeast"/>
        <w:rPr>
          <w:rFonts w:ascii="Arial Narrow" w:hAnsi="Arial Narrow"/>
          <w:sz w:val="24"/>
          <w:szCs w:val="24"/>
        </w:rPr>
      </w:pPr>
      <w:r>
        <w:rPr>
          <w:noProof/>
          <w:lang w:eastAsia="cs-CZ"/>
        </w:rPr>
        <w:drawing>
          <wp:inline distT="0" distB="0" distL="0" distR="0" wp14:anchorId="3ECA010A" wp14:editId="50470E6B">
            <wp:extent cx="5760000" cy="2105025"/>
            <wp:effectExtent l="0" t="0" r="0" b="0"/>
            <wp:docPr id="50" name="Graf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28564C" w14:textId="77777777" w:rsidR="00B33C33" w:rsidRDefault="00B33C33" w:rsidP="00A5473B">
      <w:pPr>
        <w:spacing w:after="0" w:line="20" w:lineRule="atLeast"/>
        <w:jc w:val="both"/>
        <w:rPr>
          <w:rFonts w:ascii="Arial Narrow" w:hAnsi="Arial Narrow"/>
          <w:sz w:val="24"/>
          <w:szCs w:val="24"/>
        </w:rPr>
      </w:pPr>
    </w:p>
    <w:p w14:paraId="065CC833" w14:textId="77777777" w:rsidR="002B16AE" w:rsidRDefault="002B16AE" w:rsidP="00F22778">
      <w:pPr>
        <w:spacing w:after="240" w:line="288" w:lineRule="auto"/>
        <w:jc w:val="both"/>
        <w:rPr>
          <w:rFonts w:ascii="Arial Narrow" w:hAnsi="Arial Narrow"/>
          <w:sz w:val="24"/>
          <w:szCs w:val="24"/>
        </w:rPr>
      </w:pPr>
    </w:p>
    <w:p w14:paraId="15D63FB7" w14:textId="2A908C22" w:rsidR="00BC5C5B" w:rsidRPr="00F22778" w:rsidRDefault="00F22778" w:rsidP="00F22778">
      <w:pPr>
        <w:spacing w:after="240" w:line="288" w:lineRule="auto"/>
        <w:jc w:val="both"/>
        <w:rPr>
          <w:rFonts w:ascii="Arial Narrow" w:hAnsi="Arial Narrow"/>
          <w:sz w:val="24"/>
          <w:szCs w:val="24"/>
        </w:rPr>
      </w:pPr>
      <w:r>
        <w:rPr>
          <w:rFonts w:ascii="Arial Narrow" w:hAnsi="Arial Narrow"/>
          <w:sz w:val="24"/>
          <w:szCs w:val="24"/>
        </w:rPr>
        <w:t xml:space="preserve">Domácnosti, které </w:t>
      </w:r>
      <w:r w:rsidR="006F1BC7">
        <w:rPr>
          <w:rFonts w:ascii="Arial Narrow" w:hAnsi="Arial Narrow"/>
          <w:sz w:val="24"/>
          <w:szCs w:val="24"/>
        </w:rPr>
        <w:t xml:space="preserve">si částečně nebo plně hradí </w:t>
      </w:r>
      <w:r>
        <w:rPr>
          <w:rFonts w:ascii="Arial Narrow" w:hAnsi="Arial Narrow"/>
          <w:sz w:val="24"/>
          <w:szCs w:val="24"/>
        </w:rPr>
        <w:t xml:space="preserve">profesionální domácí péči, </w:t>
      </w:r>
      <w:r w:rsidR="007C2105">
        <w:rPr>
          <w:rFonts w:ascii="Arial Narrow" w:hAnsi="Arial Narrow"/>
          <w:sz w:val="24"/>
          <w:szCs w:val="24"/>
        </w:rPr>
        <w:t>zároveň referovaly o tom</w:t>
      </w:r>
      <w:r w:rsidR="00B33C33">
        <w:rPr>
          <w:rFonts w:ascii="Arial Narrow" w:hAnsi="Arial Narrow"/>
          <w:sz w:val="24"/>
          <w:szCs w:val="24"/>
        </w:rPr>
        <w:t>,</w:t>
      </w:r>
      <w:r w:rsidR="00B33C33" w:rsidRPr="00F22778">
        <w:rPr>
          <w:rFonts w:ascii="Arial Narrow" w:hAnsi="Arial Narrow"/>
          <w:sz w:val="24"/>
          <w:szCs w:val="24"/>
        </w:rPr>
        <w:t xml:space="preserve"> </w:t>
      </w:r>
      <w:r w:rsidR="00B33C33">
        <w:rPr>
          <w:rFonts w:ascii="Arial Narrow" w:hAnsi="Arial Narrow"/>
          <w:sz w:val="24"/>
          <w:szCs w:val="24"/>
        </w:rPr>
        <w:t>jak</w:t>
      </w:r>
      <w:r w:rsidR="00B604FF">
        <w:rPr>
          <w:rFonts w:ascii="Arial Narrow" w:hAnsi="Arial Narrow"/>
          <w:sz w:val="24"/>
          <w:szCs w:val="24"/>
        </w:rPr>
        <w:t xml:space="preserve"> </w:t>
      </w:r>
      <w:r w:rsidR="007C2105">
        <w:rPr>
          <w:rFonts w:ascii="Arial Narrow" w:hAnsi="Arial Narrow"/>
          <w:sz w:val="24"/>
          <w:szCs w:val="24"/>
        </w:rPr>
        <w:t>za</w:t>
      </w:r>
      <w:r w:rsidR="007C2105" w:rsidRPr="00F22778">
        <w:rPr>
          <w:rFonts w:ascii="Arial Narrow" w:hAnsi="Arial Narrow"/>
          <w:sz w:val="24"/>
          <w:szCs w:val="24"/>
        </w:rPr>
        <w:t xml:space="preserve"> </w:t>
      </w:r>
      <w:r w:rsidR="007C2105">
        <w:rPr>
          <w:rFonts w:ascii="Arial Narrow" w:hAnsi="Arial Narrow"/>
          <w:sz w:val="24"/>
          <w:szCs w:val="24"/>
        </w:rPr>
        <w:t xml:space="preserve">tyto služby </w:t>
      </w:r>
      <w:r w:rsidR="00B33C33">
        <w:rPr>
          <w:rFonts w:ascii="Arial Narrow" w:hAnsi="Arial Narrow"/>
          <w:sz w:val="24"/>
          <w:szCs w:val="24"/>
        </w:rPr>
        <w:t xml:space="preserve">zvládají platit. Z jejich vyjádření lze konstatovat, že velmi snadno až snadno je schopno hradit tuto péči </w:t>
      </w:r>
      <w:r>
        <w:rPr>
          <w:rFonts w:ascii="Arial Narrow" w:hAnsi="Arial Narrow"/>
          <w:sz w:val="24"/>
          <w:szCs w:val="24"/>
        </w:rPr>
        <w:t>zhruba</w:t>
      </w:r>
      <w:r w:rsidR="00B33C33">
        <w:rPr>
          <w:rFonts w:ascii="Arial Narrow" w:hAnsi="Arial Narrow"/>
          <w:sz w:val="24"/>
          <w:szCs w:val="24"/>
        </w:rPr>
        <w:t xml:space="preserve"> 9 % domácností, docela snadno zhruba třetina oslovených domácností, stejně tak necelá třetina zvolila možnost s menšími obtížemi</w:t>
      </w:r>
      <w:r w:rsidR="0072171E">
        <w:rPr>
          <w:rFonts w:ascii="Arial Narrow" w:hAnsi="Arial Narrow"/>
          <w:sz w:val="24"/>
          <w:szCs w:val="24"/>
        </w:rPr>
        <w:t>. S</w:t>
      </w:r>
      <w:r w:rsidR="00B33C33">
        <w:rPr>
          <w:rFonts w:ascii="Arial Narrow" w:hAnsi="Arial Narrow"/>
          <w:sz w:val="24"/>
          <w:szCs w:val="24"/>
        </w:rPr>
        <w:t xml:space="preserve"> obtížemi až</w:t>
      </w:r>
      <w:r w:rsidR="00B33C33" w:rsidRPr="00F22778">
        <w:rPr>
          <w:rFonts w:ascii="Arial Narrow" w:hAnsi="Arial Narrow"/>
          <w:sz w:val="24"/>
          <w:szCs w:val="24"/>
        </w:rPr>
        <w:t xml:space="preserve"> </w:t>
      </w:r>
      <w:r w:rsidR="00B33C33">
        <w:rPr>
          <w:rFonts w:ascii="Arial Narrow" w:hAnsi="Arial Narrow"/>
          <w:sz w:val="24"/>
          <w:szCs w:val="24"/>
        </w:rPr>
        <w:t>velkými obtížemi se potýká při hrazení domácí péče víc jak čtvrtina (27,5 %) domácností, které ji využívají.</w:t>
      </w:r>
    </w:p>
    <w:p w14:paraId="6611319D" w14:textId="6C486499" w:rsidR="00BC5C5B" w:rsidRDefault="00BC5C5B" w:rsidP="00BC5C5B">
      <w:pPr>
        <w:pStyle w:val="Titulek"/>
        <w:keepNext/>
        <w:spacing w:before="240" w:after="0"/>
        <w:jc w:val="both"/>
      </w:pPr>
      <w:r>
        <w:t xml:space="preserve">Graf </w:t>
      </w:r>
      <w:r w:rsidR="0019709C">
        <w:fldChar w:fldCharType="begin"/>
      </w:r>
      <w:r w:rsidR="0019709C">
        <w:instrText xml:space="preserve"> SEQ Graf \* ARABIC </w:instrText>
      </w:r>
      <w:r w:rsidR="0019709C">
        <w:fldChar w:fldCharType="separate"/>
      </w:r>
      <w:r w:rsidR="00AF6CC5">
        <w:rPr>
          <w:noProof/>
        </w:rPr>
        <w:t>19</w:t>
      </w:r>
      <w:r w:rsidR="0019709C">
        <w:rPr>
          <w:noProof/>
        </w:rPr>
        <w:fldChar w:fldCharType="end"/>
      </w:r>
      <w:r w:rsidRPr="003279E5">
        <w:rPr>
          <w:lang w:val="cs-CZ"/>
        </w:rPr>
        <w:t xml:space="preserve"> Schopnost domácnosti hradit výdaje za služby profesionální domácí péče (2024, %)</w:t>
      </w:r>
    </w:p>
    <w:p w14:paraId="6A8354A2" w14:textId="24B02DB5" w:rsidR="00B33C33" w:rsidRDefault="00BC5C5B" w:rsidP="00B33C33">
      <w:pPr>
        <w:spacing w:after="0" w:line="288" w:lineRule="auto"/>
        <w:jc w:val="both"/>
        <w:rPr>
          <w:rFonts w:ascii="Arial Narrow" w:hAnsi="Arial Narrow"/>
          <w:sz w:val="24"/>
          <w:szCs w:val="24"/>
        </w:rPr>
      </w:pPr>
      <w:r w:rsidRPr="008312F4">
        <w:rPr>
          <w:rFonts w:ascii="Arial" w:hAnsi="Arial" w:cs="Arial"/>
          <w:noProof/>
          <w:lang w:eastAsia="cs-CZ"/>
        </w:rPr>
        <w:drawing>
          <wp:inline distT="0" distB="0" distL="0" distR="0" wp14:anchorId="0F276264" wp14:editId="5100F6E9">
            <wp:extent cx="5760000" cy="2113280"/>
            <wp:effectExtent l="0" t="0" r="0" b="1270"/>
            <wp:docPr id="48" name="Graf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6035F41" w14:textId="77777777" w:rsidR="00B604FF" w:rsidRDefault="00B604FF">
      <w:pPr>
        <w:spacing w:after="0" w:line="240" w:lineRule="auto"/>
        <w:rPr>
          <w:rFonts w:ascii="Arial Narrow" w:hAnsi="Arial Narrow"/>
          <w:b/>
          <w:sz w:val="26"/>
          <w:szCs w:val="26"/>
        </w:rPr>
      </w:pPr>
      <w:r>
        <w:rPr>
          <w:rFonts w:ascii="Arial Narrow" w:hAnsi="Arial Narrow"/>
          <w:b/>
          <w:sz w:val="26"/>
          <w:szCs w:val="26"/>
        </w:rPr>
        <w:br w:type="page"/>
      </w:r>
    </w:p>
    <w:p w14:paraId="21B9B679" w14:textId="1E44F1F7" w:rsidR="00B33C33" w:rsidRPr="00F22778" w:rsidRDefault="00B33C33" w:rsidP="00F22778">
      <w:pPr>
        <w:spacing w:after="120" w:line="240" w:lineRule="auto"/>
        <w:rPr>
          <w:rFonts w:ascii="Arial Narrow" w:hAnsi="Arial Narrow"/>
          <w:b/>
          <w:sz w:val="26"/>
          <w:szCs w:val="26"/>
        </w:rPr>
      </w:pPr>
      <w:r w:rsidRPr="00F22778">
        <w:rPr>
          <w:rFonts w:ascii="Arial Narrow" w:hAnsi="Arial Narrow"/>
          <w:b/>
          <w:sz w:val="26"/>
          <w:szCs w:val="26"/>
        </w:rPr>
        <w:t xml:space="preserve">Veřejná hromadná doprava </w:t>
      </w:r>
    </w:p>
    <w:p w14:paraId="6C99FBAC" w14:textId="5497619F" w:rsidR="00B33C33" w:rsidRDefault="00B33C33" w:rsidP="00F22778">
      <w:pPr>
        <w:spacing w:after="240" w:line="288" w:lineRule="auto"/>
        <w:jc w:val="both"/>
        <w:rPr>
          <w:rFonts w:ascii="Arial Narrow" w:hAnsi="Arial Narrow"/>
          <w:sz w:val="24"/>
          <w:szCs w:val="24"/>
        </w:rPr>
      </w:pPr>
      <w:r>
        <w:rPr>
          <w:rFonts w:ascii="Arial Narrow" w:hAnsi="Arial Narrow"/>
          <w:sz w:val="24"/>
          <w:szCs w:val="24"/>
        </w:rPr>
        <w:t xml:space="preserve">Další </w:t>
      </w:r>
      <w:r w:rsidR="00230FD3">
        <w:rPr>
          <w:rFonts w:ascii="Arial Narrow" w:hAnsi="Arial Narrow"/>
          <w:sz w:val="24"/>
          <w:szCs w:val="24"/>
        </w:rPr>
        <w:t xml:space="preserve">nová </w:t>
      </w:r>
      <w:r>
        <w:rPr>
          <w:rFonts w:ascii="Arial Narrow" w:hAnsi="Arial Narrow"/>
          <w:sz w:val="24"/>
          <w:szCs w:val="24"/>
        </w:rPr>
        <w:t xml:space="preserve">oblast se věnovala využívání veřejné hromadné dopravy během posledních 12 měsíců, jako je autobus, vlak, tramvaj či metro. Odpovídaly na ni </w:t>
      </w:r>
      <w:r w:rsidRPr="00F22778">
        <w:rPr>
          <w:rFonts w:ascii="Arial Narrow" w:hAnsi="Arial Narrow"/>
          <w:sz w:val="24"/>
          <w:szCs w:val="24"/>
        </w:rPr>
        <w:t xml:space="preserve">všechny osoby ve věku 16 a více let a </w:t>
      </w:r>
      <w:r>
        <w:rPr>
          <w:rFonts w:ascii="Arial Narrow" w:hAnsi="Arial Narrow"/>
          <w:sz w:val="24"/>
          <w:szCs w:val="24"/>
        </w:rPr>
        <w:t>zjišťovala se frekvence,</w:t>
      </w:r>
      <w:r w:rsidR="00230FD3">
        <w:rPr>
          <w:rFonts w:ascii="Arial Narrow" w:hAnsi="Arial Narrow"/>
          <w:sz w:val="24"/>
          <w:szCs w:val="24"/>
        </w:rPr>
        <w:t xml:space="preserve"> </w:t>
      </w:r>
      <w:r>
        <w:rPr>
          <w:rFonts w:ascii="Arial Narrow" w:hAnsi="Arial Narrow"/>
          <w:sz w:val="24"/>
          <w:szCs w:val="24"/>
        </w:rPr>
        <w:t>s jakou členové domácnosti používali veřejnou hromadnou dopravu za poslední rok.</w:t>
      </w:r>
      <w:r w:rsidR="00230FD3">
        <w:rPr>
          <w:rFonts w:ascii="Arial Narrow" w:hAnsi="Arial Narrow"/>
          <w:sz w:val="24"/>
          <w:szCs w:val="24"/>
        </w:rPr>
        <w:t xml:space="preserve"> Zjištěné výsledky byly dále </w:t>
      </w:r>
      <w:r>
        <w:rPr>
          <w:rFonts w:ascii="Arial Narrow" w:hAnsi="Arial Narrow"/>
          <w:sz w:val="24"/>
          <w:szCs w:val="24"/>
        </w:rPr>
        <w:t>rozděleny podle velikosti obce, kde daná domácnost bydlí. Obce zpravidla dělíme do</w:t>
      </w:r>
      <w:r w:rsidR="00230FD3">
        <w:rPr>
          <w:rFonts w:ascii="Arial Narrow" w:hAnsi="Arial Narrow"/>
          <w:sz w:val="24"/>
          <w:szCs w:val="24"/>
        </w:rPr>
        <w:t> </w:t>
      </w:r>
      <w:r>
        <w:rPr>
          <w:rFonts w:ascii="Arial Narrow" w:hAnsi="Arial Narrow"/>
          <w:sz w:val="24"/>
          <w:szCs w:val="24"/>
        </w:rPr>
        <w:t>3</w:t>
      </w:r>
      <w:r w:rsidR="00230FD3">
        <w:rPr>
          <w:rFonts w:ascii="Arial Narrow" w:hAnsi="Arial Narrow"/>
          <w:sz w:val="24"/>
          <w:szCs w:val="24"/>
        </w:rPr>
        <w:t> </w:t>
      </w:r>
      <w:r>
        <w:rPr>
          <w:rFonts w:ascii="Arial Narrow" w:hAnsi="Arial Narrow"/>
          <w:sz w:val="24"/>
          <w:szCs w:val="24"/>
        </w:rPr>
        <w:t xml:space="preserve">kategorií – velká města nad 100 tisíc obyvatel (což splňuje zhruba polovina krajských měst), středně velká města od 10 do 100 tisíc obyvatel a vesnice či obce do 10 tisíc obyvatel. </w:t>
      </w:r>
    </w:p>
    <w:p w14:paraId="68BAA9C6" w14:textId="322B0CAA" w:rsidR="00BC5C5B" w:rsidRDefault="00FB3CF6" w:rsidP="00F22778">
      <w:pPr>
        <w:spacing w:after="240" w:line="288" w:lineRule="auto"/>
        <w:jc w:val="both"/>
        <w:rPr>
          <w:rFonts w:ascii="Arial Narrow" w:hAnsi="Arial Narrow"/>
          <w:sz w:val="24"/>
          <w:szCs w:val="24"/>
        </w:rPr>
      </w:pPr>
      <w:r>
        <w:rPr>
          <w:rFonts w:ascii="Arial Narrow" w:hAnsi="Arial Narrow"/>
          <w:sz w:val="24"/>
          <w:szCs w:val="24"/>
        </w:rPr>
        <w:t xml:space="preserve">Vidíme, že zhruba </w:t>
      </w:r>
      <w:r w:rsidR="00B33C33">
        <w:rPr>
          <w:rFonts w:ascii="Arial Narrow" w:hAnsi="Arial Narrow"/>
          <w:sz w:val="24"/>
          <w:szCs w:val="24"/>
        </w:rPr>
        <w:t>4</w:t>
      </w:r>
      <w:r>
        <w:rPr>
          <w:rFonts w:ascii="Arial Narrow" w:hAnsi="Arial Narrow"/>
          <w:sz w:val="24"/>
          <w:szCs w:val="24"/>
        </w:rPr>
        <w:t xml:space="preserve">4 </w:t>
      </w:r>
      <w:r w:rsidR="00B33C33">
        <w:rPr>
          <w:rFonts w:ascii="Arial Narrow" w:hAnsi="Arial Narrow"/>
          <w:sz w:val="24"/>
          <w:szCs w:val="24"/>
        </w:rPr>
        <w:t>%</w:t>
      </w:r>
      <w:r>
        <w:rPr>
          <w:rFonts w:ascii="Arial Narrow" w:hAnsi="Arial Narrow"/>
          <w:sz w:val="24"/>
          <w:szCs w:val="24"/>
        </w:rPr>
        <w:t xml:space="preserve"> lidí nad 16 let </w:t>
      </w:r>
      <w:r w:rsidR="00B33C33">
        <w:rPr>
          <w:rFonts w:ascii="Arial Narrow" w:hAnsi="Arial Narrow"/>
          <w:sz w:val="24"/>
          <w:szCs w:val="24"/>
        </w:rPr>
        <w:t xml:space="preserve">ve velkých městech používá veřejnou hromadnou dopravu denně a další bezmála čtvrtina </w:t>
      </w:r>
      <w:r>
        <w:rPr>
          <w:rFonts w:ascii="Arial Narrow" w:hAnsi="Arial Narrow"/>
          <w:sz w:val="24"/>
          <w:szCs w:val="24"/>
        </w:rPr>
        <w:t>l</w:t>
      </w:r>
      <w:r w:rsidR="00B33C33">
        <w:rPr>
          <w:rFonts w:ascii="Arial Narrow" w:hAnsi="Arial Narrow"/>
          <w:sz w:val="24"/>
          <w:szCs w:val="24"/>
        </w:rPr>
        <w:t>idí (22,7</w:t>
      </w:r>
      <w:r w:rsidR="00B33C33" w:rsidRPr="00FB3CF6">
        <w:rPr>
          <w:rFonts w:ascii="Arial Narrow" w:hAnsi="Arial Narrow"/>
          <w:spacing w:val="-20"/>
          <w:sz w:val="24"/>
          <w:szCs w:val="24"/>
        </w:rPr>
        <w:t xml:space="preserve"> </w:t>
      </w:r>
      <w:r w:rsidR="00B33C33">
        <w:rPr>
          <w:rFonts w:ascii="Arial Narrow" w:hAnsi="Arial Narrow"/>
          <w:sz w:val="24"/>
          <w:szCs w:val="24"/>
        </w:rPr>
        <w:t>%) ji používá alespoň jednou za týden. Pouze 11</w:t>
      </w:r>
      <w:r w:rsidR="00B33C33" w:rsidRPr="00F22778">
        <w:rPr>
          <w:rFonts w:ascii="Arial Narrow" w:hAnsi="Arial Narrow"/>
          <w:sz w:val="24"/>
          <w:szCs w:val="24"/>
        </w:rPr>
        <w:t xml:space="preserve"> </w:t>
      </w:r>
      <w:r w:rsidR="00B33C33">
        <w:rPr>
          <w:rFonts w:ascii="Arial Narrow" w:hAnsi="Arial Narrow"/>
          <w:sz w:val="24"/>
          <w:szCs w:val="24"/>
        </w:rPr>
        <w:t xml:space="preserve">% osob ji použije méně než jednou měsíčně a 9,1 % osob vůbec. Pokud se zaměříme na středně velká města od 10 do 100 tisíc obyvatel, ukazuje se, že pravidelné používání veřejné hromadné dopravy významně klesá. Denně ji používá jen každý šestý člověk, podobný podíl dotázaných uvedl i prostřední kategorii několikrát za měsíc a skoro třetina oslovených z těchto měst odpověděla, že ji nepoužili vůbec. Na vesnicích či v malých obcích </w:t>
      </w:r>
      <w:r w:rsidR="008050C6">
        <w:rPr>
          <w:rFonts w:ascii="Arial Narrow" w:hAnsi="Arial Narrow"/>
          <w:sz w:val="24"/>
          <w:szCs w:val="24"/>
        </w:rPr>
        <w:t>v</w:t>
      </w:r>
      <w:r w:rsidR="00B33C33">
        <w:rPr>
          <w:rFonts w:ascii="Arial Narrow" w:hAnsi="Arial Narrow"/>
          <w:sz w:val="24"/>
          <w:szCs w:val="24"/>
        </w:rPr>
        <w:t xml:space="preserve">eřejnou hromadnou dopravu využívá denně </w:t>
      </w:r>
      <w:r w:rsidR="008050C6">
        <w:rPr>
          <w:rFonts w:ascii="Arial Narrow" w:hAnsi="Arial Narrow"/>
          <w:sz w:val="24"/>
          <w:szCs w:val="24"/>
        </w:rPr>
        <w:t xml:space="preserve">jen </w:t>
      </w:r>
      <w:r w:rsidR="00B33C33">
        <w:rPr>
          <w:rFonts w:ascii="Arial Narrow" w:hAnsi="Arial Narrow"/>
          <w:sz w:val="24"/>
          <w:szCs w:val="24"/>
        </w:rPr>
        <w:t>11,7 % obyvatel a dalších 8,4 % uvádí alespoň jednou týdně. Naopak víc jak pětina dotázaných sdělila,</w:t>
      </w:r>
      <w:r w:rsidR="00B33C33" w:rsidRPr="00B07338">
        <w:rPr>
          <w:rFonts w:ascii="Arial Narrow" w:hAnsi="Arial Narrow"/>
          <w:spacing w:val="-20"/>
          <w:sz w:val="24"/>
          <w:szCs w:val="24"/>
        </w:rPr>
        <w:t xml:space="preserve"> </w:t>
      </w:r>
      <w:r w:rsidR="00B33C33">
        <w:rPr>
          <w:rFonts w:ascii="Arial Narrow" w:hAnsi="Arial Narrow"/>
          <w:sz w:val="24"/>
          <w:szCs w:val="24"/>
        </w:rPr>
        <w:t xml:space="preserve">že ji používá </w:t>
      </w:r>
      <w:r w:rsidR="008050C6">
        <w:rPr>
          <w:rFonts w:ascii="Arial Narrow" w:hAnsi="Arial Narrow"/>
          <w:sz w:val="24"/>
          <w:szCs w:val="24"/>
        </w:rPr>
        <w:t>maximálně jednou měsíčně a</w:t>
      </w:r>
      <w:r w:rsidR="00B07338">
        <w:rPr>
          <w:rFonts w:ascii="Arial Narrow" w:hAnsi="Arial Narrow"/>
          <w:sz w:val="24"/>
          <w:szCs w:val="24"/>
        </w:rPr>
        <w:t> </w:t>
      </w:r>
      <w:r w:rsidR="008050C6">
        <w:rPr>
          <w:rFonts w:ascii="Arial Narrow" w:hAnsi="Arial Narrow"/>
          <w:sz w:val="24"/>
          <w:szCs w:val="24"/>
        </w:rPr>
        <w:t>42,7</w:t>
      </w:r>
      <w:r w:rsidR="008050C6" w:rsidRPr="00B07338">
        <w:rPr>
          <w:rFonts w:ascii="Arial Narrow" w:hAnsi="Arial Narrow"/>
          <w:spacing w:val="-20"/>
          <w:sz w:val="24"/>
          <w:szCs w:val="24"/>
        </w:rPr>
        <w:t> </w:t>
      </w:r>
      <w:r w:rsidR="00B33C33">
        <w:rPr>
          <w:rFonts w:ascii="Arial Narrow" w:hAnsi="Arial Narrow"/>
          <w:sz w:val="24"/>
          <w:szCs w:val="24"/>
        </w:rPr>
        <w:t>% lidí z venkova připustilo, že nejezdí veř</w:t>
      </w:r>
      <w:r w:rsidR="00BC5C5B">
        <w:rPr>
          <w:rFonts w:ascii="Arial Narrow" w:hAnsi="Arial Narrow"/>
          <w:sz w:val="24"/>
          <w:szCs w:val="24"/>
        </w:rPr>
        <w:t>ejnou hromadnou dopravou vůbec.</w:t>
      </w:r>
    </w:p>
    <w:p w14:paraId="01F56A76" w14:textId="4E47D277" w:rsidR="008050C6" w:rsidRPr="008050C6" w:rsidRDefault="00BC5C5B" w:rsidP="008050C6">
      <w:pPr>
        <w:pStyle w:val="Titulek"/>
        <w:keepNext/>
        <w:spacing w:after="240" w:line="24" w:lineRule="atLeast"/>
      </w:pPr>
      <w:r w:rsidRPr="008050C6">
        <w:t xml:space="preserve">Graf </w:t>
      </w:r>
      <w:r w:rsidR="0019709C">
        <w:fldChar w:fldCharType="begin"/>
      </w:r>
      <w:r w:rsidR="0019709C">
        <w:instrText xml:space="preserve"> SEQ Graf \* ARABIC </w:instrText>
      </w:r>
      <w:r w:rsidR="0019709C">
        <w:fldChar w:fldCharType="separate"/>
      </w:r>
      <w:r w:rsidR="00AF6CC5">
        <w:rPr>
          <w:noProof/>
        </w:rPr>
        <w:t>20</w:t>
      </w:r>
      <w:r w:rsidR="0019709C">
        <w:rPr>
          <w:noProof/>
        </w:rPr>
        <w:fldChar w:fldCharType="end"/>
      </w:r>
      <w:r w:rsidRPr="008050C6">
        <w:t xml:space="preserve"> Používání veřejné hromadné dopravy za posledních 12 měsíců</w:t>
      </w:r>
      <w:r w:rsidR="00FB3CF6">
        <w:rPr>
          <w:lang w:val="cs-CZ"/>
        </w:rPr>
        <w:t xml:space="preserve"> podle velikosti obce</w:t>
      </w:r>
      <w:r w:rsidRPr="008050C6">
        <w:t xml:space="preserve"> (2024, %)</w:t>
      </w:r>
    </w:p>
    <w:p w14:paraId="7EA52B12" w14:textId="48FF3733" w:rsidR="00B33C33" w:rsidRDefault="00B33C33" w:rsidP="008050C6">
      <w:pPr>
        <w:spacing w:after="240" w:line="288" w:lineRule="auto"/>
        <w:jc w:val="both"/>
        <w:rPr>
          <w:rFonts w:ascii="Arial Narrow" w:hAnsi="Arial Narrow"/>
          <w:sz w:val="24"/>
          <w:szCs w:val="24"/>
        </w:rPr>
      </w:pPr>
      <w:r w:rsidRPr="008050C6">
        <w:rPr>
          <w:rFonts w:ascii="Arial Narrow" w:hAnsi="Arial Narrow"/>
          <w:noProof/>
          <w:sz w:val="24"/>
          <w:szCs w:val="24"/>
          <w:lang w:eastAsia="cs-CZ"/>
        </w:rPr>
        <w:drawing>
          <wp:inline distT="0" distB="0" distL="0" distR="0" wp14:anchorId="2B04C68D" wp14:editId="2D0D32E5">
            <wp:extent cx="5760000" cy="3129915"/>
            <wp:effectExtent l="0" t="0" r="0" b="0"/>
            <wp:docPr id="46" name="Graf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172400F" w14:textId="0FF90245" w:rsidR="00B33C33" w:rsidRDefault="008050C6" w:rsidP="00B07338">
      <w:pPr>
        <w:spacing w:before="360" w:after="240" w:line="288" w:lineRule="auto"/>
        <w:jc w:val="both"/>
        <w:rPr>
          <w:rFonts w:ascii="Arial Narrow" w:hAnsi="Arial Narrow"/>
          <w:sz w:val="24"/>
          <w:szCs w:val="24"/>
        </w:rPr>
      </w:pPr>
      <w:r>
        <w:rPr>
          <w:rFonts w:ascii="Arial Narrow" w:hAnsi="Arial Narrow"/>
          <w:sz w:val="24"/>
          <w:szCs w:val="24"/>
        </w:rPr>
        <w:t>Pokud dotazovaní odpověděli, že veřejnou hromadnou dopravu využívají méně než jednou za měsíc</w:t>
      </w:r>
      <w:r w:rsidR="00B07338">
        <w:rPr>
          <w:rFonts w:ascii="Arial Narrow" w:hAnsi="Arial Narrow"/>
          <w:sz w:val="24"/>
          <w:szCs w:val="24"/>
        </w:rPr>
        <w:t xml:space="preserve"> </w:t>
      </w:r>
      <w:r>
        <w:rPr>
          <w:rFonts w:ascii="Arial Narrow" w:hAnsi="Arial Narrow"/>
          <w:sz w:val="24"/>
          <w:szCs w:val="24"/>
        </w:rPr>
        <w:t>nebo vůbec</w:t>
      </w:r>
      <w:r w:rsidR="00B07338">
        <w:rPr>
          <w:rFonts w:ascii="Arial Narrow" w:hAnsi="Arial Narrow"/>
          <w:sz w:val="24"/>
          <w:szCs w:val="24"/>
        </w:rPr>
        <w:t xml:space="preserve"> (poslední dvě kategorie)</w:t>
      </w:r>
      <w:r>
        <w:rPr>
          <w:rFonts w:ascii="Arial Narrow" w:hAnsi="Arial Narrow"/>
          <w:sz w:val="24"/>
          <w:szCs w:val="24"/>
        </w:rPr>
        <w:t xml:space="preserve">, byl jim položen dotaz ohledně důvodu jejího nevyužívání. </w:t>
      </w:r>
      <w:r w:rsidR="00B33C33">
        <w:rPr>
          <w:rFonts w:ascii="Arial Narrow" w:hAnsi="Arial Narrow"/>
          <w:sz w:val="24"/>
          <w:szCs w:val="24"/>
        </w:rPr>
        <w:t>Naprostá většina dotázaných (86,1</w:t>
      </w:r>
      <w:r>
        <w:rPr>
          <w:rFonts w:ascii="Arial Narrow" w:hAnsi="Arial Narrow"/>
          <w:sz w:val="24"/>
          <w:szCs w:val="24"/>
        </w:rPr>
        <w:t> </w:t>
      </w:r>
      <w:r w:rsidR="00B33C33">
        <w:rPr>
          <w:rFonts w:ascii="Arial Narrow" w:hAnsi="Arial Narrow"/>
          <w:sz w:val="24"/>
          <w:szCs w:val="24"/>
        </w:rPr>
        <w:t xml:space="preserve">%) uvedla, že </w:t>
      </w:r>
      <w:r>
        <w:rPr>
          <w:rFonts w:ascii="Arial Narrow" w:hAnsi="Arial Narrow"/>
          <w:sz w:val="24"/>
          <w:szCs w:val="24"/>
        </w:rPr>
        <w:t>ji</w:t>
      </w:r>
      <w:r w:rsidR="00B33C33">
        <w:rPr>
          <w:rFonts w:ascii="Arial Narrow" w:hAnsi="Arial Narrow"/>
          <w:sz w:val="24"/>
          <w:szCs w:val="24"/>
        </w:rPr>
        <w:t xml:space="preserve"> nechce nebo nepotřebuje</w:t>
      </w:r>
      <w:r>
        <w:rPr>
          <w:rFonts w:ascii="Arial Narrow" w:hAnsi="Arial Narrow"/>
          <w:sz w:val="24"/>
          <w:szCs w:val="24"/>
        </w:rPr>
        <w:t xml:space="preserve"> využívat</w:t>
      </w:r>
      <w:r w:rsidR="00B33C33">
        <w:rPr>
          <w:rFonts w:ascii="Arial Narrow" w:hAnsi="Arial Narrow"/>
          <w:sz w:val="24"/>
          <w:szCs w:val="24"/>
        </w:rPr>
        <w:t>. Druhým nejčastějším důvodem byly málo časté spoje nebo nevyhovující časy odjezdů a příjezdů, ty zmínilo 6,7</w:t>
      </w:r>
      <w:r w:rsidR="00B33C33" w:rsidRPr="008050C6">
        <w:rPr>
          <w:rFonts w:ascii="Arial Narrow" w:hAnsi="Arial Narrow"/>
          <w:sz w:val="24"/>
          <w:szCs w:val="24"/>
        </w:rPr>
        <w:t xml:space="preserve"> </w:t>
      </w:r>
      <w:r w:rsidR="00B33C33">
        <w:rPr>
          <w:rFonts w:ascii="Arial Narrow" w:hAnsi="Arial Narrow"/>
          <w:sz w:val="24"/>
          <w:szCs w:val="24"/>
        </w:rPr>
        <w:t xml:space="preserve">% osob. Jako třetí hlavní důvod byl uváděn fyzicky obtížný přístup k veřejné dopravě, což zahrnuje případy, kdy je </w:t>
      </w:r>
      <w:r w:rsidR="00B07338">
        <w:rPr>
          <w:rFonts w:ascii="Arial Narrow" w:hAnsi="Arial Narrow"/>
          <w:sz w:val="24"/>
          <w:szCs w:val="24"/>
        </w:rPr>
        <w:t xml:space="preserve">nejbližší </w:t>
      </w:r>
      <w:r w:rsidR="00B33C33">
        <w:rPr>
          <w:rFonts w:ascii="Arial Narrow" w:hAnsi="Arial Narrow"/>
          <w:sz w:val="24"/>
          <w:szCs w:val="24"/>
        </w:rPr>
        <w:t xml:space="preserve">zastávka nebo nádraží příliš daleko nebo do kopce, ale i případy, kdy veřejná doprava v dané lokalitě není přizpůsobena osobám se sníženou pohyblivostí nebo potřebám osob s tělesným postižením. </w:t>
      </w:r>
    </w:p>
    <w:p w14:paraId="42468FC3" w14:textId="77777777" w:rsidR="00B07338" w:rsidRDefault="00B07338" w:rsidP="008050C6">
      <w:pPr>
        <w:spacing w:after="240" w:line="288" w:lineRule="auto"/>
        <w:jc w:val="both"/>
        <w:rPr>
          <w:rFonts w:ascii="Arial Narrow" w:hAnsi="Arial Narrow"/>
          <w:sz w:val="24"/>
          <w:szCs w:val="24"/>
        </w:rPr>
      </w:pPr>
    </w:p>
    <w:p w14:paraId="3710564B" w14:textId="36B11384" w:rsidR="00B33C33" w:rsidRDefault="00B33C33" w:rsidP="008050C6">
      <w:pPr>
        <w:spacing w:after="240" w:line="288" w:lineRule="auto"/>
        <w:jc w:val="both"/>
        <w:rPr>
          <w:rFonts w:ascii="Arial Narrow" w:hAnsi="Arial Narrow"/>
          <w:sz w:val="24"/>
          <w:szCs w:val="24"/>
        </w:rPr>
      </w:pPr>
      <w:r>
        <w:rPr>
          <w:rFonts w:ascii="Arial Narrow" w:hAnsi="Arial Narrow"/>
          <w:sz w:val="24"/>
          <w:szCs w:val="24"/>
        </w:rPr>
        <w:t>Fakt, že je doba jízdy příliš dlouhá, pokud jedou veřejnou hromadnou dopravou, zmínilo jako</w:t>
      </w:r>
      <w:r w:rsidRPr="008050C6">
        <w:rPr>
          <w:rFonts w:ascii="Arial Narrow" w:hAnsi="Arial Narrow"/>
          <w:sz w:val="24"/>
          <w:szCs w:val="24"/>
        </w:rPr>
        <w:t xml:space="preserve"> </w:t>
      </w:r>
      <w:r>
        <w:rPr>
          <w:rFonts w:ascii="Arial Narrow" w:hAnsi="Arial Narrow"/>
          <w:sz w:val="24"/>
          <w:szCs w:val="24"/>
        </w:rPr>
        <w:t xml:space="preserve">příčinu jejího nevyužívání pouhých 1,5 % respondentů. Další důvody jako je cena jízdného, nedostupnost veřejné hromadné dopravy ve svém okolí nebo dokonce obavy o svou bezpečnost v dopravních prostředcích byly spíše minoritní a označilo je v součtu jen 1,2 % dotázaných. </w:t>
      </w:r>
    </w:p>
    <w:p w14:paraId="5CDBB854" w14:textId="3A2714A8" w:rsidR="00BC5C5B" w:rsidRDefault="00BC5C5B" w:rsidP="00BC5C5B">
      <w:pPr>
        <w:pStyle w:val="Titulek"/>
        <w:keepNext/>
        <w:spacing w:before="240"/>
        <w:jc w:val="both"/>
      </w:pPr>
      <w:r>
        <w:t xml:space="preserve">Graf </w:t>
      </w:r>
      <w:r w:rsidR="0019709C">
        <w:fldChar w:fldCharType="begin"/>
      </w:r>
      <w:r w:rsidR="0019709C">
        <w:instrText xml:space="preserve"> SEQ Graf \* ARABIC </w:instrText>
      </w:r>
      <w:r w:rsidR="0019709C">
        <w:fldChar w:fldCharType="separate"/>
      </w:r>
      <w:r w:rsidR="00AF6CC5">
        <w:rPr>
          <w:noProof/>
        </w:rPr>
        <w:t>21</w:t>
      </w:r>
      <w:r w:rsidR="0019709C">
        <w:rPr>
          <w:noProof/>
        </w:rPr>
        <w:fldChar w:fldCharType="end"/>
      </w:r>
      <w:r>
        <w:rPr>
          <w:lang w:val="cs-CZ"/>
        </w:rPr>
        <w:t xml:space="preserve"> </w:t>
      </w:r>
      <w:r w:rsidRPr="009B2B37">
        <w:rPr>
          <w:lang w:val="cs-CZ"/>
        </w:rPr>
        <w:t>Důvod nevyužívání veřejné hromadné dopravy (2024, %)</w:t>
      </w:r>
    </w:p>
    <w:p w14:paraId="78CBBE59" w14:textId="712D3C11" w:rsidR="00B33C33" w:rsidRDefault="00B33C33" w:rsidP="00B33C33">
      <w:pPr>
        <w:pStyle w:val="Default"/>
        <w:jc w:val="both"/>
        <w:rPr>
          <w:rFonts w:ascii="Arial Narrow" w:hAnsi="Arial Narrow"/>
        </w:rPr>
      </w:pPr>
      <w:r>
        <w:rPr>
          <w:noProof/>
          <w:color w:val="FF9933"/>
        </w:rPr>
        <w:drawing>
          <wp:inline distT="0" distB="0" distL="0" distR="0" wp14:anchorId="65AD870B" wp14:editId="6E664465">
            <wp:extent cx="5760000" cy="2409190"/>
            <wp:effectExtent l="0" t="0" r="0" b="0"/>
            <wp:docPr id="40" name="Graf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5241EF" w14:textId="77777777" w:rsidR="00B33C33" w:rsidRDefault="00B33C33" w:rsidP="00B33C33">
      <w:pPr>
        <w:pStyle w:val="Default"/>
        <w:jc w:val="both"/>
        <w:rPr>
          <w:rFonts w:ascii="Arial Narrow" w:hAnsi="Arial Narrow"/>
        </w:rPr>
      </w:pPr>
    </w:p>
    <w:p w14:paraId="5DB8535A" w14:textId="77777777" w:rsidR="00B33C33" w:rsidRDefault="00B33C33" w:rsidP="00B33C33">
      <w:pPr>
        <w:pStyle w:val="Default"/>
        <w:jc w:val="both"/>
        <w:rPr>
          <w:rFonts w:ascii="Arial Narrow" w:hAnsi="Arial Narrow"/>
        </w:rPr>
      </w:pPr>
    </w:p>
    <w:p w14:paraId="03628242" w14:textId="77777777" w:rsidR="00B33C33" w:rsidRDefault="00B33C33" w:rsidP="00B33C33">
      <w:pPr>
        <w:pStyle w:val="Default"/>
        <w:jc w:val="both"/>
        <w:rPr>
          <w:rFonts w:ascii="Arial Narrow" w:hAnsi="Arial Narrow"/>
        </w:rPr>
      </w:pPr>
    </w:p>
    <w:p w14:paraId="752BDA4A" w14:textId="77777777" w:rsidR="00B33C33" w:rsidRDefault="00B33C33" w:rsidP="00B33C33">
      <w:pPr>
        <w:pStyle w:val="Default"/>
        <w:jc w:val="both"/>
        <w:rPr>
          <w:rFonts w:ascii="Arial Narrow" w:hAnsi="Arial Narrow"/>
        </w:rPr>
      </w:pPr>
    </w:p>
    <w:p w14:paraId="2E62518E" w14:textId="680621ED" w:rsidR="00B33C33" w:rsidRDefault="00B33C33" w:rsidP="00B33C33">
      <w:pPr>
        <w:spacing w:before="240" w:after="120" w:line="240" w:lineRule="auto"/>
        <w:jc w:val="both"/>
        <w:rPr>
          <w:rFonts w:ascii="Arial Narrow" w:hAnsi="Arial Narrow"/>
          <w:sz w:val="24"/>
          <w:szCs w:val="24"/>
        </w:rPr>
      </w:pPr>
    </w:p>
    <w:p w14:paraId="0CDF740E" w14:textId="206EDA1B" w:rsidR="00B33C33" w:rsidRDefault="00B33C33" w:rsidP="00B33C33">
      <w:pPr>
        <w:spacing w:before="240" w:after="120" w:line="240" w:lineRule="auto"/>
        <w:jc w:val="both"/>
        <w:rPr>
          <w:rFonts w:ascii="Arial Narrow" w:hAnsi="Arial Narrow"/>
          <w:sz w:val="24"/>
          <w:szCs w:val="24"/>
        </w:rPr>
      </w:pPr>
    </w:p>
    <w:p w14:paraId="7373EACA" w14:textId="35BCB438" w:rsidR="00B33C33" w:rsidRDefault="00B33C33" w:rsidP="00B33C33">
      <w:pPr>
        <w:spacing w:before="240" w:after="120" w:line="240" w:lineRule="auto"/>
        <w:jc w:val="both"/>
        <w:rPr>
          <w:rFonts w:ascii="Arial Narrow" w:hAnsi="Arial Narrow"/>
          <w:sz w:val="24"/>
          <w:szCs w:val="24"/>
        </w:rPr>
      </w:pPr>
    </w:p>
    <w:p w14:paraId="41033FF1" w14:textId="3E0ED00F" w:rsidR="00B33C33" w:rsidRDefault="00B33C33" w:rsidP="00B33C33">
      <w:pPr>
        <w:spacing w:before="240" w:after="120" w:line="240" w:lineRule="auto"/>
        <w:jc w:val="both"/>
        <w:rPr>
          <w:rFonts w:ascii="Arial Narrow" w:hAnsi="Arial Narrow"/>
          <w:sz w:val="24"/>
          <w:szCs w:val="24"/>
        </w:rPr>
      </w:pPr>
    </w:p>
    <w:p w14:paraId="34B8E46E" w14:textId="595097C1" w:rsidR="00B33C33" w:rsidRDefault="00F05D31" w:rsidP="00B33C33">
      <w:pPr>
        <w:spacing w:before="240" w:after="120" w:line="240" w:lineRule="auto"/>
        <w:jc w:val="both"/>
        <w:rPr>
          <w:rFonts w:ascii="Arial Narrow" w:hAnsi="Arial Narrow"/>
          <w:sz w:val="24"/>
          <w:szCs w:val="24"/>
        </w:rPr>
      </w:pPr>
      <w:r w:rsidRPr="00F05D31">
        <w:rPr>
          <w:rFonts w:ascii="Arial Narrow" w:hAnsi="Arial Narrow" w:cs="Arial"/>
          <w:b/>
          <w:sz w:val="20"/>
        </w:rPr>
        <w:drawing>
          <wp:anchor distT="0" distB="0" distL="114300" distR="114300" simplePos="0" relativeHeight="251674624" behindDoc="0" locked="0" layoutInCell="1" allowOverlap="1" wp14:anchorId="310AE520" wp14:editId="54B4F16C">
            <wp:simplePos x="0" y="0"/>
            <wp:positionH relativeFrom="column">
              <wp:posOffset>3252470</wp:posOffset>
            </wp:positionH>
            <wp:positionV relativeFrom="paragraph">
              <wp:posOffset>315595</wp:posOffset>
            </wp:positionV>
            <wp:extent cx="1247775" cy="832485"/>
            <wp:effectExtent l="0" t="0" r="9525" b="5715"/>
            <wp:wrapThrough wrapText="bothSides">
              <wp:wrapPolygon edited="0">
                <wp:start x="0" y="0"/>
                <wp:lineTo x="0" y="21254"/>
                <wp:lineTo x="21435" y="21254"/>
                <wp:lineTo x="21435" y="0"/>
                <wp:lineTo x="0" y="0"/>
              </wp:wrapPolygon>
            </wp:wrapThrough>
            <wp:docPr id="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47775" cy="832485"/>
                    </a:xfrm>
                    <a:prstGeom prst="rect">
                      <a:avLst/>
                    </a:prstGeom>
                  </pic:spPr>
                </pic:pic>
              </a:graphicData>
            </a:graphic>
            <wp14:sizeRelH relativeFrom="margin">
              <wp14:pctWidth>0</wp14:pctWidth>
            </wp14:sizeRelH>
            <wp14:sizeRelV relativeFrom="margin">
              <wp14:pctHeight>0</wp14:pctHeight>
            </wp14:sizeRelV>
          </wp:anchor>
        </w:drawing>
      </w:r>
    </w:p>
    <w:p w14:paraId="51AB46BD" w14:textId="08F63E2C" w:rsidR="00B33C33" w:rsidRDefault="00B33C33" w:rsidP="00B33C33">
      <w:pPr>
        <w:spacing w:before="240" w:after="120" w:line="240" w:lineRule="auto"/>
        <w:jc w:val="both"/>
        <w:rPr>
          <w:rFonts w:ascii="Arial Narrow" w:hAnsi="Arial Narrow"/>
          <w:sz w:val="24"/>
          <w:szCs w:val="24"/>
        </w:rPr>
      </w:pPr>
    </w:p>
    <w:p w14:paraId="32C59ABA" w14:textId="77777777" w:rsidR="00B33C33" w:rsidRDefault="00B33C33" w:rsidP="00B33C33">
      <w:pPr>
        <w:spacing w:before="240" w:after="120" w:line="240" w:lineRule="auto"/>
        <w:jc w:val="both"/>
        <w:rPr>
          <w:rFonts w:ascii="Arial Narrow" w:hAnsi="Arial Narrow"/>
          <w:sz w:val="24"/>
          <w:szCs w:val="24"/>
        </w:rPr>
      </w:pPr>
    </w:p>
    <w:p w14:paraId="61CD91C8" w14:textId="58611ECB" w:rsidR="00B33C33" w:rsidRDefault="00B33C33" w:rsidP="00B33C33">
      <w:pPr>
        <w:spacing w:line="240" w:lineRule="auto"/>
        <w:jc w:val="right"/>
        <w:rPr>
          <w:rFonts w:ascii="Arial Narrow" w:hAnsi="Arial Narrow" w:cs="Arial"/>
          <w:b/>
          <w:sz w:val="20"/>
        </w:rPr>
      </w:pPr>
    </w:p>
    <w:p w14:paraId="265E990C" w14:textId="77777777" w:rsidR="00B33C33" w:rsidRPr="001C1920" w:rsidRDefault="00B33C33" w:rsidP="00B33C33">
      <w:pPr>
        <w:spacing w:after="0" w:line="240" w:lineRule="auto"/>
        <w:jc w:val="right"/>
        <w:rPr>
          <w:rFonts w:ascii="Arial Narrow" w:eastAsia="Times New Roman" w:hAnsi="Arial Narrow" w:cs="Arial"/>
          <w:color w:val="0071BC"/>
          <w:sz w:val="20"/>
          <w:szCs w:val="20"/>
          <w:lang w:eastAsia="ar-SA"/>
        </w:rPr>
      </w:pPr>
      <w:r w:rsidRPr="001C1920">
        <w:rPr>
          <w:rFonts w:ascii="Arial Narrow" w:eastAsia="Times New Roman" w:hAnsi="Arial Narrow" w:cs="Arial"/>
          <w:color w:val="0071BC"/>
          <w:sz w:val="20"/>
          <w:szCs w:val="20"/>
          <w:lang w:eastAsia="ar-SA"/>
        </w:rPr>
        <w:t>Modul EU-SILC 2024 byl spolufinancován grantem EU</w:t>
      </w:r>
    </w:p>
    <w:p w14:paraId="3F6DCFF5" w14:textId="77777777" w:rsidR="00B07338" w:rsidRDefault="00B07338" w:rsidP="00B33C33">
      <w:pPr>
        <w:pStyle w:val="Default"/>
        <w:spacing w:line="288" w:lineRule="auto"/>
        <w:jc w:val="both"/>
        <w:rPr>
          <w:rFonts w:ascii="Arial Narrow" w:hAnsi="Arial Narrow"/>
        </w:rPr>
      </w:pPr>
    </w:p>
    <w:p w14:paraId="0FE17A30" w14:textId="77777777" w:rsidR="00B07338" w:rsidRDefault="00B07338" w:rsidP="00B33C33">
      <w:pPr>
        <w:pStyle w:val="Default"/>
        <w:spacing w:line="288" w:lineRule="auto"/>
        <w:jc w:val="both"/>
        <w:rPr>
          <w:rFonts w:ascii="Arial Narrow" w:hAnsi="Arial Narrow"/>
        </w:rPr>
      </w:pPr>
    </w:p>
    <w:p w14:paraId="162230B6" w14:textId="6287D41E" w:rsidR="00B33C33" w:rsidRDefault="00B33C33" w:rsidP="00B33C33">
      <w:pPr>
        <w:pStyle w:val="Default"/>
        <w:spacing w:line="288" w:lineRule="auto"/>
        <w:jc w:val="both"/>
        <w:rPr>
          <w:rFonts w:ascii="Arial Narrow" w:hAnsi="Arial Narrow"/>
        </w:rPr>
      </w:pPr>
      <w:r>
        <w:rPr>
          <w:rFonts w:ascii="Arial Narrow" w:hAnsi="Arial Narrow"/>
        </w:rPr>
        <w:t>Publikace s výsledky šetření Životní podmínky 2024 je dostupná na webových stránkách ČSÚ:</w:t>
      </w:r>
    </w:p>
    <w:p w14:paraId="38B3774E" w14:textId="671DBFF4" w:rsidR="00B33C33" w:rsidRPr="001C1920" w:rsidRDefault="00031871" w:rsidP="00B33C33">
      <w:pPr>
        <w:spacing w:after="0" w:line="240" w:lineRule="auto"/>
        <w:jc w:val="both"/>
        <w:rPr>
          <w:rFonts w:ascii="Arial Narrow" w:hAnsi="Arial Narrow" w:cs="Arial"/>
          <w:b/>
          <w:color w:val="0071BC"/>
          <w:sz w:val="24"/>
          <w:szCs w:val="24"/>
        </w:rPr>
      </w:pPr>
      <w:hyperlink r:id="rId35" w:history="1">
        <w:r w:rsidR="00B33C33" w:rsidRPr="001C1920">
          <w:rPr>
            <w:rStyle w:val="Hypertextovodkaz"/>
            <w:rFonts w:cs="Arial"/>
            <w:i/>
            <w:color w:val="0071BC"/>
            <w:sz w:val="24"/>
            <w:szCs w:val="24"/>
          </w:rPr>
          <w:t>Životní podmínky 2024</w:t>
        </w:r>
      </w:hyperlink>
      <w:r w:rsidR="003D477D">
        <w:rPr>
          <w:rStyle w:val="Hypertextovodkaz"/>
          <w:rFonts w:cs="Arial"/>
          <w:i/>
          <w:color w:val="0071BC"/>
          <w:sz w:val="24"/>
          <w:szCs w:val="24"/>
        </w:rPr>
        <w:t xml:space="preserve"> </w:t>
      </w:r>
    </w:p>
    <w:p w14:paraId="57F4C639" w14:textId="34C5F3C3" w:rsidR="00B33C33" w:rsidRDefault="00B33C33" w:rsidP="00B33C33">
      <w:pPr>
        <w:spacing w:after="0" w:line="240" w:lineRule="auto"/>
        <w:jc w:val="both"/>
        <w:rPr>
          <w:rFonts w:ascii="Arial Narrow" w:hAnsi="Arial Narrow" w:cs="Arial"/>
          <w:b/>
          <w:sz w:val="18"/>
          <w:szCs w:val="18"/>
        </w:rPr>
      </w:pPr>
    </w:p>
    <w:p w14:paraId="29255017" w14:textId="77777777" w:rsidR="00422FE5" w:rsidRDefault="00422FE5" w:rsidP="00B33C33">
      <w:pPr>
        <w:spacing w:after="0" w:line="240" w:lineRule="auto"/>
        <w:jc w:val="both"/>
        <w:rPr>
          <w:rFonts w:ascii="Arial Narrow" w:hAnsi="Arial Narrow" w:cs="Arial"/>
          <w:b/>
          <w:sz w:val="18"/>
          <w:szCs w:val="18"/>
        </w:rPr>
      </w:pPr>
    </w:p>
    <w:p w14:paraId="64655F35" w14:textId="16E43C30" w:rsidR="00B33C33" w:rsidRPr="001C1920" w:rsidRDefault="00B33C33" w:rsidP="00B33C33">
      <w:pPr>
        <w:spacing w:after="0" w:line="240" w:lineRule="auto"/>
        <w:jc w:val="both"/>
        <w:rPr>
          <w:rFonts w:ascii="Arial Narrow" w:hAnsi="Arial Narrow" w:cs="Arial"/>
          <w:sz w:val="19"/>
          <w:szCs w:val="19"/>
          <w:u w:val="single"/>
          <w:lang w:eastAsia="cs-CZ"/>
        </w:rPr>
      </w:pPr>
      <w:r w:rsidRPr="001C1920">
        <w:rPr>
          <w:rFonts w:ascii="Arial Narrow" w:hAnsi="Arial Narrow" w:cs="Arial"/>
          <w:b/>
          <w:sz w:val="19"/>
          <w:szCs w:val="19"/>
        </w:rPr>
        <w:t>Kontakt:</w:t>
      </w:r>
    </w:p>
    <w:tbl>
      <w:tblPr>
        <w:tblW w:w="11057" w:type="dxa"/>
        <w:tblLook w:val="04A0" w:firstRow="1" w:lastRow="0" w:firstColumn="1" w:lastColumn="0" w:noHBand="0" w:noVBand="1"/>
      </w:tblPr>
      <w:tblGrid>
        <w:gridCol w:w="5436"/>
        <w:gridCol w:w="5621"/>
      </w:tblGrid>
      <w:tr w:rsidR="00B33C33" w:rsidRPr="001C1920" w14:paraId="2A725BCE" w14:textId="77777777" w:rsidTr="001C1920">
        <w:trPr>
          <w:cantSplit/>
          <w:trHeight w:hRule="exact" w:val="737"/>
        </w:trPr>
        <w:tc>
          <w:tcPr>
            <w:tcW w:w="0" w:type="auto"/>
            <w:hideMark/>
          </w:tcPr>
          <w:p w14:paraId="200260AD" w14:textId="77777777" w:rsidR="00B33C33" w:rsidRPr="001C1920" w:rsidRDefault="00B33C33">
            <w:pPr>
              <w:spacing w:after="0" w:line="240" w:lineRule="auto"/>
              <w:ind w:left="601" w:right="-284" w:hanging="601"/>
              <w:jc w:val="both"/>
              <w:rPr>
                <w:rFonts w:ascii="Arial Narrow" w:hAnsi="Arial Narrow"/>
                <w:sz w:val="19"/>
                <w:szCs w:val="19"/>
              </w:rPr>
            </w:pPr>
            <w:r w:rsidRPr="001C1920">
              <w:rPr>
                <w:rFonts w:ascii="Arial Narrow" w:hAnsi="Arial Narrow"/>
                <w:sz w:val="19"/>
                <w:szCs w:val="19"/>
              </w:rPr>
              <w:t>Ing. Táňa Dvornáková, odbor šetření v domácnostech ČSÚ</w:t>
            </w:r>
          </w:p>
          <w:p w14:paraId="1643A052" w14:textId="77777777" w:rsidR="00B33C33" w:rsidRPr="001C1920" w:rsidRDefault="00B33C33">
            <w:pPr>
              <w:spacing w:after="0" w:line="240" w:lineRule="auto"/>
              <w:jc w:val="both"/>
              <w:rPr>
                <w:rFonts w:ascii="Arial Narrow" w:hAnsi="Arial Narrow"/>
                <w:sz w:val="19"/>
                <w:szCs w:val="19"/>
              </w:rPr>
            </w:pPr>
            <w:r w:rsidRPr="001C1920">
              <w:rPr>
                <w:rFonts w:ascii="Arial Narrow" w:hAnsi="Arial Narrow"/>
                <w:sz w:val="19"/>
                <w:szCs w:val="19"/>
              </w:rPr>
              <w:t>tel.: 274 05 4360, e-mail: tana.dvornakova@csu.gov.cz</w:t>
            </w:r>
            <w:bookmarkStart w:id="2" w:name="_GoBack"/>
            <w:bookmarkEnd w:id="2"/>
          </w:p>
        </w:tc>
        <w:tc>
          <w:tcPr>
            <w:tcW w:w="0" w:type="auto"/>
            <w:hideMark/>
          </w:tcPr>
          <w:p w14:paraId="3B6A2A9A" w14:textId="77777777" w:rsidR="00B33C33" w:rsidRPr="001C1920" w:rsidRDefault="00B33C33">
            <w:pPr>
              <w:spacing w:after="0" w:line="240" w:lineRule="auto"/>
              <w:ind w:left="601" w:right="-284" w:hanging="601"/>
              <w:jc w:val="both"/>
              <w:rPr>
                <w:rFonts w:ascii="Arial Narrow" w:hAnsi="Arial Narrow"/>
                <w:sz w:val="19"/>
                <w:szCs w:val="19"/>
              </w:rPr>
            </w:pPr>
            <w:r w:rsidRPr="001C1920">
              <w:rPr>
                <w:rFonts w:ascii="Arial Narrow" w:hAnsi="Arial Narrow"/>
                <w:sz w:val="19"/>
                <w:szCs w:val="19"/>
              </w:rPr>
              <w:t>RNDr. Simona Měřinská, odbor šetření v domácnostech ČSÚ</w:t>
            </w:r>
          </w:p>
          <w:p w14:paraId="72F1345A" w14:textId="77777777" w:rsidR="00B33C33" w:rsidRPr="001C1920" w:rsidRDefault="00B33C33">
            <w:pPr>
              <w:spacing w:after="0" w:line="240" w:lineRule="auto"/>
              <w:ind w:right="-284"/>
              <w:jc w:val="both"/>
              <w:rPr>
                <w:rFonts w:ascii="Arial Narrow" w:hAnsi="Arial Narrow"/>
                <w:sz w:val="19"/>
                <w:szCs w:val="19"/>
              </w:rPr>
            </w:pPr>
            <w:r w:rsidRPr="001C1920">
              <w:rPr>
                <w:rFonts w:ascii="Arial Narrow" w:hAnsi="Arial Narrow"/>
                <w:sz w:val="19"/>
                <w:szCs w:val="19"/>
              </w:rPr>
              <w:t>tel.: 274 05 2345, e-mail: simona.merinska@csu.gov.cz</w:t>
            </w:r>
          </w:p>
        </w:tc>
      </w:tr>
      <w:bookmarkEnd w:id="1"/>
    </w:tbl>
    <w:p w14:paraId="42C9C223" w14:textId="062306EF" w:rsidR="00664E38" w:rsidRPr="002B0FE8" w:rsidRDefault="00664E38" w:rsidP="00422FE5">
      <w:pPr>
        <w:spacing w:after="0" w:line="120" w:lineRule="exact"/>
        <w:rPr>
          <w:sz w:val="20"/>
          <w:szCs w:val="20"/>
        </w:rPr>
      </w:pPr>
    </w:p>
    <w:sectPr w:rsidR="00664E38" w:rsidRPr="002B0FE8" w:rsidSect="0069355A">
      <w:headerReference w:type="even" r:id="rId36"/>
      <w:footerReference w:type="even" r:id="rId37"/>
      <w:footerReference w:type="default" r:id="rId38"/>
      <w:headerReference w:type="first" r:id="rId39"/>
      <w:type w:val="continuous"/>
      <w:pgSz w:w="11906" w:h="16838" w:code="9"/>
      <w:pgMar w:top="1077" w:right="1418" w:bottom="510" w:left="1418" w:header="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F1701" w16cex:dateUtc="2022-01-16T21:13:00Z"/>
  <w16cex:commentExtensible w16cex:durableId="258F17D5" w16cex:dateUtc="2022-01-16T21:16:00Z"/>
  <w16cex:commentExtensible w16cex:durableId="258F17E0" w16cex:dateUtc="2022-01-16T21:17:00Z"/>
  <w16cex:commentExtensible w16cex:durableId="258F1843" w16cex:dateUtc="2022-01-16T21: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0B6C70" w16cid:durableId="258F1701"/>
  <w16cid:commentId w16cid:paraId="114744E5" w16cid:durableId="258F17D5"/>
  <w16cid:commentId w16cid:paraId="668F0826" w16cid:durableId="258F17E0"/>
  <w16cid:commentId w16cid:paraId="4BDB2864" w16cid:durableId="258F18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9FCF3" w14:textId="77777777" w:rsidR="00495DA9" w:rsidRDefault="00495DA9">
      <w:r>
        <w:separator/>
      </w:r>
    </w:p>
  </w:endnote>
  <w:endnote w:type="continuationSeparator" w:id="0">
    <w:p w14:paraId="771A506B" w14:textId="77777777" w:rsidR="00495DA9" w:rsidRDefault="0049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altName w:val="Times New Roman"/>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5C9C" w14:textId="77777777" w:rsidR="00B33C33" w:rsidRDefault="00B33C3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78BA53C" w14:textId="77777777" w:rsidR="00B33C33" w:rsidRDefault="00B33C3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8F897" w14:textId="77777777" w:rsidR="00B33C33" w:rsidRDefault="00B33C33">
    <w:pPr>
      <w:pStyle w:val="Zpat"/>
      <w:ind w:right="360" w:hanging="1417"/>
      <w:jc w:val="center"/>
      <w:rPr>
        <w:rFonts w:ascii="Arial Narrow" w:hAnsi="Arial Narrow"/>
        <w:color w:val="5F5F5F"/>
        <w:sz w:val="16"/>
      </w:rPr>
    </w:pPr>
  </w:p>
  <w:p w14:paraId="1FE580B7" w14:textId="3D9DBCA9" w:rsidR="00B33C33" w:rsidRDefault="00B33C33">
    <w:pPr>
      <w:pStyle w:val="Zpat"/>
      <w:framePr w:wrap="notBeside" w:vAnchor="page" w:hAnchor="page" w:x="11137" w:y="16047"/>
      <w:rPr>
        <w:rStyle w:val="slostrnky"/>
        <w:color w:val="5F5F5F"/>
      </w:rPr>
    </w:pPr>
    <w:r>
      <w:rPr>
        <w:rStyle w:val="slostrnky"/>
        <w:color w:val="5F5F5F"/>
      </w:rPr>
      <w:fldChar w:fldCharType="begin"/>
    </w:r>
    <w:r>
      <w:rPr>
        <w:rStyle w:val="slostrnky"/>
        <w:color w:val="5F5F5F"/>
      </w:rPr>
      <w:instrText xml:space="preserve">PAGE  </w:instrText>
    </w:r>
    <w:r>
      <w:rPr>
        <w:rStyle w:val="slostrnky"/>
        <w:color w:val="5F5F5F"/>
      </w:rPr>
      <w:fldChar w:fldCharType="separate"/>
    </w:r>
    <w:r w:rsidR="00495DA9">
      <w:rPr>
        <w:rStyle w:val="slostrnky"/>
        <w:noProof/>
        <w:color w:val="5F5F5F"/>
      </w:rPr>
      <w:t>1</w:t>
    </w:r>
    <w:r>
      <w:rPr>
        <w:rStyle w:val="slostrnky"/>
        <w:color w:val="5F5F5F"/>
      </w:rPr>
      <w:fldChar w:fldCharType="end"/>
    </w:r>
  </w:p>
  <w:p w14:paraId="4287A760" w14:textId="77777777" w:rsidR="00B33C33" w:rsidRDefault="00B33C33">
    <w:pPr>
      <w:pStyle w:val="Zpat"/>
      <w:jc w:val="center"/>
      <w:rPr>
        <w:color w:val="5F5F5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AE769" w14:textId="77777777" w:rsidR="00495DA9" w:rsidRDefault="00495DA9">
      <w:r>
        <w:separator/>
      </w:r>
    </w:p>
  </w:footnote>
  <w:footnote w:type="continuationSeparator" w:id="0">
    <w:p w14:paraId="4535AEAE" w14:textId="77777777" w:rsidR="00495DA9" w:rsidRDefault="00495DA9">
      <w:r>
        <w:continuationSeparator/>
      </w:r>
    </w:p>
  </w:footnote>
  <w:footnote w:id="1">
    <w:p w14:paraId="07DE751A" w14:textId="6F05DF0A" w:rsidR="005A3EC1" w:rsidRPr="00321353" w:rsidRDefault="005A3EC1">
      <w:pPr>
        <w:pStyle w:val="Textpoznpodarou"/>
        <w:rPr>
          <w:rFonts w:ascii="Arial Narrow" w:hAnsi="Arial Narrow"/>
          <w:lang w:val="cs-CZ"/>
        </w:rPr>
      </w:pPr>
      <w:r>
        <w:rPr>
          <w:rStyle w:val="Znakapoznpodarou"/>
        </w:rPr>
        <w:footnoteRef/>
      </w:r>
      <w:r>
        <w:t xml:space="preserve"> </w:t>
      </w:r>
      <w:r w:rsidRPr="00321353">
        <w:rPr>
          <w:rFonts w:ascii="Arial Narrow" w:hAnsi="Arial Narrow"/>
        </w:rPr>
        <w:t>Za závislé děti jsou považovány všechny děti do 17 let včetně a dále děti ve věku 18 - 24 let, pokud v době šetření byly neaktivními a žily v domácnosti s alespoň jedním rodičem.</w:t>
      </w:r>
    </w:p>
  </w:footnote>
  <w:footnote w:id="2">
    <w:p w14:paraId="6E0AAABB" w14:textId="77777777" w:rsidR="00B33C33" w:rsidRPr="00E25D4D" w:rsidRDefault="00B33C33">
      <w:pPr>
        <w:pStyle w:val="Textpoznpodarou"/>
        <w:rPr>
          <w:rFonts w:ascii="Arial" w:hAnsi="Arial" w:cs="Arial"/>
          <w:sz w:val="18"/>
          <w:szCs w:val="18"/>
          <w:lang w:val="cs-CZ"/>
        </w:rPr>
      </w:pPr>
      <w:r w:rsidRPr="00E25D4D">
        <w:rPr>
          <w:rStyle w:val="Znakapoznpodarou"/>
          <w:rFonts w:ascii="Arial" w:hAnsi="Arial" w:cs="Arial"/>
          <w:sz w:val="18"/>
          <w:szCs w:val="18"/>
        </w:rPr>
        <w:footnoteRef/>
      </w:r>
      <w:r w:rsidRPr="00E25D4D">
        <w:rPr>
          <w:rFonts w:ascii="Arial" w:hAnsi="Arial" w:cs="Arial"/>
          <w:sz w:val="18"/>
          <w:szCs w:val="18"/>
        </w:rPr>
        <w:t xml:space="preserve"> </w:t>
      </w:r>
      <w:r w:rsidRPr="00E25D4D">
        <w:rPr>
          <w:rFonts w:ascii="Arial" w:hAnsi="Arial" w:cs="Arial"/>
          <w:sz w:val="18"/>
          <w:szCs w:val="18"/>
          <w:lang w:val="cs-CZ"/>
        </w:rPr>
        <w:t>Zohledňuje rozdílné složení vícečlenných domácností.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D3FF5" w14:textId="77777777" w:rsidR="00B33C33" w:rsidRDefault="00B33C33">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w:t>
    </w:r>
    <w:r>
      <w:rPr>
        <w:rStyle w:val="slostrnky"/>
      </w:rPr>
      <w:fldChar w:fldCharType="end"/>
    </w:r>
  </w:p>
  <w:p w14:paraId="0ABB793E" w14:textId="77777777" w:rsidR="00B33C33" w:rsidRDefault="00B33C33">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EF869" w14:textId="77777777" w:rsidR="00B33C33" w:rsidRDefault="00B33C33">
    <w:pPr>
      <w:pStyle w:val="Zhlav"/>
    </w:pPr>
  </w:p>
  <w:p w14:paraId="313CC776" w14:textId="77777777" w:rsidR="00B33C33" w:rsidRDefault="00B33C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7D2A"/>
    <w:multiLevelType w:val="hybridMultilevel"/>
    <w:tmpl w:val="EDF6A61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B6974F5"/>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47D2334"/>
    <w:multiLevelType w:val="hybridMultilevel"/>
    <w:tmpl w:val="7304F360"/>
    <w:lvl w:ilvl="0" w:tplc="FD02F8C6">
      <w:start w:val="33"/>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C5E6FA1"/>
    <w:multiLevelType w:val="hybridMultilevel"/>
    <w:tmpl w:val="C78866AA"/>
    <w:lvl w:ilvl="0" w:tplc="E6AE4164">
      <w:start w:val="1"/>
      <w:numFmt w:val="decimal"/>
      <w:pStyle w:val="5sel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970D06"/>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CBF7154"/>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6A1275F"/>
    <w:multiLevelType w:val="hybridMultilevel"/>
    <w:tmpl w:val="3E50F4A0"/>
    <w:lvl w:ilvl="0" w:tplc="202239A0">
      <w:start w:val="1"/>
      <w:numFmt w:val="bullet"/>
      <w:lvlText w:val="■"/>
      <w:lvlJc w:val="left"/>
      <w:pPr>
        <w:tabs>
          <w:tab w:val="num" w:pos="720"/>
        </w:tabs>
        <w:ind w:left="720" w:hanging="360"/>
      </w:pPr>
      <w:rPr>
        <w:rFonts w:ascii="Arial" w:hAnsi="Arial" w:hint="default"/>
      </w:rPr>
    </w:lvl>
    <w:lvl w:ilvl="1" w:tplc="2A64B044" w:tentative="1">
      <w:start w:val="1"/>
      <w:numFmt w:val="bullet"/>
      <w:lvlText w:val="■"/>
      <w:lvlJc w:val="left"/>
      <w:pPr>
        <w:tabs>
          <w:tab w:val="num" w:pos="1440"/>
        </w:tabs>
        <w:ind w:left="1440" w:hanging="360"/>
      </w:pPr>
      <w:rPr>
        <w:rFonts w:ascii="Arial" w:hAnsi="Arial" w:hint="default"/>
      </w:rPr>
    </w:lvl>
    <w:lvl w:ilvl="2" w:tplc="9C40AB68" w:tentative="1">
      <w:start w:val="1"/>
      <w:numFmt w:val="bullet"/>
      <w:lvlText w:val="■"/>
      <w:lvlJc w:val="left"/>
      <w:pPr>
        <w:tabs>
          <w:tab w:val="num" w:pos="2160"/>
        </w:tabs>
        <w:ind w:left="2160" w:hanging="360"/>
      </w:pPr>
      <w:rPr>
        <w:rFonts w:ascii="Arial" w:hAnsi="Arial" w:hint="default"/>
      </w:rPr>
    </w:lvl>
    <w:lvl w:ilvl="3" w:tplc="239C7E76" w:tentative="1">
      <w:start w:val="1"/>
      <w:numFmt w:val="bullet"/>
      <w:lvlText w:val="■"/>
      <w:lvlJc w:val="left"/>
      <w:pPr>
        <w:tabs>
          <w:tab w:val="num" w:pos="2880"/>
        </w:tabs>
        <w:ind w:left="2880" w:hanging="360"/>
      </w:pPr>
      <w:rPr>
        <w:rFonts w:ascii="Arial" w:hAnsi="Arial" w:hint="default"/>
      </w:rPr>
    </w:lvl>
    <w:lvl w:ilvl="4" w:tplc="197CF152" w:tentative="1">
      <w:start w:val="1"/>
      <w:numFmt w:val="bullet"/>
      <w:lvlText w:val="■"/>
      <w:lvlJc w:val="left"/>
      <w:pPr>
        <w:tabs>
          <w:tab w:val="num" w:pos="3600"/>
        </w:tabs>
        <w:ind w:left="3600" w:hanging="360"/>
      </w:pPr>
      <w:rPr>
        <w:rFonts w:ascii="Arial" w:hAnsi="Arial" w:hint="default"/>
      </w:rPr>
    </w:lvl>
    <w:lvl w:ilvl="5" w:tplc="79F63BFC" w:tentative="1">
      <w:start w:val="1"/>
      <w:numFmt w:val="bullet"/>
      <w:lvlText w:val="■"/>
      <w:lvlJc w:val="left"/>
      <w:pPr>
        <w:tabs>
          <w:tab w:val="num" w:pos="4320"/>
        </w:tabs>
        <w:ind w:left="4320" w:hanging="360"/>
      </w:pPr>
      <w:rPr>
        <w:rFonts w:ascii="Arial" w:hAnsi="Arial" w:hint="default"/>
      </w:rPr>
    </w:lvl>
    <w:lvl w:ilvl="6" w:tplc="9EFCB9F8" w:tentative="1">
      <w:start w:val="1"/>
      <w:numFmt w:val="bullet"/>
      <w:lvlText w:val="■"/>
      <w:lvlJc w:val="left"/>
      <w:pPr>
        <w:tabs>
          <w:tab w:val="num" w:pos="5040"/>
        </w:tabs>
        <w:ind w:left="5040" w:hanging="360"/>
      </w:pPr>
      <w:rPr>
        <w:rFonts w:ascii="Arial" w:hAnsi="Arial" w:hint="default"/>
      </w:rPr>
    </w:lvl>
    <w:lvl w:ilvl="7" w:tplc="DAE40AD8" w:tentative="1">
      <w:start w:val="1"/>
      <w:numFmt w:val="bullet"/>
      <w:lvlText w:val="■"/>
      <w:lvlJc w:val="left"/>
      <w:pPr>
        <w:tabs>
          <w:tab w:val="num" w:pos="5760"/>
        </w:tabs>
        <w:ind w:left="5760" w:hanging="360"/>
      </w:pPr>
      <w:rPr>
        <w:rFonts w:ascii="Arial" w:hAnsi="Arial" w:hint="default"/>
      </w:rPr>
    </w:lvl>
    <w:lvl w:ilvl="8" w:tplc="6B34101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575E13"/>
    <w:multiLevelType w:val="hybridMultilevel"/>
    <w:tmpl w:val="90FC830A"/>
    <w:lvl w:ilvl="0" w:tplc="7A9E859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F0D535C"/>
    <w:multiLevelType w:val="hybridMultilevel"/>
    <w:tmpl w:val="90FC830A"/>
    <w:lvl w:ilvl="0" w:tplc="7A9E859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30987D53"/>
    <w:multiLevelType w:val="hybridMultilevel"/>
    <w:tmpl w:val="6D4465BC"/>
    <w:lvl w:ilvl="0" w:tplc="504CCAD8">
      <w:start w:val="1"/>
      <w:numFmt w:val="bullet"/>
      <w:lvlText w:val="■"/>
      <w:lvlJc w:val="left"/>
      <w:pPr>
        <w:tabs>
          <w:tab w:val="num" w:pos="720"/>
        </w:tabs>
        <w:ind w:left="720" w:hanging="360"/>
      </w:pPr>
      <w:rPr>
        <w:rFonts w:ascii="Arial" w:hAnsi="Arial" w:hint="default"/>
      </w:rPr>
    </w:lvl>
    <w:lvl w:ilvl="1" w:tplc="7200E460">
      <w:numFmt w:val="bullet"/>
      <w:lvlText w:val="■"/>
      <w:lvlJc w:val="left"/>
      <w:pPr>
        <w:tabs>
          <w:tab w:val="num" w:pos="1440"/>
        </w:tabs>
        <w:ind w:left="1440" w:hanging="360"/>
      </w:pPr>
      <w:rPr>
        <w:rFonts w:ascii="Arial" w:hAnsi="Arial" w:hint="default"/>
      </w:rPr>
    </w:lvl>
    <w:lvl w:ilvl="2" w:tplc="EF8A0052" w:tentative="1">
      <w:start w:val="1"/>
      <w:numFmt w:val="bullet"/>
      <w:lvlText w:val="■"/>
      <w:lvlJc w:val="left"/>
      <w:pPr>
        <w:tabs>
          <w:tab w:val="num" w:pos="2160"/>
        </w:tabs>
        <w:ind w:left="2160" w:hanging="360"/>
      </w:pPr>
      <w:rPr>
        <w:rFonts w:ascii="Arial" w:hAnsi="Arial" w:hint="default"/>
      </w:rPr>
    </w:lvl>
    <w:lvl w:ilvl="3" w:tplc="A702A480" w:tentative="1">
      <w:start w:val="1"/>
      <w:numFmt w:val="bullet"/>
      <w:lvlText w:val="■"/>
      <w:lvlJc w:val="left"/>
      <w:pPr>
        <w:tabs>
          <w:tab w:val="num" w:pos="2880"/>
        </w:tabs>
        <w:ind w:left="2880" w:hanging="360"/>
      </w:pPr>
      <w:rPr>
        <w:rFonts w:ascii="Arial" w:hAnsi="Arial" w:hint="default"/>
      </w:rPr>
    </w:lvl>
    <w:lvl w:ilvl="4" w:tplc="3C78429E" w:tentative="1">
      <w:start w:val="1"/>
      <w:numFmt w:val="bullet"/>
      <w:lvlText w:val="■"/>
      <w:lvlJc w:val="left"/>
      <w:pPr>
        <w:tabs>
          <w:tab w:val="num" w:pos="3600"/>
        </w:tabs>
        <w:ind w:left="3600" w:hanging="360"/>
      </w:pPr>
      <w:rPr>
        <w:rFonts w:ascii="Arial" w:hAnsi="Arial" w:hint="default"/>
      </w:rPr>
    </w:lvl>
    <w:lvl w:ilvl="5" w:tplc="3134EAB2" w:tentative="1">
      <w:start w:val="1"/>
      <w:numFmt w:val="bullet"/>
      <w:lvlText w:val="■"/>
      <w:lvlJc w:val="left"/>
      <w:pPr>
        <w:tabs>
          <w:tab w:val="num" w:pos="4320"/>
        </w:tabs>
        <w:ind w:left="4320" w:hanging="360"/>
      </w:pPr>
      <w:rPr>
        <w:rFonts w:ascii="Arial" w:hAnsi="Arial" w:hint="default"/>
      </w:rPr>
    </w:lvl>
    <w:lvl w:ilvl="6" w:tplc="3D3ECB6E" w:tentative="1">
      <w:start w:val="1"/>
      <w:numFmt w:val="bullet"/>
      <w:lvlText w:val="■"/>
      <w:lvlJc w:val="left"/>
      <w:pPr>
        <w:tabs>
          <w:tab w:val="num" w:pos="5040"/>
        </w:tabs>
        <w:ind w:left="5040" w:hanging="360"/>
      </w:pPr>
      <w:rPr>
        <w:rFonts w:ascii="Arial" w:hAnsi="Arial" w:hint="default"/>
      </w:rPr>
    </w:lvl>
    <w:lvl w:ilvl="7" w:tplc="CD8E3BC4" w:tentative="1">
      <w:start w:val="1"/>
      <w:numFmt w:val="bullet"/>
      <w:lvlText w:val="■"/>
      <w:lvlJc w:val="left"/>
      <w:pPr>
        <w:tabs>
          <w:tab w:val="num" w:pos="5760"/>
        </w:tabs>
        <w:ind w:left="5760" w:hanging="360"/>
      </w:pPr>
      <w:rPr>
        <w:rFonts w:ascii="Arial" w:hAnsi="Arial" w:hint="default"/>
      </w:rPr>
    </w:lvl>
    <w:lvl w:ilvl="8" w:tplc="211A29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B43380"/>
    <w:multiLevelType w:val="hybridMultilevel"/>
    <w:tmpl w:val="EDF2F8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886E92"/>
    <w:multiLevelType w:val="hybridMultilevel"/>
    <w:tmpl w:val="72FE0448"/>
    <w:lvl w:ilvl="0" w:tplc="76A65D74">
      <w:start w:val="1"/>
      <w:numFmt w:val="bullet"/>
      <w:lvlText w:val="•"/>
      <w:lvlJc w:val="left"/>
      <w:pPr>
        <w:tabs>
          <w:tab w:val="num" w:pos="720"/>
        </w:tabs>
        <w:ind w:left="720" w:hanging="360"/>
      </w:pPr>
      <w:rPr>
        <w:rFonts w:ascii="Times New Roman" w:hAnsi="Times New Roman" w:cs="Times New Roman" w:hint="default"/>
      </w:rPr>
    </w:lvl>
    <w:lvl w:ilvl="1" w:tplc="987C7474">
      <w:start w:val="1"/>
      <w:numFmt w:val="bullet"/>
      <w:lvlText w:val="•"/>
      <w:lvlJc w:val="left"/>
      <w:pPr>
        <w:tabs>
          <w:tab w:val="num" w:pos="1440"/>
        </w:tabs>
        <w:ind w:left="1440" w:hanging="360"/>
      </w:pPr>
      <w:rPr>
        <w:rFonts w:ascii="Times New Roman" w:hAnsi="Times New Roman" w:cs="Times New Roman" w:hint="default"/>
      </w:rPr>
    </w:lvl>
    <w:lvl w:ilvl="2" w:tplc="E684E654">
      <w:start w:val="1"/>
      <w:numFmt w:val="bullet"/>
      <w:lvlText w:val="•"/>
      <w:lvlJc w:val="left"/>
      <w:pPr>
        <w:tabs>
          <w:tab w:val="num" w:pos="2160"/>
        </w:tabs>
        <w:ind w:left="2160" w:hanging="360"/>
      </w:pPr>
      <w:rPr>
        <w:rFonts w:ascii="Times New Roman" w:hAnsi="Times New Roman" w:cs="Times New Roman" w:hint="default"/>
      </w:rPr>
    </w:lvl>
    <w:lvl w:ilvl="3" w:tplc="A522AD96">
      <w:start w:val="1"/>
      <w:numFmt w:val="bullet"/>
      <w:lvlText w:val="•"/>
      <w:lvlJc w:val="left"/>
      <w:pPr>
        <w:tabs>
          <w:tab w:val="num" w:pos="2880"/>
        </w:tabs>
        <w:ind w:left="2880" w:hanging="360"/>
      </w:pPr>
      <w:rPr>
        <w:rFonts w:ascii="Times New Roman" w:hAnsi="Times New Roman" w:cs="Times New Roman" w:hint="default"/>
      </w:rPr>
    </w:lvl>
    <w:lvl w:ilvl="4" w:tplc="DD6297F2">
      <w:start w:val="1"/>
      <w:numFmt w:val="bullet"/>
      <w:lvlText w:val="•"/>
      <w:lvlJc w:val="left"/>
      <w:pPr>
        <w:tabs>
          <w:tab w:val="num" w:pos="3600"/>
        </w:tabs>
        <w:ind w:left="3600" w:hanging="360"/>
      </w:pPr>
      <w:rPr>
        <w:rFonts w:ascii="Times New Roman" w:hAnsi="Times New Roman" w:cs="Times New Roman" w:hint="default"/>
      </w:rPr>
    </w:lvl>
    <w:lvl w:ilvl="5" w:tplc="CD7E18AA">
      <w:start w:val="1"/>
      <w:numFmt w:val="bullet"/>
      <w:lvlText w:val="•"/>
      <w:lvlJc w:val="left"/>
      <w:pPr>
        <w:tabs>
          <w:tab w:val="num" w:pos="4320"/>
        </w:tabs>
        <w:ind w:left="4320" w:hanging="360"/>
      </w:pPr>
      <w:rPr>
        <w:rFonts w:ascii="Times New Roman" w:hAnsi="Times New Roman" w:cs="Times New Roman" w:hint="default"/>
      </w:rPr>
    </w:lvl>
    <w:lvl w:ilvl="6" w:tplc="79D8B46C">
      <w:start w:val="1"/>
      <w:numFmt w:val="bullet"/>
      <w:lvlText w:val="•"/>
      <w:lvlJc w:val="left"/>
      <w:pPr>
        <w:tabs>
          <w:tab w:val="num" w:pos="5040"/>
        </w:tabs>
        <w:ind w:left="5040" w:hanging="360"/>
      </w:pPr>
      <w:rPr>
        <w:rFonts w:ascii="Times New Roman" w:hAnsi="Times New Roman" w:cs="Times New Roman" w:hint="default"/>
      </w:rPr>
    </w:lvl>
    <w:lvl w:ilvl="7" w:tplc="3552F874">
      <w:start w:val="1"/>
      <w:numFmt w:val="bullet"/>
      <w:lvlText w:val="•"/>
      <w:lvlJc w:val="left"/>
      <w:pPr>
        <w:tabs>
          <w:tab w:val="num" w:pos="5760"/>
        </w:tabs>
        <w:ind w:left="5760" w:hanging="360"/>
      </w:pPr>
      <w:rPr>
        <w:rFonts w:ascii="Times New Roman" w:hAnsi="Times New Roman" w:cs="Times New Roman" w:hint="default"/>
      </w:rPr>
    </w:lvl>
    <w:lvl w:ilvl="8" w:tplc="1C14771A">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34B5393B"/>
    <w:multiLevelType w:val="hybridMultilevel"/>
    <w:tmpl w:val="BBD0C806"/>
    <w:lvl w:ilvl="0" w:tplc="4976859E">
      <w:start w:val="1"/>
      <w:numFmt w:val="bullet"/>
      <w:lvlText w:val="•"/>
      <w:lvlJc w:val="left"/>
      <w:pPr>
        <w:tabs>
          <w:tab w:val="num" w:pos="720"/>
        </w:tabs>
        <w:ind w:left="720" w:hanging="360"/>
      </w:pPr>
      <w:rPr>
        <w:rFonts w:ascii="Arial" w:hAnsi="Arial" w:hint="default"/>
      </w:rPr>
    </w:lvl>
    <w:lvl w:ilvl="1" w:tplc="86DE5F68" w:tentative="1">
      <w:start w:val="1"/>
      <w:numFmt w:val="bullet"/>
      <w:lvlText w:val="•"/>
      <w:lvlJc w:val="left"/>
      <w:pPr>
        <w:tabs>
          <w:tab w:val="num" w:pos="1440"/>
        </w:tabs>
        <w:ind w:left="1440" w:hanging="360"/>
      </w:pPr>
      <w:rPr>
        <w:rFonts w:ascii="Arial" w:hAnsi="Arial" w:hint="default"/>
      </w:rPr>
    </w:lvl>
    <w:lvl w:ilvl="2" w:tplc="A27A8BC0" w:tentative="1">
      <w:start w:val="1"/>
      <w:numFmt w:val="bullet"/>
      <w:lvlText w:val="•"/>
      <w:lvlJc w:val="left"/>
      <w:pPr>
        <w:tabs>
          <w:tab w:val="num" w:pos="2160"/>
        </w:tabs>
        <w:ind w:left="2160" w:hanging="360"/>
      </w:pPr>
      <w:rPr>
        <w:rFonts w:ascii="Arial" w:hAnsi="Arial" w:hint="default"/>
      </w:rPr>
    </w:lvl>
    <w:lvl w:ilvl="3" w:tplc="C2720F66" w:tentative="1">
      <w:start w:val="1"/>
      <w:numFmt w:val="bullet"/>
      <w:lvlText w:val="•"/>
      <w:lvlJc w:val="left"/>
      <w:pPr>
        <w:tabs>
          <w:tab w:val="num" w:pos="2880"/>
        </w:tabs>
        <w:ind w:left="2880" w:hanging="360"/>
      </w:pPr>
      <w:rPr>
        <w:rFonts w:ascii="Arial" w:hAnsi="Arial" w:hint="default"/>
      </w:rPr>
    </w:lvl>
    <w:lvl w:ilvl="4" w:tplc="09881DA8" w:tentative="1">
      <w:start w:val="1"/>
      <w:numFmt w:val="bullet"/>
      <w:lvlText w:val="•"/>
      <w:lvlJc w:val="left"/>
      <w:pPr>
        <w:tabs>
          <w:tab w:val="num" w:pos="3600"/>
        </w:tabs>
        <w:ind w:left="3600" w:hanging="360"/>
      </w:pPr>
      <w:rPr>
        <w:rFonts w:ascii="Arial" w:hAnsi="Arial" w:hint="default"/>
      </w:rPr>
    </w:lvl>
    <w:lvl w:ilvl="5" w:tplc="4014BA5E" w:tentative="1">
      <w:start w:val="1"/>
      <w:numFmt w:val="bullet"/>
      <w:lvlText w:val="•"/>
      <w:lvlJc w:val="left"/>
      <w:pPr>
        <w:tabs>
          <w:tab w:val="num" w:pos="4320"/>
        </w:tabs>
        <w:ind w:left="4320" w:hanging="360"/>
      </w:pPr>
      <w:rPr>
        <w:rFonts w:ascii="Arial" w:hAnsi="Arial" w:hint="default"/>
      </w:rPr>
    </w:lvl>
    <w:lvl w:ilvl="6" w:tplc="33DCEA70" w:tentative="1">
      <w:start w:val="1"/>
      <w:numFmt w:val="bullet"/>
      <w:lvlText w:val="•"/>
      <w:lvlJc w:val="left"/>
      <w:pPr>
        <w:tabs>
          <w:tab w:val="num" w:pos="5040"/>
        </w:tabs>
        <w:ind w:left="5040" w:hanging="360"/>
      </w:pPr>
      <w:rPr>
        <w:rFonts w:ascii="Arial" w:hAnsi="Arial" w:hint="default"/>
      </w:rPr>
    </w:lvl>
    <w:lvl w:ilvl="7" w:tplc="79F655B8" w:tentative="1">
      <w:start w:val="1"/>
      <w:numFmt w:val="bullet"/>
      <w:lvlText w:val="•"/>
      <w:lvlJc w:val="left"/>
      <w:pPr>
        <w:tabs>
          <w:tab w:val="num" w:pos="5760"/>
        </w:tabs>
        <w:ind w:left="5760" w:hanging="360"/>
      </w:pPr>
      <w:rPr>
        <w:rFonts w:ascii="Arial" w:hAnsi="Arial" w:hint="default"/>
      </w:rPr>
    </w:lvl>
    <w:lvl w:ilvl="8" w:tplc="FB76919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B265A1"/>
    <w:multiLevelType w:val="hybridMultilevel"/>
    <w:tmpl w:val="32426F4C"/>
    <w:lvl w:ilvl="0" w:tplc="504CCAD8">
      <w:start w:val="1"/>
      <w:numFmt w:val="bullet"/>
      <w:lvlText w:val="■"/>
      <w:lvlJc w:val="left"/>
      <w:pPr>
        <w:tabs>
          <w:tab w:val="num" w:pos="720"/>
        </w:tabs>
        <w:ind w:left="720" w:hanging="360"/>
      </w:pPr>
      <w:rPr>
        <w:rFonts w:ascii="Arial" w:hAnsi="Arial" w:hint="default"/>
      </w:rPr>
    </w:lvl>
    <w:lvl w:ilvl="1" w:tplc="3C864F6E">
      <w:numFmt w:val="bullet"/>
      <w:lvlText w:val="®"/>
      <w:lvlJc w:val="left"/>
      <w:pPr>
        <w:tabs>
          <w:tab w:val="num" w:pos="1440"/>
        </w:tabs>
        <w:ind w:left="1440" w:hanging="360"/>
      </w:pPr>
      <w:rPr>
        <w:rFonts w:ascii="Symbol" w:hAnsi="Symbol" w:hint="default"/>
      </w:rPr>
    </w:lvl>
    <w:lvl w:ilvl="2" w:tplc="EF8A0052" w:tentative="1">
      <w:start w:val="1"/>
      <w:numFmt w:val="bullet"/>
      <w:lvlText w:val="■"/>
      <w:lvlJc w:val="left"/>
      <w:pPr>
        <w:tabs>
          <w:tab w:val="num" w:pos="2160"/>
        </w:tabs>
        <w:ind w:left="2160" w:hanging="360"/>
      </w:pPr>
      <w:rPr>
        <w:rFonts w:ascii="Arial" w:hAnsi="Arial" w:hint="default"/>
      </w:rPr>
    </w:lvl>
    <w:lvl w:ilvl="3" w:tplc="A702A480" w:tentative="1">
      <w:start w:val="1"/>
      <w:numFmt w:val="bullet"/>
      <w:lvlText w:val="■"/>
      <w:lvlJc w:val="left"/>
      <w:pPr>
        <w:tabs>
          <w:tab w:val="num" w:pos="2880"/>
        </w:tabs>
        <w:ind w:left="2880" w:hanging="360"/>
      </w:pPr>
      <w:rPr>
        <w:rFonts w:ascii="Arial" w:hAnsi="Arial" w:hint="default"/>
      </w:rPr>
    </w:lvl>
    <w:lvl w:ilvl="4" w:tplc="3C78429E" w:tentative="1">
      <w:start w:val="1"/>
      <w:numFmt w:val="bullet"/>
      <w:lvlText w:val="■"/>
      <w:lvlJc w:val="left"/>
      <w:pPr>
        <w:tabs>
          <w:tab w:val="num" w:pos="3600"/>
        </w:tabs>
        <w:ind w:left="3600" w:hanging="360"/>
      </w:pPr>
      <w:rPr>
        <w:rFonts w:ascii="Arial" w:hAnsi="Arial" w:hint="default"/>
      </w:rPr>
    </w:lvl>
    <w:lvl w:ilvl="5" w:tplc="3134EAB2" w:tentative="1">
      <w:start w:val="1"/>
      <w:numFmt w:val="bullet"/>
      <w:lvlText w:val="■"/>
      <w:lvlJc w:val="left"/>
      <w:pPr>
        <w:tabs>
          <w:tab w:val="num" w:pos="4320"/>
        </w:tabs>
        <w:ind w:left="4320" w:hanging="360"/>
      </w:pPr>
      <w:rPr>
        <w:rFonts w:ascii="Arial" w:hAnsi="Arial" w:hint="default"/>
      </w:rPr>
    </w:lvl>
    <w:lvl w:ilvl="6" w:tplc="3D3ECB6E" w:tentative="1">
      <w:start w:val="1"/>
      <w:numFmt w:val="bullet"/>
      <w:lvlText w:val="■"/>
      <w:lvlJc w:val="left"/>
      <w:pPr>
        <w:tabs>
          <w:tab w:val="num" w:pos="5040"/>
        </w:tabs>
        <w:ind w:left="5040" w:hanging="360"/>
      </w:pPr>
      <w:rPr>
        <w:rFonts w:ascii="Arial" w:hAnsi="Arial" w:hint="default"/>
      </w:rPr>
    </w:lvl>
    <w:lvl w:ilvl="7" w:tplc="CD8E3BC4" w:tentative="1">
      <w:start w:val="1"/>
      <w:numFmt w:val="bullet"/>
      <w:lvlText w:val="■"/>
      <w:lvlJc w:val="left"/>
      <w:pPr>
        <w:tabs>
          <w:tab w:val="num" w:pos="5760"/>
        </w:tabs>
        <w:ind w:left="5760" w:hanging="360"/>
      </w:pPr>
      <w:rPr>
        <w:rFonts w:ascii="Arial" w:hAnsi="Arial" w:hint="default"/>
      </w:rPr>
    </w:lvl>
    <w:lvl w:ilvl="8" w:tplc="211A290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F202E1"/>
    <w:multiLevelType w:val="hybridMultilevel"/>
    <w:tmpl w:val="802ECD82"/>
    <w:lvl w:ilvl="0" w:tplc="B5A2B984">
      <w:numFmt w:val="bullet"/>
      <w:lvlText w:val="-"/>
      <w:lvlJc w:val="left"/>
      <w:pPr>
        <w:ind w:left="720" w:hanging="360"/>
      </w:pPr>
      <w:rPr>
        <w:rFonts w:ascii="Arial Narrow" w:eastAsia="Calibri"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9074E3B"/>
    <w:multiLevelType w:val="hybridMultilevel"/>
    <w:tmpl w:val="E4C0176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15:restartNumberingAfterBreak="0">
    <w:nsid w:val="4953458A"/>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512B30C9"/>
    <w:multiLevelType w:val="hybridMultilevel"/>
    <w:tmpl w:val="B83662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37202C9"/>
    <w:multiLevelType w:val="hybridMultilevel"/>
    <w:tmpl w:val="2828ED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93A4291"/>
    <w:multiLevelType w:val="hybridMultilevel"/>
    <w:tmpl w:val="9E1E6BBA"/>
    <w:lvl w:ilvl="0" w:tplc="2F4A7010">
      <w:start w:val="1"/>
      <w:numFmt w:val="lowerLetter"/>
      <w:pStyle w:val="8aodrky"/>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5DE27C14"/>
    <w:multiLevelType w:val="hybridMultilevel"/>
    <w:tmpl w:val="A77CEBDC"/>
    <w:lvl w:ilvl="0" w:tplc="12884AC8">
      <w:start w:val="1"/>
      <w:numFmt w:val="bullet"/>
      <w:lvlText w:val="■"/>
      <w:lvlJc w:val="left"/>
      <w:pPr>
        <w:tabs>
          <w:tab w:val="num" w:pos="720"/>
        </w:tabs>
        <w:ind w:left="720" w:hanging="360"/>
      </w:pPr>
      <w:rPr>
        <w:rFonts w:ascii="Arial" w:hAnsi="Arial" w:hint="default"/>
      </w:rPr>
    </w:lvl>
    <w:lvl w:ilvl="1" w:tplc="7298C592" w:tentative="1">
      <w:start w:val="1"/>
      <w:numFmt w:val="bullet"/>
      <w:lvlText w:val="■"/>
      <w:lvlJc w:val="left"/>
      <w:pPr>
        <w:tabs>
          <w:tab w:val="num" w:pos="1440"/>
        </w:tabs>
        <w:ind w:left="1440" w:hanging="360"/>
      </w:pPr>
      <w:rPr>
        <w:rFonts w:ascii="Arial" w:hAnsi="Arial" w:hint="default"/>
      </w:rPr>
    </w:lvl>
    <w:lvl w:ilvl="2" w:tplc="2CBA22C2" w:tentative="1">
      <w:start w:val="1"/>
      <w:numFmt w:val="bullet"/>
      <w:lvlText w:val="■"/>
      <w:lvlJc w:val="left"/>
      <w:pPr>
        <w:tabs>
          <w:tab w:val="num" w:pos="2160"/>
        </w:tabs>
        <w:ind w:left="2160" w:hanging="360"/>
      </w:pPr>
      <w:rPr>
        <w:rFonts w:ascii="Arial" w:hAnsi="Arial" w:hint="default"/>
      </w:rPr>
    </w:lvl>
    <w:lvl w:ilvl="3" w:tplc="EE4808A2" w:tentative="1">
      <w:start w:val="1"/>
      <w:numFmt w:val="bullet"/>
      <w:lvlText w:val="■"/>
      <w:lvlJc w:val="left"/>
      <w:pPr>
        <w:tabs>
          <w:tab w:val="num" w:pos="2880"/>
        </w:tabs>
        <w:ind w:left="2880" w:hanging="360"/>
      </w:pPr>
      <w:rPr>
        <w:rFonts w:ascii="Arial" w:hAnsi="Arial" w:hint="default"/>
      </w:rPr>
    </w:lvl>
    <w:lvl w:ilvl="4" w:tplc="A25AFE9C" w:tentative="1">
      <w:start w:val="1"/>
      <w:numFmt w:val="bullet"/>
      <w:lvlText w:val="■"/>
      <w:lvlJc w:val="left"/>
      <w:pPr>
        <w:tabs>
          <w:tab w:val="num" w:pos="3600"/>
        </w:tabs>
        <w:ind w:left="3600" w:hanging="360"/>
      </w:pPr>
      <w:rPr>
        <w:rFonts w:ascii="Arial" w:hAnsi="Arial" w:hint="default"/>
      </w:rPr>
    </w:lvl>
    <w:lvl w:ilvl="5" w:tplc="4C6C220E" w:tentative="1">
      <w:start w:val="1"/>
      <w:numFmt w:val="bullet"/>
      <w:lvlText w:val="■"/>
      <w:lvlJc w:val="left"/>
      <w:pPr>
        <w:tabs>
          <w:tab w:val="num" w:pos="4320"/>
        </w:tabs>
        <w:ind w:left="4320" w:hanging="360"/>
      </w:pPr>
      <w:rPr>
        <w:rFonts w:ascii="Arial" w:hAnsi="Arial" w:hint="default"/>
      </w:rPr>
    </w:lvl>
    <w:lvl w:ilvl="6" w:tplc="CA04B096" w:tentative="1">
      <w:start w:val="1"/>
      <w:numFmt w:val="bullet"/>
      <w:lvlText w:val="■"/>
      <w:lvlJc w:val="left"/>
      <w:pPr>
        <w:tabs>
          <w:tab w:val="num" w:pos="5040"/>
        </w:tabs>
        <w:ind w:left="5040" w:hanging="360"/>
      </w:pPr>
      <w:rPr>
        <w:rFonts w:ascii="Arial" w:hAnsi="Arial" w:hint="default"/>
      </w:rPr>
    </w:lvl>
    <w:lvl w:ilvl="7" w:tplc="ED2410C6" w:tentative="1">
      <w:start w:val="1"/>
      <w:numFmt w:val="bullet"/>
      <w:lvlText w:val="■"/>
      <w:lvlJc w:val="left"/>
      <w:pPr>
        <w:tabs>
          <w:tab w:val="num" w:pos="5760"/>
        </w:tabs>
        <w:ind w:left="5760" w:hanging="360"/>
      </w:pPr>
      <w:rPr>
        <w:rFonts w:ascii="Arial" w:hAnsi="Arial" w:hint="default"/>
      </w:rPr>
    </w:lvl>
    <w:lvl w:ilvl="8" w:tplc="F372FD8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0AF64AE"/>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67673799"/>
    <w:multiLevelType w:val="hybridMultilevel"/>
    <w:tmpl w:val="848C5782"/>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397A55"/>
    <w:multiLevelType w:val="hybridMultilevel"/>
    <w:tmpl w:val="C096DB9A"/>
    <w:lvl w:ilvl="0" w:tplc="04050019">
      <w:start w:val="1"/>
      <w:numFmt w:val="lowerLetter"/>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4" w15:restartNumberingAfterBreak="0">
    <w:nsid w:val="6EC37926"/>
    <w:multiLevelType w:val="hybridMultilevel"/>
    <w:tmpl w:val="41DABF00"/>
    <w:lvl w:ilvl="0" w:tplc="2FD8B7AE">
      <w:start w:val="1"/>
      <w:numFmt w:val="lowerLetter"/>
      <w:lvlText w:val="%1)"/>
      <w:lvlJc w:val="left"/>
      <w:pPr>
        <w:ind w:left="720" w:hanging="360"/>
      </w:pPr>
    </w:lvl>
    <w:lvl w:ilvl="1" w:tplc="33B63198">
      <w:start w:val="1"/>
      <w:numFmt w:val="lowerLetter"/>
      <w:lvlText w:val="%2."/>
      <w:lvlJc w:val="left"/>
      <w:pPr>
        <w:ind w:left="1440" w:hanging="360"/>
      </w:pPr>
    </w:lvl>
    <w:lvl w:ilvl="2" w:tplc="0220C356">
      <w:start w:val="1"/>
      <w:numFmt w:val="lowerRoman"/>
      <w:lvlText w:val="%3."/>
      <w:lvlJc w:val="right"/>
      <w:pPr>
        <w:ind w:left="2160" w:hanging="180"/>
      </w:pPr>
    </w:lvl>
    <w:lvl w:ilvl="3" w:tplc="65E0B9A4">
      <w:start w:val="1"/>
      <w:numFmt w:val="decimal"/>
      <w:lvlText w:val="%4."/>
      <w:lvlJc w:val="left"/>
      <w:pPr>
        <w:ind w:left="2880" w:hanging="360"/>
      </w:pPr>
    </w:lvl>
    <w:lvl w:ilvl="4" w:tplc="4708871C">
      <w:start w:val="1"/>
      <w:numFmt w:val="lowerLetter"/>
      <w:lvlText w:val="%5."/>
      <w:lvlJc w:val="left"/>
      <w:pPr>
        <w:ind w:left="3600" w:hanging="360"/>
      </w:pPr>
    </w:lvl>
    <w:lvl w:ilvl="5" w:tplc="C3E025AE">
      <w:start w:val="1"/>
      <w:numFmt w:val="lowerRoman"/>
      <w:lvlText w:val="%6."/>
      <w:lvlJc w:val="right"/>
      <w:pPr>
        <w:ind w:left="4320" w:hanging="180"/>
      </w:pPr>
    </w:lvl>
    <w:lvl w:ilvl="6" w:tplc="05504F04">
      <w:start w:val="1"/>
      <w:numFmt w:val="decimal"/>
      <w:lvlText w:val="%7."/>
      <w:lvlJc w:val="left"/>
      <w:pPr>
        <w:ind w:left="5040" w:hanging="360"/>
      </w:pPr>
    </w:lvl>
    <w:lvl w:ilvl="7" w:tplc="B26A4132">
      <w:start w:val="1"/>
      <w:numFmt w:val="lowerLetter"/>
      <w:lvlText w:val="%8."/>
      <w:lvlJc w:val="left"/>
      <w:pPr>
        <w:ind w:left="5760" w:hanging="360"/>
      </w:pPr>
    </w:lvl>
    <w:lvl w:ilvl="8" w:tplc="708C22B4">
      <w:start w:val="1"/>
      <w:numFmt w:val="lowerRoman"/>
      <w:lvlText w:val="%9."/>
      <w:lvlJc w:val="right"/>
      <w:pPr>
        <w:ind w:left="6480" w:hanging="180"/>
      </w:pPr>
    </w:lvl>
  </w:abstractNum>
  <w:abstractNum w:abstractNumId="25" w15:restartNumberingAfterBreak="0">
    <w:nsid w:val="70F66DDA"/>
    <w:multiLevelType w:val="multilevel"/>
    <w:tmpl w:val="698A43F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6A60064"/>
    <w:multiLevelType w:val="multilevel"/>
    <w:tmpl w:val="24B808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6DE7A6C"/>
    <w:multiLevelType w:val="hybridMultilevel"/>
    <w:tmpl w:val="EE54CD16"/>
    <w:lvl w:ilvl="0" w:tplc="65783EA6">
      <w:numFmt w:val="bullet"/>
      <w:lvlText w:val="-"/>
      <w:lvlJc w:val="left"/>
      <w:pPr>
        <w:ind w:left="720" w:hanging="360"/>
      </w:pPr>
      <w:rPr>
        <w:rFonts w:ascii="Arial Narrow" w:eastAsia="Calibri"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7122F9E"/>
    <w:multiLevelType w:val="hybridMultilevel"/>
    <w:tmpl w:val="CD7CAB2C"/>
    <w:lvl w:ilvl="0" w:tplc="23389272">
      <w:start w:val="1"/>
      <w:numFmt w:val="bullet"/>
      <w:pStyle w:val="6odrky"/>
      <w:lvlText w:val=""/>
      <w:lvlJc w:val="left"/>
      <w:pPr>
        <w:ind w:left="720" w:hanging="360"/>
      </w:pPr>
      <w:rPr>
        <w:rFonts w:ascii="Wingdings" w:hAnsi="Wingdings" w:hint="default"/>
        <w:color w:val="auto"/>
      </w:rPr>
    </w:lvl>
    <w:lvl w:ilvl="1" w:tplc="AE12856A" w:tentative="1">
      <w:start w:val="1"/>
      <w:numFmt w:val="bullet"/>
      <w:lvlText w:val="o"/>
      <w:lvlJc w:val="left"/>
      <w:pPr>
        <w:ind w:left="1440" w:hanging="360"/>
      </w:pPr>
      <w:rPr>
        <w:rFonts w:ascii="Courier New" w:hAnsi="Courier New" w:cs="Courier New" w:hint="default"/>
      </w:rPr>
    </w:lvl>
    <w:lvl w:ilvl="2" w:tplc="A4980992" w:tentative="1">
      <w:start w:val="1"/>
      <w:numFmt w:val="bullet"/>
      <w:lvlText w:val=""/>
      <w:lvlJc w:val="left"/>
      <w:pPr>
        <w:ind w:left="2160" w:hanging="360"/>
      </w:pPr>
      <w:rPr>
        <w:rFonts w:ascii="Wingdings" w:hAnsi="Wingdings" w:hint="default"/>
      </w:rPr>
    </w:lvl>
    <w:lvl w:ilvl="3" w:tplc="AA3E82C2" w:tentative="1">
      <w:start w:val="1"/>
      <w:numFmt w:val="bullet"/>
      <w:lvlText w:val=""/>
      <w:lvlJc w:val="left"/>
      <w:pPr>
        <w:ind w:left="2880" w:hanging="360"/>
      </w:pPr>
      <w:rPr>
        <w:rFonts w:ascii="Symbol" w:hAnsi="Symbol" w:hint="default"/>
      </w:rPr>
    </w:lvl>
    <w:lvl w:ilvl="4" w:tplc="AA760868" w:tentative="1">
      <w:start w:val="1"/>
      <w:numFmt w:val="bullet"/>
      <w:lvlText w:val="o"/>
      <w:lvlJc w:val="left"/>
      <w:pPr>
        <w:ind w:left="3600" w:hanging="360"/>
      </w:pPr>
      <w:rPr>
        <w:rFonts w:ascii="Courier New" w:hAnsi="Courier New" w:cs="Courier New" w:hint="default"/>
      </w:rPr>
    </w:lvl>
    <w:lvl w:ilvl="5" w:tplc="BAC6B4CA" w:tentative="1">
      <w:start w:val="1"/>
      <w:numFmt w:val="bullet"/>
      <w:lvlText w:val=""/>
      <w:lvlJc w:val="left"/>
      <w:pPr>
        <w:ind w:left="4320" w:hanging="360"/>
      </w:pPr>
      <w:rPr>
        <w:rFonts w:ascii="Wingdings" w:hAnsi="Wingdings" w:hint="default"/>
      </w:rPr>
    </w:lvl>
    <w:lvl w:ilvl="6" w:tplc="4EF6BC50" w:tentative="1">
      <w:start w:val="1"/>
      <w:numFmt w:val="bullet"/>
      <w:lvlText w:val=""/>
      <w:lvlJc w:val="left"/>
      <w:pPr>
        <w:ind w:left="5040" w:hanging="360"/>
      </w:pPr>
      <w:rPr>
        <w:rFonts w:ascii="Symbol" w:hAnsi="Symbol" w:hint="default"/>
      </w:rPr>
    </w:lvl>
    <w:lvl w:ilvl="7" w:tplc="C3FAD91C" w:tentative="1">
      <w:start w:val="1"/>
      <w:numFmt w:val="bullet"/>
      <w:lvlText w:val="o"/>
      <w:lvlJc w:val="left"/>
      <w:pPr>
        <w:ind w:left="5760" w:hanging="360"/>
      </w:pPr>
      <w:rPr>
        <w:rFonts w:ascii="Courier New" w:hAnsi="Courier New" w:cs="Courier New" w:hint="default"/>
      </w:rPr>
    </w:lvl>
    <w:lvl w:ilvl="8" w:tplc="9D86C29A" w:tentative="1">
      <w:start w:val="1"/>
      <w:numFmt w:val="bullet"/>
      <w:lvlText w:val=""/>
      <w:lvlJc w:val="left"/>
      <w:pPr>
        <w:ind w:left="6480" w:hanging="360"/>
      </w:pPr>
      <w:rPr>
        <w:rFonts w:ascii="Wingdings" w:hAnsi="Wingdings" w:hint="default"/>
      </w:rPr>
    </w:lvl>
  </w:abstractNum>
  <w:abstractNum w:abstractNumId="29" w15:restartNumberingAfterBreak="0">
    <w:nsid w:val="7DC255EA"/>
    <w:multiLevelType w:val="hybridMultilevel"/>
    <w:tmpl w:val="8E7E15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540774"/>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9"/>
  </w:num>
  <w:num w:numId="2">
    <w:abstractNumId w:val="3"/>
  </w:num>
  <w:num w:numId="3">
    <w:abstractNumId w:val="28"/>
  </w:num>
  <w:num w:numId="4">
    <w:abstractNumId w:val="1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0"/>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2"/>
  </w:num>
  <w:num w:numId="12">
    <w:abstractNumId w:val="8"/>
  </w:num>
  <w:num w:numId="13">
    <w:abstractNumId w:val="29"/>
  </w:num>
  <w:num w:numId="14">
    <w:abstractNumId w:val="23"/>
  </w:num>
  <w:num w:numId="15">
    <w:abstractNumId w:val="4"/>
  </w:num>
  <w:num w:numId="16">
    <w:abstractNumId w:val="7"/>
  </w:num>
  <w:num w:numId="17">
    <w:abstractNumId w:val="16"/>
  </w:num>
  <w:num w:numId="18">
    <w:abstractNumId w:val="30"/>
  </w:num>
  <w:num w:numId="19">
    <w:abstractNumId w:val="1"/>
  </w:num>
  <w:num w:numId="20">
    <w:abstractNumId w:val="5"/>
  </w:num>
  <w:num w:numId="21">
    <w:abstractNumId w:val="21"/>
  </w:num>
  <w:num w:numId="22">
    <w:abstractNumId w:val="3"/>
    <w:lvlOverride w:ilvl="0">
      <w:startOverride w:val="1"/>
    </w:lvlOverride>
  </w:num>
  <w:num w:numId="23">
    <w:abstractNumId w:val="25"/>
  </w:num>
  <w:num w:numId="24">
    <w:abstractNumId w:val="25"/>
  </w:num>
  <w:num w:numId="25">
    <w:abstractNumId w:val="25"/>
  </w:num>
  <w:num w:numId="26">
    <w:abstractNumId w:val="25"/>
  </w:num>
  <w:num w:numId="27">
    <w:abstractNumId w:val="25"/>
  </w:num>
  <w:num w:numId="28">
    <w:abstractNumId w:val="25"/>
  </w:num>
  <w:num w:numId="29">
    <w:abstractNumId w:val="25"/>
  </w:num>
  <w:num w:numId="30">
    <w:abstractNumId w:val="25"/>
  </w:num>
  <w:num w:numId="31">
    <w:abstractNumId w:val="12"/>
  </w:num>
  <w:num w:numId="32">
    <w:abstractNumId w:val="25"/>
  </w:num>
  <w:num w:numId="33">
    <w:abstractNumId w:val="25"/>
  </w:num>
  <w:num w:numId="34">
    <w:abstractNumId w:val="15"/>
  </w:num>
  <w:num w:numId="35">
    <w:abstractNumId w:val="25"/>
  </w:num>
  <w:num w:numId="36">
    <w:abstractNumId w:val="25"/>
  </w:num>
  <w:num w:numId="37">
    <w:abstractNumId w:val="20"/>
  </w:num>
  <w:num w:numId="38">
    <w:abstractNumId w:val="6"/>
  </w:num>
  <w:num w:numId="39">
    <w:abstractNumId w:val="18"/>
  </w:num>
  <w:num w:numId="40">
    <w:abstractNumId w:val="2"/>
  </w:num>
  <w:num w:numId="41">
    <w:abstractNumId w:val="9"/>
  </w:num>
  <w:num w:numId="42">
    <w:abstractNumId w:val="13"/>
  </w:num>
  <w:num w:numId="43">
    <w:abstractNumId w:val="25"/>
  </w:num>
  <w:num w:numId="44">
    <w:abstractNumId w:val="25"/>
  </w:num>
  <w:num w:numId="45">
    <w:abstractNumId w:val="25"/>
  </w:num>
  <w:num w:numId="46">
    <w:abstractNumId w:val="27"/>
  </w:num>
  <w:num w:numId="47">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mpty"/>
  </w:docVars>
  <w:rsids>
    <w:rsidRoot w:val="00DC67F9"/>
    <w:rsid w:val="00000348"/>
    <w:rsid w:val="00000FD3"/>
    <w:rsid w:val="00001522"/>
    <w:rsid w:val="00003578"/>
    <w:rsid w:val="000038F8"/>
    <w:rsid w:val="00003F76"/>
    <w:rsid w:val="00004B1E"/>
    <w:rsid w:val="00004E62"/>
    <w:rsid w:val="00007075"/>
    <w:rsid w:val="00010476"/>
    <w:rsid w:val="000104B9"/>
    <w:rsid w:val="0001062A"/>
    <w:rsid w:val="00010E79"/>
    <w:rsid w:val="00011037"/>
    <w:rsid w:val="00011A4B"/>
    <w:rsid w:val="0001292D"/>
    <w:rsid w:val="00012D8B"/>
    <w:rsid w:val="000144EB"/>
    <w:rsid w:val="00014639"/>
    <w:rsid w:val="0001485D"/>
    <w:rsid w:val="00014DAD"/>
    <w:rsid w:val="00014DC2"/>
    <w:rsid w:val="00015BD9"/>
    <w:rsid w:val="00015E18"/>
    <w:rsid w:val="00017252"/>
    <w:rsid w:val="000178CB"/>
    <w:rsid w:val="00017A02"/>
    <w:rsid w:val="000206DC"/>
    <w:rsid w:val="00020714"/>
    <w:rsid w:val="000217F1"/>
    <w:rsid w:val="00021FB8"/>
    <w:rsid w:val="00022282"/>
    <w:rsid w:val="00022618"/>
    <w:rsid w:val="00022B5C"/>
    <w:rsid w:val="00023DAC"/>
    <w:rsid w:val="00024B32"/>
    <w:rsid w:val="00024C8B"/>
    <w:rsid w:val="00025021"/>
    <w:rsid w:val="000252FF"/>
    <w:rsid w:val="00025B11"/>
    <w:rsid w:val="00025C41"/>
    <w:rsid w:val="00025FAC"/>
    <w:rsid w:val="000267F4"/>
    <w:rsid w:val="00027325"/>
    <w:rsid w:val="00027B72"/>
    <w:rsid w:val="000312B9"/>
    <w:rsid w:val="00031871"/>
    <w:rsid w:val="000326BE"/>
    <w:rsid w:val="00033534"/>
    <w:rsid w:val="00034970"/>
    <w:rsid w:val="00034A5A"/>
    <w:rsid w:val="00035ADF"/>
    <w:rsid w:val="00037513"/>
    <w:rsid w:val="00037FE6"/>
    <w:rsid w:val="00040F4A"/>
    <w:rsid w:val="00041009"/>
    <w:rsid w:val="00041241"/>
    <w:rsid w:val="00041514"/>
    <w:rsid w:val="00043078"/>
    <w:rsid w:val="0004696D"/>
    <w:rsid w:val="00046A9B"/>
    <w:rsid w:val="00047EDB"/>
    <w:rsid w:val="00050DF5"/>
    <w:rsid w:val="00050EBB"/>
    <w:rsid w:val="00051F64"/>
    <w:rsid w:val="00052267"/>
    <w:rsid w:val="000522EE"/>
    <w:rsid w:val="0005337C"/>
    <w:rsid w:val="00054154"/>
    <w:rsid w:val="00054A19"/>
    <w:rsid w:val="00055C59"/>
    <w:rsid w:val="00055E9C"/>
    <w:rsid w:val="0005646C"/>
    <w:rsid w:val="000564A3"/>
    <w:rsid w:val="0005681F"/>
    <w:rsid w:val="000622BC"/>
    <w:rsid w:val="00062598"/>
    <w:rsid w:val="00062667"/>
    <w:rsid w:val="00062970"/>
    <w:rsid w:val="00063678"/>
    <w:rsid w:val="00065731"/>
    <w:rsid w:val="000657BB"/>
    <w:rsid w:val="00065BBF"/>
    <w:rsid w:val="0006666B"/>
    <w:rsid w:val="00066B76"/>
    <w:rsid w:val="000674BB"/>
    <w:rsid w:val="00067B49"/>
    <w:rsid w:val="00070025"/>
    <w:rsid w:val="000704B0"/>
    <w:rsid w:val="000715DA"/>
    <w:rsid w:val="00071F40"/>
    <w:rsid w:val="000730EB"/>
    <w:rsid w:val="000749C5"/>
    <w:rsid w:val="0007778B"/>
    <w:rsid w:val="0007788A"/>
    <w:rsid w:val="000804D8"/>
    <w:rsid w:val="000805E6"/>
    <w:rsid w:val="0008085A"/>
    <w:rsid w:val="00081118"/>
    <w:rsid w:val="0008120F"/>
    <w:rsid w:val="00081782"/>
    <w:rsid w:val="0008215B"/>
    <w:rsid w:val="000832DE"/>
    <w:rsid w:val="00084FE7"/>
    <w:rsid w:val="0008565A"/>
    <w:rsid w:val="00085E14"/>
    <w:rsid w:val="00086991"/>
    <w:rsid w:val="00086C69"/>
    <w:rsid w:val="00087F73"/>
    <w:rsid w:val="0009087C"/>
    <w:rsid w:val="00090937"/>
    <w:rsid w:val="00091760"/>
    <w:rsid w:val="0009307D"/>
    <w:rsid w:val="00093741"/>
    <w:rsid w:val="00093BFA"/>
    <w:rsid w:val="0009477B"/>
    <w:rsid w:val="00095AF6"/>
    <w:rsid w:val="00095D9C"/>
    <w:rsid w:val="00096364"/>
    <w:rsid w:val="000965D1"/>
    <w:rsid w:val="00096E97"/>
    <w:rsid w:val="00097701"/>
    <w:rsid w:val="000977C6"/>
    <w:rsid w:val="00097B40"/>
    <w:rsid w:val="00097C83"/>
    <w:rsid w:val="000A18BD"/>
    <w:rsid w:val="000A1D3C"/>
    <w:rsid w:val="000A2091"/>
    <w:rsid w:val="000A24C5"/>
    <w:rsid w:val="000A28A1"/>
    <w:rsid w:val="000A4035"/>
    <w:rsid w:val="000A45E0"/>
    <w:rsid w:val="000A553A"/>
    <w:rsid w:val="000A5C79"/>
    <w:rsid w:val="000A6146"/>
    <w:rsid w:val="000A62AF"/>
    <w:rsid w:val="000A6375"/>
    <w:rsid w:val="000A6755"/>
    <w:rsid w:val="000A7021"/>
    <w:rsid w:val="000A7042"/>
    <w:rsid w:val="000A7C81"/>
    <w:rsid w:val="000A7DA9"/>
    <w:rsid w:val="000B07BA"/>
    <w:rsid w:val="000B155F"/>
    <w:rsid w:val="000B17F9"/>
    <w:rsid w:val="000B2A4F"/>
    <w:rsid w:val="000B38E5"/>
    <w:rsid w:val="000B516F"/>
    <w:rsid w:val="000B5561"/>
    <w:rsid w:val="000B57DA"/>
    <w:rsid w:val="000C0112"/>
    <w:rsid w:val="000C10B1"/>
    <w:rsid w:val="000C17D3"/>
    <w:rsid w:val="000C193F"/>
    <w:rsid w:val="000C2038"/>
    <w:rsid w:val="000C242B"/>
    <w:rsid w:val="000C3134"/>
    <w:rsid w:val="000C32FE"/>
    <w:rsid w:val="000C3BC2"/>
    <w:rsid w:val="000C47DE"/>
    <w:rsid w:val="000C5034"/>
    <w:rsid w:val="000C5263"/>
    <w:rsid w:val="000C5447"/>
    <w:rsid w:val="000C59AA"/>
    <w:rsid w:val="000C629D"/>
    <w:rsid w:val="000C676E"/>
    <w:rsid w:val="000C76F4"/>
    <w:rsid w:val="000D1A71"/>
    <w:rsid w:val="000D1DB4"/>
    <w:rsid w:val="000D2DC6"/>
    <w:rsid w:val="000D2FDA"/>
    <w:rsid w:val="000D3368"/>
    <w:rsid w:val="000D4ABE"/>
    <w:rsid w:val="000D5132"/>
    <w:rsid w:val="000D55BD"/>
    <w:rsid w:val="000D5E8C"/>
    <w:rsid w:val="000D6302"/>
    <w:rsid w:val="000D6886"/>
    <w:rsid w:val="000D6DEC"/>
    <w:rsid w:val="000D79C8"/>
    <w:rsid w:val="000D7D49"/>
    <w:rsid w:val="000E09B5"/>
    <w:rsid w:val="000E10F9"/>
    <w:rsid w:val="000E16C5"/>
    <w:rsid w:val="000E27BA"/>
    <w:rsid w:val="000E2F0E"/>
    <w:rsid w:val="000E39AE"/>
    <w:rsid w:val="000E447A"/>
    <w:rsid w:val="000E47E5"/>
    <w:rsid w:val="000E4AC3"/>
    <w:rsid w:val="000E610C"/>
    <w:rsid w:val="000E6DA5"/>
    <w:rsid w:val="000E724B"/>
    <w:rsid w:val="000E74A3"/>
    <w:rsid w:val="000F14A7"/>
    <w:rsid w:val="000F2464"/>
    <w:rsid w:val="000F2DCF"/>
    <w:rsid w:val="000F2E9A"/>
    <w:rsid w:val="000F2EB2"/>
    <w:rsid w:val="000F3A30"/>
    <w:rsid w:val="000F5D39"/>
    <w:rsid w:val="000F7101"/>
    <w:rsid w:val="000F7F6E"/>
    <w:rsid w:val="00100792"/>
    <w:rsid w:val="00100A72"/>
    <w:rsid w:val="001014A8"/>
    <w:rsid w:val="00101DE0"/>
    <w:rsid w:val="001025A7"/>
    <w:rsid w:val="00102B40"/>
    <w:rsid w:val="00102F96"/>
    <w:rsid w:val="001032D0"/>
    <w:rsid w:val="00103814"/>
    <w:rsid w:val="00103CA3"/>
    <w:rsid w:val="0010461E"/>
    <w:rsid w:val="00104A83"/>
    <w:rsid w:val="00104C65"/>
    <w:rsid w:val="00105758"/>
    <w:rsid w:val="00105B70"/>
    <w:rsid w:val="00105EDB"/>
    <w:rsid w:val="00106439"/>
    <w:rsid w:val="00106490"/>
    <w:rsid w:val="00107110"/>
    <w:rsid w:val="001077EE"/>
    <w:rsid w:val="00111D4A"/>
    <w:rsid w:val="00111F39"/>
    <w:rsid w:val="00112C07"/>
    <w:rsid w:val="00113D05"/>
    <w:rsid w:val="0011559E"/>
    <w:rsid w:val="00115745"/>
    <w:rsid w:val="00116F03"/>
    <w:rsid w:val="001202DB"/>
    <w:rsid w:val="00120EF8"/>
    <w:rsid w:val="001219D7"/>
    <w:rsid w:val="00124D82"/>
    <w:rsid w:val="001306B6"/>
    <w:rsid w:val="00131F4E"/>
    <w:rsid w:val="001342AD"/>
    <w:rsid w:val="00135110"/>
    <w:rsid w:val="0013644B"/>
    <w:rsid w:val="00136C9E"/>
    <w:rsid w:val="00136F6F"/>
    <w:rsid w:val="001370AA"/>
    <w:rsid w:val="001373C3"/>
    <w:rsid w:val="00141615"/>
    <w:rsid w:val="00141971"/>
    <w:rsid w:val="00141CE6"/>
    <w:rsid w:val="00141FFE"/>
    <w:rsid w:val="00142818"/>
    <w:rsid w:val="0014294A"/>
    <w:rsid w:val="00142F45"/>
    <w:rsid w:val="0014379C"/>
    <w:rsid w:val="00143886"/>
    <w:rsid w:val="001443CE"/>
    <w:rsid w:val="001459E3"/>
    <w:rsid w:val="00146563"/>
    <w:rsid w:val="0014666E"/>
    <w:rsid w:val="00147074"/>
    <w:rsid w:val="0014778A"/>
    <w:rsid w:val="0015159F"/>
    <w:rsid w:val="001516A9"/>
    <w:rsid w:val="00151A78"/>
    <w:rsid w:val="001520E6"/>
    <w:rsid w:val="0015240C"/>
    <w:rsid w:val="00152B77"/>
    <w:rsid w:val="00153ED2"/>
    <w:rsid w:val="00154E23"/>
    <w:rsid w:val="00155274"/>
    <w:rsid w:val="001555A9"/>
    <w:rsid w:val="001558A7"/>
    <w:rsid w:val="001558DC"/>
    <w:rsid w:val="00156887"/>
    <w:rsid w:val="00156ED6"/>
    <w:rsid w:val="001570D8"/>
    <w:rsid w:val="0016088C"/>
    <w:rsid w:val="00164ADB"/>
    <w:rsid w:val="00164B2E"/>
    <w:rsid w:val="00165A28"/>
    <w:rsid w:val="00166D78"/>
    <w:rsid w:val="001676CA"/>
    <w:rsid w:val="001676D5"/>
    <w:rsid w:val="00170FC0"/>
    <w:rsid w:val="0017186A"/>
    <w:rsid w:val="001726F3"/>
    <w:rsid w:val="00172DE9"/>
    <w:rsid w:val="0017469E"/>
    <w:rsid w:val="001758DD"/>
    <w:rsid w:val="00175E94"/>
    <w:rsid w:val="00177BEB"/>
    <w:rsid w:val="00177E81"/>
    <w:rsid w:val="00180B3B"/>
    <w:rsid w:val="00182728"/>
    <w:rsid w:val="001836FE"/>
    <w:rsid w:val="00183E17"/>
    <w:rsid w:val="00184D06"/>
    <w:rsid w:val="0018519D"/>
    <w:rsid w:val="001853D0"/>
    <w:rsid w:val="001853E4"/>
    <w:rsid w:val="00185801"/>
    <w:rsid w:val="00185B2B"/>
    <w:rsid w:val="00185E7D"/>
    <w:rsid w:val="00186125"/>
    <w:rsid w:val="00186FF4"/>
    <w:rsid w:val="00190535"/>
    <w:rsid w:val="00190ABB"/>
    <w:rsid w:val="00190BF7"/>
    <w:rsid w:val="00191329"/>
    <w:rsid w:val="001914A2"/>
    <w:rsid w:val="0019180C"/>
    <w:rsid w:val="00191D79"/>
    <w:rsid w:val="00192505"/>
    <w:rsid w:val="001928C5"/>
    <w:rsid w:val="00192A57"/>
    <w:rsid w:val="00193166"/>
    <w:rsid w:val="00193928"/>
    <w:rsid w:val="00193BFE"/>
    <w:rsid w:val="00193EB5"/>
    <w:rsid w:val="001941FA"/>
    <w:rsid w:val="00194B09"/>
    <w:rsid w:val="00195EBE"/>
    <w:rsid w:val="0019709C"/>
    <w:rsid w:val="00197592"/>
    <w:rsid w:val="00197E6D"/>
    <w:rsid w:val="001A007C"/>
    <w:rsid w:val="001A0146"/>
    <w:rsid w:val="001A0F0D"/>
    <w:rsid w:val="001A100B"/>
    <w:rsid w:val="001A1DD5"/>
    <w:rsid w:val="001A249C"/>
    <w:rsid w:val="001A2FBC"/>
    <w:rsid w:val="001A54CD"/>
    <w:rsid w:val="001A5AF6"/>
    <w:rsid w:val="001A5D7C"/>
    <w:rsid w:val="001A5FA5"/>
    <w:rsid w:val="001A6379"/>
    <w:rsid w:val="001A6FEE"/>
    <w:rsid w:val="001B0817"/>
    <w:rsid w:val="001B10BB"/>
    <w:rsid w:val="001B1994"/>
    <w:rsid w:val="001B3A05"/>
    <w:rsid w:val="001B50F8"/>
    <w:rsid w:val="001B52F1"/>
    <w:rsid w:val="001B6A4E"/>
    <w:rsid w:val="001B7495"/>
    <w:rsid w:val="001C078E"/>
    <w:rsid w:val="001C10FE"/>
    <w:rsid w:val="001C1920"/>
    <w:rsid w:val="001C364F"/>
    <w:rsid w:val="001C38ED"/>
    <w:rsid w:val="001C3D9B"/>
    <w:rsid w:val="001C408B"/>
    <w:rsid w:val="001C55E8"/>
    <w:rsid w:val="001C5A90"/>
    <w:rsid w:val="001D08AB"/>
    <w:rsid w:val="001D0B66"/>
    <w:rsid w:val="001D0DE1"/>
    <w:rsid w:val="001D10CC"/>
    <w:rsid w:val="001D2A72"/>
    <w:rsid w:val="001D3CCB"/>
    <w:rsid w:val="001D47A8"/>
    <w:rsid w:val="001D50F2"/>
    <w:rsid w:val="001D5326"/>
    <w:rsid w:val="001D5500"/>
    <w:rsid w:val="001D5E0E"/>
    <w:rsid w:val="001D6F88"/>
    <w:rsid w:val="001D770E"/>
    <w:rsid w:val="001D7BB9"/>
    <w:rsid w:val="001E0282"/>
    <w:rsid w:val="001E457B"/>
    <w:rsid w:val="001E4F69"/>
    <w:rsid w:val="001E6073"/>
    <w:rsid w:val="001E6CD0"/>
    <w:rsid w:val="001E705A"/>
    <w:rsid w:val="001F0935"/>
    <w:rsid w:val="001F0EC9"/>
    <w:rsid w:val="001F104B"/>
    <w:rsid w:val="001F1F70"/>
    <w:rsid w:val="001F3663"/>
    <w:rsid w:val="001F3A92"/>
    <w:rsid w:val="001F3E5F"/>
    <w:rsid w:val="001F5945"/>
    <w:rsid w:val="001F6C24"/>
    <w:rsid w:val="001F6D2A"/>
    <w:rsid w:val="00200192"/>
    <w:rsid w:val="00201F05"/>
    <w:rsid w:val="00203248"/>
    <w:rsid w:val="00204972"/>
    <w:rsid w:val="00204B81"/>
    <w:rsid w:val="00205128"/>
    <w:rsid w:val="0020544F"/>
    <w:rsid w:val="002055B9"/>
    <w:rsid w:val="0021038D"/>
    <w:rsid w:val="00210DBC"/>
    <w:rsid w:val="00211824"/>
    <w:rsid w:val="002129F0"/>
    <w:rsid w:val="00213032"/>
    <w:rsid w:val="002138E1"/>
    <w:rsid w:val="002139EC"/>
    <w:rsid w:val="0021554E"/>
    <w:rsid w:val="002162EE"/>
    <w:rsid w:val="002177A7"/>
    <w:rsid w:val="002206F1"/>
    <w:rsid w:val="00221042"/>
    <w:rsid w:val="00221B95"/>
    <w:rsid w:val="00222261"/>
    <w:rsid w:val="00222447"/>
    <w:rsid w:val="0022285C"/>
    <w:rsid w:val="0022304B"/>
    <w:rsid w:val="00224441"/>
    <w:rsid w:val="002254A5"/>
    <w:rsid w:val="00225830"/>
    <w:rsid w:val="0022690D"/>
    <w:rsid w:val="00226CEC"/>
    <w:rsid w:val="00227A02"/>
    <w:rsid w:val="00227C59"/>
    <w:rsid w:val="00230390"/>
    <w:rsid w:val="002304FD"/>
    <w:rsid w:val="00230FD3"/>
    <w:rsid w:val="00231E12"/>
    <w:rsid w:val="0023254A"/>
    <w:rsid w:val="002329AB"/>
    <w:rsid w:val="00232D30"/>
    <w:rsid w:val="00233B14"/>
    <w:rsid w:val="0023489C"/>
    <w:rsid w:val="002361E8"/>
    <w:rsid w:val="00236590"/>
    <w:rsid w:val="00237DEC"/>
    <w:rsid w:val="00240483"/>
    <w:rsid w:val="00240D72"/>
    <w:rsid w:val="002419C1"/>
    <w:rsid w:val="00241F72"/>
    <w:rsid w:val="00242615"/>
    <w:rsid w:val="0024337B"/>
    <w:rsid w:val="0024376C"/>
    <w:rsid w:val="00243C7A"/>
    <w:rsid w:val="00244844"/>
    <w:rsid w:val="002455EB"/>
    <w:rsid w:val="002456F1"/>
    <w:rsid w:val="00245E21"/>
    <w:rsid w:val="00247399"/>
    <w:rsid w:val="00247EEE"/>
    <w:rsid w:val="00250539"/>
    <w:rsid w:val="00250C1B"/>
    <w:rsid w:val="00251BCF"/>
    <w:rsid w:val="00251FB6"/>
    <w:rsid w:val="0025213D"/>
    <w:rsid w:val="00253E9A"/>
    <w:rsid w:val="00254BF4"/>
    <w:rsid w:val="00255697"/>
    <w:rsid w:val="00255FEA"/>
    <w:rsid w:val="00256286"/>
    <w:rsid w:val="00257E4B"/>
    <w:rsid w:val="00260B4F"/>
    <w:rsid w:val="00261383"/>
    <w:rsid w:val="00261D95"/>
    <w:rsid w:val="00264780"/>
    <w:rsid w:val="00264F3C"/>
    <w:rsid w:val="0026513F"/>
    <w:rsid w:val="00266007"/>
    <w:rsid w:val="002660B0"/>
    <w:rsid w:val="00270E4F"/>
    <w:rsid w:val="002711FB"/>
    <w:rsid w:val="0027199C"/>
    <w:rsid w:val="00272882"/>
    <w:rsid w:val="00272A2E"/>
    <w:rsid w:val="002739DB"/>
    <w:rsid w:val="00275B6B"/>
    <w:rsid w:val="00275DCC"/>
    <w:rsid w:val="0027666C"/>
    <w:rsid w:val="00280060"/>
    <w:rsid w:val="00280347"/>
    <w:rsid w:val="00280B37"/>
    <w:rsid w:val="002811B1"/>
    <w:rsid w:val="002811FB"/>
    <w:rsid w:val="002814E9"/>
    <w:rsid w:val="0028177C"/>
    <w:rsid w:val="00282025"/>
    <w:rsid w:val="00282088"/>
    <w:rsid w:val="00282937"/>
    <w:rsid w:val="0028340E"/>
    <w:rsid w:val="00284330"/>
    <w:rsid w:val="00284F57"/>
    <w:rsid w:val="00285DD4"/>
    <w:rsid w:val="00287185"/>
    <w:rsid w:val="00290D27"/>
    <w:rsid w:val="00292774"/>
    <w:rsid w:val="00292E34"/>
    <w:rsid w:val="0029313C"/>
    <w:rsid w:val="00293151"/>
    <w:rsid w:val="00293875"/>
    <w:rsid w:val="002939C0"/>
    <w:rsid w:val="00293C2A"/>
    <w:rsid w:val="00293EAE"/>
    <w:rsid w:val="00293F90"/>
    <w:rsid w:val="00294405"/>
    <w:rsid w:val="00297E9B"/>
    <w:rsid w:val="002A2150"/>
    <w:rsid w:val="002A2589"/>
    <w:rsid w:val="002A2E39"/>
    <w:rsid w:val="002A2E8E"/>
    <w:rsid w:val="002A32EB"/>
    <w:rsid w:val="002A4CF0"/>
    <w:rsid w:val="002A4D83"/>
    <w:rsid w:val="002A59C0"/>
    <w:rsid w:val="002A6BA7"/>
    <w:rsid w:val="002A6E8B"/>
    <w:rsid w:val="002A78FF"/>
    <w:rsid w:val="002A7F53"/>
    <w:rsid w:val="002B0C10"/>
    <w:rsid w:val="002B0D01"/>
    <w:rsid w:val="002B0FE8"/>
    <w:rsid w:val="002B16AE"/>
    <w:rsid w:val="002B1828"/>
    <w:rsid w:val="002B1ECF"/>
    <w:rsid w:val="002B27B9"/>
    <w:rsid w:val="002B3807"/>
    <w:rsid w:val="002B51F2"/>
    <w:rsid w:val="002B54F5"/>
    <w:rsid w:val="002B5FD3"/>
    <w:rsid w:val="002B6127"/>
    <w:rsid w:val="002B6BCC"/>
    <w:rsid w:val="002B6BD4"/>
    <w:rsid w:val="002B737F"/>
    <w:rsid w:val="002B7C53"/>
    <w:rsid w:val="002B7D32"/>
    <w:rsid w:val="002B7E8A"/>
    <w:rsid w:val="002C0994"/>
    <w:rsid w:val="002C0FAC"/>
    <w:rsid w:val="002C1234"/>
    <w:rsid w:val="002C1496"/>
    <w:rsid w:val="002C1813"/>
    <w:rsid w:val="002C1D7E"/>
    <w:rsid w:val="002C25C7"/>
    <w:rsid w:val="002C349D"/>
    <w:rsid w:val="002C5685"/>
    <w:rsid w:val="002C5F51"/>
    <w:rsid w:val="002C7B74"/>
    <w:rsid w:val="002D02BF"/>
    <w:rsid w:val="002D05A7"/>
    <w:rsid w:val="002D0971"/>
    <w:rsid w:val="002D1069"/>
    <w:rsid w:val="002D3D8E"/>
    <w:rsid w:val="002D4707"/>
    <w:rsid w:val="002D52AA"/>
    <w:rsid w:val="002D578B"/>
    <w:rsid w:val="002D5931"/>
    <w:rsid w:val="002D655F"/>
    <w:rsid w:val="002D6E4D"/>
    <w:rsid w:val="002D7629"/>
    <w:rsid w:val="002E01EA"/>
    <w:rsid w:val="002E132A"/>
    <w:rsid w:val="002E1AB9"/>
    <w:rsid w:val="002E217D"/>
    <w:rsid w:val="002E2E39"/>
    <w:rsid w:val="002E42B1"/>
    <w:rsid w:val="002E6855"/>
    <w:rsid w:val="002E6926"/>
    <w:rsid w:val="002E7096"/>
    <w:rsid w:val="002E7E92"/>
    <w:rsid w:val="002F0144"/>
    <w:rsid w:val="002F1409"/>
    <w:rsid w:val="002F27D0"/>
    <w:rsid w:val="002F36A2"/>
    <w:rsid w:val="002F3E15"/>
    <w:rsid w:val="002F3EB0"/>
    <w:rsid w:val="002F49E8"/>
    <w:rsid w:val="002F5592"/>
    <w:rsid w:val="002F6D6C"/>
    <w:rsid w:val="00300B6C"/>
    <w:rsid w:val="00301BAC"/>
    <w:rsid w:val="0030238B"/>
    <w:rsid w:val="00302637"/>
    <w:rsid w:val="00303277"/>
    <w:rsid w:val="003035BA"/>
    <w:rsid w:val="003038C4"/>
    <w:rsid w:val="00303A5D"/>
    <w:rsid w:val="00303AD5"/>
    <w:rsid w:val="00303B7D"/>
    <w:rsid w:val="0030514D"/>
    <w:rsid w:val="00305DC7"/>
    <w:rsid w:val="00306F44"/>
    <w:rsid w:val="00307661"/>
    <w:rsid w:val="003077B5"/>
    <w:rsid w:val="003124C4"/>
    <w:rsid w:val="00313C78"/>
    <w:rsid w:val="00315C7C"/>
    <w:rsid w:val="00315FAB"/>
    <w:rsid w:val="003171EA"/>
    <w:rsid w:val="0031724C"/>
    <w:rsid w:val="003176AE"/>
    <w:rsid w:val="0031779F"/>
    <w:rsid w:val="00320F08"/>
    <w:rsid w:val="00321353"/>
    <w:rsid w:val="00321B9F"/>
    <w:rsid w:val="00321CE0"/>
    <w:rsid w:val="0032262E"/>
    <w:rsid w:val="00322961"/>
    <w:rsid w:val="00325DED"/>
    <w:rsid w:val="00326011"/>
    <w:rsid w:val="003266B6"/>
    <w:rsid w:val="00326918"/>
    <w:rsid w:val="00327BDF"/>
    <w:rsid w:val="0033001F"/>
    <w:rsid w:val="00330A60"/>
    <w:rsid w:val="00331A2B"/>
    <w:rsid w:val="00331A36"/>
    <w:rsid w:val="00331E3A"/>
    <w:rsid w:val="0033213B"/>
    <w:rsid w:val="0033262D"/>
    <w:rsid w:val="00334CCB"/>
    <w:rsid w:val="00335CFA"/>
    <w:rsid w:val="00336136"/>
    <w:rsid w:val="00340817"/>
    <w:rsid w:val="0034084B"/>
    <w:rsid w:val="0034108E"/>
    <w:rsid w:val="003410A3"/>
    <w:rsid w:val="0034152A"/>
    <w:rsid w:val="00341AA6"/>
    <w:rsid w:val="00343B0D"/>
    <w:rsid w:val="00344082"/>
    <w:rsid w:val="00344103"/>
    <w:rsid w:val="0034426B"/>
    <w:rsid w:val="003444B0"/>
    <w:rsid w:val="003461FB"/>
    <w:rsid w:val="00346FF8"/>
    <w:rsid w:val="00351092"/>
    <w:rsid w:val="0035169A"/>
    <w:rsid w:val="003526D2"/>
    <w:rsid w:val="00352E2D"/>
    <w:rsid w:val="00353A7E"/>
    <w:rsid w:val="003544F7"/>
    <w:rsid w:val="00354E5D"/>
    <w:rsid w:val="00356651"/>
    <w:rsid w:val="003568C0"/>
    <w:rsid w:val="00357DB5"/>
    <w:rsid w:val="003603F8"/>
    <w:rsid w:val="0036113A"/>
    <w:rsid w:val="00361D03"/>
    <w:rsid w:val="003627F8"/>
    <w:rsid w:val="00363A5F"/>
    <w:rsid w:val="003642CB"/>
    <w:rsid w:val="0036464E"/>
    <w:rsid w:val="00365975"/>
    <w:rsid w:val="00365B3C"/>
    <w:rsid w:val="00365DAE"/>
    <w:rsid w:val="003703AC"/>
    <w:rsid w:val="003703C3"/>
    <w:rsid w:val="003719DD"/>
    <w:rsid w:val="00371E8B"/>
    <w:rsid w:val="00371EA3"/>
    <w:rsid w:val="00374EFA"/>
    <w:rsid w:val="003751CC"/>
    <w:rsid w:val="00376FCC"/>
    <w:rsid w:val="0037716C"/>
    <w:rsid w:val="003772DB"/>
    <w:rsid w:val="003773CC"/>
    <w:rsid w:val="00377632"/>
    <w:rsid w:val="00377B76"/>
    <w:rsid w:val="00380A50"/>
    <w:rsid w:val="00380C64"/>
    <w:rsid w:val="00381547"/>
    <w:rsid w:val="0038163A"/>
    <w:rsid w:val="0038274D"/>
    <w:rsid w:val="00382CDD"/>
    <w:rsid w:val="0038349B"/>
    <w:rsid w:val="00383641"/>
    <w:rsid w:val="00383913"/>
    <w:rsid w:val="00384C45"/>
    <w:rsid w:val="003876D3"/>
    <w:rsid w:val="0039034F"/>
    <w:rsid w:val="00390B7E"/>
    <w:rsid w:val="00390C14"/>
    <w:rsid w:val="00391F31"/>
    <w:rsid w:val="00392623"/>
    <w:rsid w:val="003946F1"/>
    <w:rsid w:val="003958AA"/>
    <w:rsid w:val="00395D8A"/>
    <w:rsid w:val="00396350"/>
    <w:rsid w:val="003963AE"/>
    <w:rsid w:val="003A0FF8"/>
    <w:rsid w:val="003A146C"/>
    <w:rsid w:val="003A3CFB"/>
    <w:rsid w:val="003A580B"/>
    <w:rsid w:val="003A5A99"/>
    <w:rsid w:val="003A5B59"/>
    <w:rsid w:val="003A5F67"/>
    <w:rsid w:val="003A7186"/>
    <w:rsid w:val="003B0130"/>
    <w:rsid w:val="003B0318"/>
    <w:rsid w:val="003B2C6F"/>
    <w:rsid w:val="003B2F61"/>
    <w:rsid w:val="003B42D3"/>
    <w:rsid w:val="003B5614"/>
    <w:rsid w:val="003B5C40"/>
    <w:rsid w:val="003B65A5"/>
    <w:rsid w:val="003B6959"/>
    <w:rsid w:val="003B6B5D"/>
    <w:rsid w:val="003B7073"/>
    <w:rsid w:val="003B74F9"/>
    <w:rsid w:val="003C005F"/>
    <w:rsid w:val="003C10BC"/>
    <w:rsid w:val="003C1644"/>
    <w:rsid w:val="003C1754"/>
    <w:rsid w:val="003C18CE"/>
    <w:rsid w:val="003C1D89"/>
    <w:rsid w:val="003C1E64"/>
    <w:rsid w:val="003C3173"/>
    <w:rsid w:val="003C3896"/>
    <w:rsid w:val="003C3C94"/>
    <w:rsid w:val="003C40D5"/>
    <w:rsid w:val="003C42B4"/>
    <w:rsid w:val="003C42FF"/>
    <w:rsid w:val="003C4B13"/>
    <w:rsid w:val="003C4B2D"/>
    <w:rsid w:val="003C5096"/>
    <w:rsid w:val="003C5A13"/>
    <w:rsid w:val="003C6337"/>
    <w:rsid w:val="003C7458"/>
    <w:rsid w:val="003C795E"/>
    <w:rsid w:val="003D0D53"/>
    <w:rsid w:val="003D2006"/>
    <w:rsid w:val="003D2549"/>
    <w:rsid w:val="003D32F4"/>
    <w:rsid w:val="003D3879"/>
    <w:rsid w:val="003D4419"/>
    <w:rsid w:val="003D477D"/>
    <w:rsid w:val="003D4DEC"/>
    <w:rsid w:val="003D51CD"/>
    <w:rsid w:val="003D5AAC"/>
    <w:rsid w:val="003D61B0"/>
    <w:rsid w:val="003D657C"/>
    <w:rsid w:val="003D77ED"/>
    <w:rsid w:val="003E05A0"/>
    <w:rsid w:val="003E08F7"/>
    <w:rsid w:val="003E09BE"/>
    <w:rsid w:val="003E1FD8"/>
    <w:rsid w:val="003E23B4"/>
    <w:rsid w:val="003E2A51"/>
    <w:rsid w:val="003E3485"/>
    <w:rsid w:val="003E3C26"/>
    <w:rsid w:val="003E474B"/>
    <w:rsid w:val="003E60A9"/>
    <w:rsid w:val="003E60E3"/>
    <w:rsid w:val="003E612D"/>
    <w:rsid w:val="003E69E7"/>
    <w:rsid w:val="003E6F6C"/>
    <w:rsid w:val="003E7897"/>
    <w:rsid w:val="003F0798"/>
    <w:rsid w:val="003F1FF4"/>
    <w:rsid w:val="003F2BCD"/>
    <w:rsid w:val="003F3E0F"/>
    <w:rsid w:val="003F44CE"/>
    <w:rsid w:val="003F459C"/>
    <w:rsid w:val="003F5C04"/>
    <w:rsid w:val="003F623F"/>
    <w:rsid w:val="003F766F"/>
    <w:rsid w:val="004002C2"/>
    <w:rsid w:val="00400EC9"/>
    <w:rsid w:val="00400F6B"/>
    <w:rsid w:val="00401168"/>
    <w:rsid w:val="00401E3F"/>
    <w:rsid w:val="004022C4"/>
    <w:rsid w:val="00402882"/>
    <w:rsid w:val="00402DF2"/>
    <w:rsid w:val="00403F64"/>
    <w:rsid w:val="004043E1"/>
    <w:rsid w:val="00404F26"/>
    <w:rsid w:val="004068AC"/>
    <w:rsid w:val="00406C07"/>
    <w:rsid w:val="004104B1"/>
    <w:rsid w:val="00410533"/>
    <w:rsid w:val="004119B2"/>
    <w:rsid w:val="00411CFE"/>
    <w:rsid w:val="00411F3C"/>
    <w:rsid w:val="004126A3"/>
    <w:rsid w:val="00412BE6"/>
    <w:rsid w:val="00414583"/>
    <w:rsid w:val="00415C12"/>
    <w:rsid w:val="004176E5"/>
    <w:rsid w:val="00420783"/>
    <w:rsid w:val="00421452"/>
    <w:rsid w:val="00421909"/>
    <w:rsid w:val="00422C9C"/>
    <w:rsid w:val="00422FE5"/>
    <w:rsid w:val="00423E8E"/>
    <w:rsid w:val="00423F88"/>
    <w:rsid w:val="004242D2"/>
    <w:rsid w:val="00425026"/>
    <w:rsid w:val="004252D8"/>
    <w:rsid w:val="00425559"/>
    <w:rsid w:val="00426540"/>
    <w:rsid w:val="00427648"/>
    <w:rsid w:val="004302D8"/>
    <w:rsid w:val="0043062D"/>
    <w:rsid w:val="00431129"/>
    <w:rsid w:val="00431CD3"/>
    <w:rsid w:val="00431CE7"/>
    <w:rsid w:val="0043257E"/>
    <w:rsid w:val="00432AC7"/>
    <w:rsid w:val="004334DE"/>
    <w:rsid w:val="00434B80"/>
    <w:rsid w:val="004358A3"/>
    <w:rsid w:val="00436104"/>
    <w:rsid w:val="0043614E"/>
    <w:rsid w:val="00437731"/>
    <w:rsid w:val="00440101"/>
    <w:rsid w:val="00441922"/>
    <w:rsid w:val="00442B3A"/>
    <w:rsid w:val="00443878"/>
    <w:rsid w:val="004449E3"/>
    <w:rsid w:val="00444D56"/>
    <w:rsid w:val="00444DAF"/>
    <w:rsid w:val="00445134"/>
    <w:rsid w:val="00447822"/>
    <w:rsid w:val="00450366"/>
    <w:rsid w:val="00450528"/>
    <w:rsid w:val="004505C3"/>
    <w:rsid w:val="004509DD"/>
    <w:rsid w:val="004512E4"/>
    <w:rsid w:val="0045157A"/>
    <w:rsid w:val="004519B3"/>
    <w:rsid w:val="00452314"/>
    <w:rsid w:val="00453B7A"/>
    <w:rsid w:val="00453E6E"/>
    <w:rsid w:val="00454009"/>
    <w:rsid w:val="00454E87"/>
    <w:rsid w:val="004556CC"/>
    <w:rsid w:val="00456303"/>
    <w:rsid w:val="00457B3D"/>
    <w:rsid w:val="00460278"/>
    <w:rsid w:val="004603F8"/>
    <w:rsid w:val="00461CA1"/>
    <w:rsid w:val="00461E44"/>
    <w:rsid w:val="00463440"/>
    <w:rsid w:val="0046357B"/>
    <w:rsid w:val="00463A7F"/>
    <w:rsid w:val="00464446"/>
    <w:rsid w:val="00464A28"/>
    <w:rsid w:val="00465295"/>
    <w:rsid w:val="00466587"/>
    <w:rsid w:val="00466C7D"/>
    <w:rsid w:val="00467127"/>
    <w:rsid w:val="004705E9"/>
    <w:rsid w:val="00470D15"/>
    <w:rsid w:val="00471BBB"/>
    <w:rsid w:val="004724C8"/>
    <w:rsid w:val="004728DB"/>
    <w:rsid w:val="00472B10"/>
    <w:rsid w:val="0047325A"/>
    <w:rsid w:val="00473602"/>
    <w:rsid w:val="004736BE"/>
    <w:rsid w:val="0047447F"/>
    <w:rsid w:val="00474607"/>
    <w:rsid w:val="0047517D"/>
    <w:rsid w:val="00476120"/>
    <w:rsid w:val="004776D0"/>
    <w:rsid w:val="0048484C"/>
    <w:rsid w:val="00485D45"/>
    <w:rsid w:val="00485EF3"/>
    <w:rsid w:val="00486C41"/>
    <w:rsid w:val="00490030"/>
    <w:rsid w:val="004900FD"/>
    <w:rsid w:val="00490C57"/>
    <w:rsid w:val="00491F05"/>
    <w:rsid w:val="0049230B"/>
    <w:rsid w:val="00492533"/>
    <w:rsid w:val="004929D7"/>
    <w:rsid w:val="00494170"/>
    <w:rsid w:val="00494593"/>
    <w:rsid w:val="004946B7"/>
    <w:rsid w:val="00494824"/>
    <w:rsid w:val="0049490B"/>
    <w:rsid w:val="004953C4"/>
    <w:rsid w:val="004955CC"/>
    <w:rsid w:val="00495DA9"/>
    <w:rsid w:val="00496090"/>
    <w:rsid w:val="00496903"/>
    <w:rsid w:val="00496986"/>
    <w:rsid w:val="004969F7"/>
    <w:rsid w:val="004970AE"/>
    <w:rsid w:val="004A03D9"/>
    <w:rsid w:val="004A04E4"/>
    <w:rsid w:val="004A135F"/>
    <w:rsid w:val="004A1BB8"/>
    <w:rsid w:val="004A2ABE"/>
    <w:rsid w:val="004A30E7"/>
    <w:rsid w:val="004A46D1"/>
    <w:rsid w:val="004A754B"/>
    <w:rsid w:val="004A76D3"/>
    <w:rsid w:val="004B0306"/>
    <w:rsid w:val="004B20BE"/>
    <w:rsid w:val="004B23FE"/>
    <w:rsid w:val="004B2559"/>
    <w:rsid w:val="004B29E8"/>
    <w:rsid w:val="004B35CE"/>
    <w:rsid w:val="004B4D22"/>
    <w:rsid w:val="004B4D6C"/>
    <w:rsid w:val="004B50B6"/>
    <w:rsid w:val="004B5333"/>
    <w:rsid w:val="004B55CD"/>
    <w:rsid w:val="004B71D9"/>
    <w:rsid w:val="004B76F6"/>
    <w:rsid w:val="004C042D"/>
    <w:rsid w:val="004C1793"/>
    <w:rsid w:val="004C1BE6"/>
    <w:rsid w:val="004C2328"/>
    <w:rsid w:val="004C2B40"/>
    <w:rsid w:val="004C2D1D"/>
    <w:rsid w:val="004C39FA"/>
    <w:rsid w:val="004C3F65"/>
    <w:rsid w:val="004C44A0"/>
    <w:rsid w:val="004C490E"/>
    <w:rsid w:val="004C6AB3"/>
    <w:rsid w:val="004C75A3"/>
    <w:rsid w:val="004C7768"/>
    <w:rsid w:val="004C7FBE"/>
    <w:rsid w:val="004D0B57"/>
    <w:rsid w:val="004D2354"/>
    <w:rsid w:val="004D2C8D"/>
    <w:rsid w:val="004D3AA0"/>
    <w:rsid w:val="004D44CE"/>
    <w:rsid w:val="004D5338"/>
    <w:rsid w:val="004D535D"/>
    <w:rsid w:val="004D555B"/>
    <w:rsid w:val="004D5673"/>
    <w:rsid w:val="004D5FAC"/>
    <w:rsid w:val="004D6435"/>
    <w:rsid w:val="004D7243"/>
    <w:rsid w:val="004D7E3F"/>
    <w:rsid w:val="004D7F7A"/>
    <w:rsid w:val="004E0093"/>
    <w:rsid w:val="004E0840"/>
    <w:rsid w:val="004E0D0D"/>
    <w:rsid w:val="004E0E10"/>
    <w:rsid w:val="004E14EB"/>
    <w:rsid w:val="004E1505"/>
    <w:rsid w:val="004E3184"/>
    <w:rsid w:val="004E3901"/>
    <w:rsid w:val="004E40B5"/>
    <w:rsid w:val="004E44BA"/>
    <w:rsid w:val="004E4DBA"/>
    <w:rsid w:val="004E5465"/>
    <w:rsid w:val="004E5DC1"/>
    <w:rsid w:val="004E7145"/>
    <w:rsid w:val="004E7AF6"/>
    <w:rsid w:val="004E7B3B"/>
    <w:rsid w:val="004F065F"/>
    <w:rsid w:val="004F0683"/>
    <w:rsid w:val="004F1B87"/>
    <w:rsid w:val="004F247E"/>
    <w:rsid w:val="004F2C25"/>
    <w:rsid w:val="004F3CAC"/>
    <w:rsid w:val="004F412E"/>
    <w:rsid w:val="004F5023"/>
    <w:rsid w:val="004F5BA1"/>
    <w:rsid w:val="004F7869"/>
    <w:rsid w:val="004F7994"/>
    <w:rsid w:val="004F7AB7"/>
    <w:rsid w:val="005003C2"/>
    <w:rsid w:val="00500A06"/>
    <w:rsid w:val="00501001"/>
    <w:rsid w:val="00501B59"/>
    <w:rsid w:val="00501DEB"/>
    <w:rsid w:val="00502231"/>
    <w:rsid w:val="005032BB"/>
    <w:rsid w:val="005034CE"/>
    <w:rsid w:val="005035C2"/>
    <w:rsid w:val="00503653"/>
    <w:rsid w:val="005037DD"/>
    <w:rsid w:val="00503EC1"/>
    <w:rsid w:val="00505631"/>
    <w:rsid w:val="0050595B"/>
    <w:rsid w:val="00506952"/>
    <w:rsid w:val="005069F5"/>
    <w:rsid w:val="00506C0A"/>
    <w:rsid w:val="0051095D"/>
    <w:rsid w:val="00511238"/>
    <w:rsid w:val="00511A5C"/>
    <w:rsid w:val="00511F59"/>
    <w:rsid w:val="005120C0"/>
    <w:rsid w:val="0051273B"/>
    <w:rsid w:val="00512A63"/>
    <w:rsid w:val="00512C56"/>
    <w:rsid w:val="00512CFB"/>
    <w:rsid w:val="005143A0"/>
    <w:rsid w:val="00515A05"/>
    <w:rsid w:val="00516D3E"/>
    <w:rsid w:val="0051773F"/>
    <w:rsid w:val="00517F27"/>
    <w:rsid w:val="0052131D"/>
    <w:rsid w:val="005219C3"/>
    <w:rsid w:val="00521D43"/>
    <w:rsid w:val="00523311"/>
    <w:rsid w:val="005240C4"/>
    <w:rsid w:val="005250F0"/>
    <w:rsid w:val="00525290"/>
    <w:rsid w:val="0052614D"/>
    <w:rsid w:val="005263C6"/>
    <w:rsid w:val="005274D3"/>
    <w:rsid w:val="00530EA7"/>
    <w:rsid w:val="005316C9"/>
    <w:rsid w:val="005316CD"/>
    <w:rsid w:val="00532C12"/>
    <w:rsid w:val="00532DF3"/>
    <w:rsid w:val="00533815"/>
    <w:rsid w:val="00535A36"/>
    <w:rsid w:val="00536934"/>
    <w:rsid w:val="0054157D"/>
    <w:rsid w:val="005415CC"/>
    <w:rsid w:val="0054221B"/>
    <w:rsid w:val="00542709"/>
    <w:rsid w:val="0054476F"/>
    <w:rsid w:val="005451A9"/>
    <w:rsid w:val="005451B7"/>
    <w:rsid w:val="00545972"/>
    <w:rsid w:val="0054606D"/>
    <w:rsid w:val="0055019B"/>
    <w:rsid w:val="005503F4"/>
    <w:rsid w:val="00550BC3"/>
    <w:rsid w:val="00550D95"/>
    <w:rsid w:val="005537F2"/>
    <w:rsid w:val="00553884"/>
    <w:rsid w:val="005542BC"/>
    <w:rsid w:val="005545F5"/>
    <w:rsid w:val="0055474D"/>
    <w:rsid w:val="005548AA"/>
    <w:rsid w:val="00554B8D"/>
    <w:rsid w:val="00555024"/>
    <w:rsid w:val="00555260"/>
    <w:rsid w:val="005611E7"/>
    <w:rsid w:val="00561345"/>
    <w:rsid w:val="00563642"/>
    <w:rsid w:val="0056423E"/>
    <w:rsid w:val="00564D19"/>
    <w:rsid w:val="00565A88"/>
    <w:rsid w:val="005662DE"/>
    <w:rsid w:val="00570133"/>
    <w:rsid w:val="005702E6"/>
    <w:rsid w:val="00570501"/>
    <w:rsid w:val="005705A3"/>
    <w:rsid w:val="00572A6D"/>
    <w:rsid w:val="005741F3"/>
    <w:rsid w:val="005742AD"/>
    <w:rsid w:val="00574961"/>
    <w:rsid w:val="00574CF1"/>
    <w:rsid w:val="005756E2"/>
    <w:rsid w:val="00575D9D"/>
    <w:rsid w:val="0058011E"/>
    <w:rsid w:val="0058184A"/>
    <w:rsid w:val="00581E9E"/>
    <w:rsid w:val="005838E5"/>
    <w:rsid w:val="00583BEE"/>
    <w:rsid w:val="00583C16"/>
    <w:rsid w:val="00583ECD"/>
    <w:rsid w:val="00584573"/>
    <w:rsid w:val="00584FF0"/>
    <w:rsid w:val="0058575B"/>
    <w:rsid w:val="005867F6"/>
    <w:rsid w:val="005869F8"/>
    <w:rsid w:val="005878D7"/>
    <w:rsid w:val="00587ECC"/>
    <w:rsid w:val="00587FC5"/>
    <w:rsid w:val="0059166C"/>
    <w:rsid w:val="00591FCF"/>
    <w:rsid w:val="005924C2"/>
    <w:rsid w:val="0059357A"/>
    <w:rsid w:val="00593D94"/>
    <w:rsid w:val="00594570"/>
    <w:rsid w:val="00594C67"/>
    <w:rsid w:val="00595BF3"/>
    <w:rsid w:val="00596332"/>
    <w:rsid w:val="0059785B"/>
    <w:rsid w:val="00597A70"/>
    <w:rsid w:val="00597BED"/>
    <w:rsid w:val="005A009F"/>
    <w:rsid w:val="005A022E"/>
    <w:rsid w:val="005A1059"/>
    <w:rsid w:val="005A1F02"/>
    <w:rsid w:val="005A2619"/>
    <w:rsid w:val="005A31B5"/>
    <w:rsid w:val="005A3EC1"/>
    <w:rsid w:val="005A3F8E"/>
    <w:rsid w:val="005A69BB"/>
    <w:rsid w:val="005A6CC6"/>
    <w:rsid w:val="005A7D47"/>
    <w:rsid w:val="005A7D7A"/>
    <w:rsid w:val="005B1454"/>
    <w:rsid w:val="005B2684"/>
    <w:rsid w:val="005B2C9D"/>
    <w:rsid w:val="005B2D4B"/>
    <w:rsid w:val="005B32EC"/>
    <w:rsid w:val="005B3A60"/>
    <w:rsid w:val="005B3D36"/>
    <w:rsid w:val="005B3DD8"/>
    <w:rsid w:val="005B4AC3"/>
    <w:rsid w:val="005B5189"/>
    <w:rsid w:val="005B54A2"/>
    <w:rsid w:val="005B60B5"/>
    <w:rsid w:val="005B6245"/>
    <w:rsid w:val="005B66F4"/>
    <w:rsid w:val="005B683A"/>
    <w:rsid w:val="005B693E"/>
    <w:rsid w:val="005B6C73"/>
    <w:rsid w:val="005B70F1"/>
    <w:rsid w:val="005B7697"/>
    <w:rsid w:val="005B77A2"/>
    <w:rsid w:val="005C19BF"/>
    <w:rsid w:val="005C2F25"/>
    <w:rsid w:val="005C3563"/>
    <w:rsid w:val="005C36E3"/>
    <w:rsid w:val="005C3E36"/>
    <w:rsid w:val="005C3F61"/>
    <w:rsid w:val="005C4C56"/>
    <w:rsid w:val="005C5B2C"/>
    <w:rsid w:val="005C6C02"/>
    <w:rsid w:val="005C6EFA"/>
    <w:rsid w:val="005C6F45"/>
    <w:rsid w:val="005C7E32"/>
    <w:rsid w:val="005D01C9"/>
    <w:rsid w:val="005D09CA"/>
    <w:rsid w:val="005D216D"/>
    <w:rsid w:val="005D2BF3"/>
    <w:rsid w:val="005D3A53"/>
    <w:rsid w:val="005D3E00"/>
    <w:rsid w:val="005D3EF4"/>
    <w:rsid w:val="005D5812"/>
    <w:rsid w:val="005D5CFF"/>
    <w:rsid w:val="005D6159"/>
    <w:rsid w:val="005D6C88"/>
    <w:rsid w:val="005D6E6C"/>
    <w:rsid w:val="005D76C5"/>
    <w:rsid w:val="005E099D"/>
    <w:rsid w:val="005E1F49"/>
    <w:rsid w:val="005E3B9D"/>
    <w:rsid w:val="005E3BC1"/>
    <w:rsid w:val="005E4784"/>
    <w:rsid w:val="005E5648"/>
    <w:rsid w:val="005E781E"/>
    <w:rsid w:val="005E78AF"/>
    <w:rsid w:val="005F1352"/>
    <w:rsid w:val="005F2155"/>
    <w:rsid w:val="005F274E"/>
    <w:rsid w:val="005F36FF"/>
    <w:rsid w:val="005F415D"/>
    <w:rsid w:val="005F4392"/>
    <w:rsid w:val="005F47E6"/>
    <w:rsid w:val="005F4AEA"/>
    <w:rsid w:val="005F57D5"/>
    <w:rsid w:val="005F5FF8"/>
    <w:rsid w:val="005F639C"/>
    <w:rsid w:val="005F66CA"/>
    <w:rsid w:val="005F6ACF"/>
    <w:rsid w:val="005F775F"/>
    <w:rsid w:val="005F794C"/>
    <w:rsid w:val="005F7D68"/>
    <w:rsid w:val="006003CF"/>
    <w:rsid w:val="00600617"/>
    <w:rsid w:val="00600DD1"/>
    <w:rsid w:val="00601C34"/>
    <w:rsid w:val="00603674"/>
    <w:rsid w:val="00604CC2"/>
    <w:rsid w:val="00605CB7"/>
    <w:rsid w:val="0060625A"/>
    <w:rsid w:val="00606954"/>
    <w:rsid w:val="006108B9"/>
    <w:rsid w:val="006124DE"/>
    <w:rsid w:val="00612540"/>
    <w:rsid w:val="00613600"/>
    <w:rsid w:val="00613C36"/>
    <w:rsid w:val="00614E79"/>
    <w:rsid w:val="00615976"/>
    <w:rsid w:val="00616161"/>
    <w:rsid w:val="00620D5C"/>
    <w:rsid w:val="00621DDF"/>
    <w:rsid w:val="006223C7"/>
    <w:rsid w:val="00622B8F"/>
    <w:rsid w:val="00622C79"/>
    <w:rsid w:val="00624018"/>
    <w:rsid w:val="00624F6E"/>
    <w:rsid w:val="0062506F"/>
    <w:rsid w:val="006262E8"/>
    <w:rsid w:val="00627E82"/>
    <w:rsid w:val="00627EA6"/>
    <w:rsid w:val="00630245"/>
    <w:rsid w:val="00631C8E"/>
    <w:rsid w:val="00633C54"/>
    <w:rsid w:val="00633F80"/>
    <w:rsid w:val="00634539"/>
    <w:rsid w:val="00634B07"/>
    <w:rsid w:val="00637A76"/>
    <w:rsid w:val="0064049D"/>
    <w:rsid w:val="00640A96"/>
    <w:rsid w:val="00640D6C"/>
    <w:rsid w:val="006413E9"/>
    <w:rsid w:val="00641449"/>
    <w:rsid w:val="006421E7"/>
    <w:rsid w:val="00642337"/>
    <w:rsid w:val="00642FC1"/>
    <w:rsid w:val="006433AA"/>
    <w:rsid w:val="00643A1A"/>
    <w:rsid w:val="00644C7E"/>
    <w:rsid w:val="00645404"/>
    <w:rsid w:val="00645EC4"/>
    <w:rsid w:val="00646B4D"/>
    <w:rsid w:val="00647888"/>
    <w:rsid w:val="00647F6E"/>
    <w:rsid w:val="006502CF"/>
    <w:rsid w:val="00650E4E"/>
    <w:rsid w:val="0065203C"/>
    <w:rsid w:val="006523DB"/>
    <w:rsid w:val="00652605"/>
    <w:rsid w:val="006527A3"/>
    <w:rsid w:val="00652D1A"/>
    <w:rsid w:val="00652E3A"/>
    <w:rsid w:val="00654EB9"/>
    <w:rsid w:val="00655AEF"/>
    <w:rsid w:val="00657A54"/>
    <w:rsid w:val="00657B3B"/>
    <w:rsid w:val="00657E0A"/>
    <w:rsid w:val="00660257"/>
    <w:rsid w:val="00661496"/>
    <w:rsid w:val="00662415"/>
    <w:rsid w:val="0066263E"/>
    <w:rsid w:val="00662C34"/>
    <w:rsid w:val="006630DA"/>
    <w:rsid w:val="006631A6"/>
    <w:rsid w:val="00663C06"/>
    <w:rsid w:val="00664310"/>
    <w:rsid w:val="00664ABD"/>
    <w:rsid w:val="00664E38"/>
    <w:rsid w:val="00665781"/>
    <w:rsid w:val="00671074"/>
    <w:rsid w:val="006714D5"/>
    <w:rsid w:val="006716AD"/>
    <w:rsid w:val="00671710"/>
    <w:rsid w:val="0067192D"/>
    <w:rsid w:val="00671BC8"/>
    <w:rsid w:val="00672729"/>
    <w:rsid w:val="00672B60"/>
    <w:rsid w:val="00672B9B"/>
    <w:rsid w:val="006739CB"/>
    <w:rsid w:val="00674489"/>
    <w:rsid w:val="00674B51"/>
    <w:rsid w:val="00674BF4"/>
    <w:rsid w:val="00675311"/>
    <w:rsid w:val="00676147"/>
    <w:rsid w:val="00676F81"/>
    <w:rsid w:val="00677463"/>
    <w:rsid w:val="00677B4F"/>
    <w:rsid w:val="00680113"/>
    <w:rsid w:val="00680538"/>
    <w:rsid w:val="00680A6C"/>
    <w:rsid w:val="00681186"/>
    <w:rsid w:val="00681FBA"/>
    <w:rsid w:val="006825B1"/>
    <w:rsid w:val="00682852"/>
    <w:rsid w:val="00683749"/>
    <w:rsid w:val="0068457B"/>
    <w:rsid w:val="006867EC"/>
    <w:rsid w:val="006868ED"/>
    <w:rsid w:val="00690684"/>
    <w:rsid w:val="0069075A"/>
    <w:rsid w:val="00690C79"/>
    <w:rsid w:val="00690C82"/>
    <w:rsid w:val="00691C62"/>
    <w:rsid w:val="00691D87"/>
    <w:rsid w:val="00691F9C"/>
    <w:rsid w:val="00692196"/>
    <w:rsid w:val="0069355A"/>
    <w:rsid w:val="00694058"/>
    <w:rsid w:val="00695E16"/>
    <w:rsid w:val="00695F03"/>
    <w:rsid w:val="00697DB1"/>
    <w:rsid w:val="006A0285"/>
    <w:rsid w:val="006A0E7F"/>
    <w:rsid w:val="006A1643"/>
    <w:rsid w:val="006A1B41"/>
    <w:rsid w:val="006A32CE"/>
    <w:rsid w:val="006A53D1"/>
    <w:rsid w:val="006A563F"/>
    <w:rsid w:val="006A6620"/>
    <w:rsid w:val="006A6809"/>
    <w:rsid w:val="006A7EC8"/>
    <w:rsid w:val="006B0C5B"/>
    <w:rsid w:val="006B0FC1"/>
    <w:rsid w:val="006B2B51"/>
    <w:rsid w:val="006B3CA1"/>
    <w:rsid w:val="006B431D"/>
    <w:rsid w:val="006B49FA"/>
    <w:rsid w:val="006B5874"/>
    <w:rsid w:val="006B6BC5"/>
    <w:rsid w:val="006B7164"/>
    <w:rsid w:val="006B7663"/>
    <w:rsid w:val="006B7B9F"/>
    <w:rsid w:val="006B7D46"/>
    <w:rsid w:val="006C1C2E"/>
    <w:rsid w:val="006C21E1"/>
    <w:rsid w:val="006C36B1"/>
    <w:rsid w:val="006C4A0A"/>
    <w:rsid w:val="006C61EE"/>
    <w:rsid w:val="006C6C5F"/>
    <w:rsid w:val="006C7520"/>
    <w:rsid w:val="006D09F7"/>
    <w:rsid w:val="006D0C09"/>
    <w:rsid w:val="006D1BBE"/>
    <w:rsid w:val="006D40E6"/>
    <w:rsid w:val="006D41E2"/>
    <w:rsid w:val="006D464F"/>
    <w:rsid w:val="006D52E1"/>
    <w:rsid w:val="006D5C06"/>
    <w:rsid w:val="006D668A"/>
    <w:rsid w:val="006D6BB2"/>
    <w:rsid w:val="006D6C69"/>
    <w:rsid w:val="006D7FCF"/>
    <w:rsid w:val="006E119F"/>
    <w:rsid w:val="006E12CE"/>
    <w:rsid w:val="006E1DEF"/>
    <w:rsid w:val="006E1F9B"/>
    <w:rsid w:val="006E24E2"/>
    <w:rsid w:val="006E26E4"/>
    <w:rsid w:val="006E378A"/>
    <w:rsid w:val="006E5041"/>
    <w:rsid w:val="006E668C"/>
    <w:rsid w:val="006E69E6"/>
    <w:rsid w:val="006E6C9A"/>
    <w:rsid w:val="006F0247"/>
    <w:rsid w:val="006F10C5"/>
    <w:rsid w:val="006F1752"/>
    <w:rsid w:val="006F1BC7"/>
    <w:rsid w:val="006F1ED4"/>
    <w:rsid w:val="006F3DAA"/>
    <w:rsid w:val="006F5025"/>
    <w:rsid w:val="006F5378"/>
    <w:rsid w:val="006F5AD2"/>
    <w:rsid w:val="006F7023"/>
    <w:rsid w:val="006F7996"/>
    <w:rsid w:val="006F7DE2"/>
    <w:rsid w:val="007001CA"/>
    <w:rsid w:val="007008B7"/>
    <w:rsid w:val="00700A1E"/>
    <w:rsid w:val="007010FD"/>
    <w:rsid w:val="007011D5"/>
    <w:rsid w:val="00701861"/>
    <w:rsid w:val="007018D7"/>
    <w:rsid w:val="00701957"/>
    <w:rsid w:val="00701AF8"/>
    <w:rsid w:val="0070252C"/>
    <w:rsid w:val="007033AB"/>
    <w:rsid w:val="007033E1"/>
    <w:rsid w:val="00704B1E"/>
    <w:rsid w:val="00704D31"/>
    <w:rsid w:val="00706750"/>
    <w:rsid w:val="0070762A"/>
    <w:rsid w:val="00710D8E"/>
    <w:rsid w:val="00711D63"/>
    <w:rsid w:val="007141EB"/>
    <w:rsid w:val="00714BCE"/>
    <w:rsid w:val="00716CCC"/>
    <w:rsid w:val="00717D48"/>
    <w:rsid w:val="0072171E"/>
    <w:rsid w:val="00721D2E"/>
    <w:rsid w:val="00722994"/>
    <w:rsid w:val="00722C3D"/>
    <w:rsid w:val="00722F56"/>
    <w:rsid w:val="00722F7F"/>
    <w:rsid w:val="007231EC"/>
    <w:rsid w:val="007236D8"/>
    <w:rsid w:val="007236DF"/>
    <w:rsid w:val="00723DAB"/>
    <w:rsid w:val="00723F88"/>
    <w:rsid w:val="0072489C"/>
    <w:rsid w:val="00726193"/>
    <w:rsid w:val="00726B51"/>
    <w:rsid w:val="00726BF8"/>
    <w:rsid w:val="00726D58"/>
    <w:rsid w:val="00727A26"/>
    <w:rsid w:val="00727C0D"/>
    <w:rsid w:val="0073034F"/>
    <w:rsid w:val="00730846"/>
    <w:rsid w:val="00730B9A"/>
    <w:rsid w:val="00730FBD"/>
    <w:rsid w:val="0073181F"/>
    <w:rsid w:val="007319B4"/>
    <w:rsid w:val="007326D3"/>
    <w:rsid w:val="00732C00"/>
    <w:rsid w:val="00733652"/>
    <w:rsid w:val="00735147"/>
    <w:rsid w:val="00737AEF"/>
    <w:rsid w:val="00737BA3"/>
    <w:rsid w:val="00740EC9"/>
    <w:rsid w:val="007412BC"/>
    <w:rsid w:val="00741931"/>
    <w:rsid w:val="007421B3"/>
    <w:rsid w:val="007421C0"/>
    <w:rsid w:val="0074229E"/>
    <w:rsid w:val="00742DFF"/>
    <w:rsid w:val="00743905"/>
    <w:rsid w:val="00743EFD"/>
    <w:rsid w:val="0074544A"/>
    <w:rsid w:val="00745838"/>
    <w:rsid w:val="00746531"/>
    <w:rsid w:val="00746688"/>
    <w:rsid w:val="007471B2"/>
    <w:rsid w:val="007500E5"/>
    <w:rsid w:val="00750642"/>
    <w:rsid w:val="00750A24"/>
    <w:rsid w:val="00752C81"/>
    <w:rsid w:val="0075319C"/>
    <w:rsid w:val="00754323"/>
    <w:rsid w:val="00754679"/>
    <w:rsid w:val="00754A81"/>
    <w:rsid w:val="00755FEF"/>
    <w:rsid w:val="00756F7C"/>
    <w:rsid w:val="00757861"/>
    <w:rsid w:val="00761CD9"/>
    <w:rsid w:val="00762599"/>
    <w:rsid w:val="007638EE"/>
    <w:rsid w:val="00763E59"/>
    <w:rsid w:val="00765C72"/>
    <w:rsid w:val="00766336"/>
    <w:rsid w:val="007668F7"/>
    <w:rsid w:val="00766BFC"/>
    <w:rsid w:val="0077005C"/>
    <w:rsid w:val="00770398"/>
    <w:rsid w:val="00770AC4"/>
    <w:rsid w:val="00771971"/>
    <w:rsid w:val="00771D74"/>
    <w:rsid w:val="00772138"/>
    <w:rsid w:val="00772290"/>
    <w:rsid w:val="00773622"/>
    <w:rsid w:val="00773A6A"/>
    <w:rsid w:val="00773C66"/>
    <w:rsid w:val="00773ED4"/>
    <w:rsid w:val="00774856"/>
    <w:rsid w:val="00774A42"/>
    <w:rsid w:val="00774E5F"/>
    <w:rsid w:val="00775427"/>
    <w:rsid w:val="0077576B"/>
    <w:rsid w:val="00775941"/>
    <w:rsid w:val="007776CC"/>
    <w:rsid w:val="00777A9D"/>
    <w:rsid w:val="00781ED5"/>
    <w:rsid w:val="0078210A"/>
    <w:rsid w:val="00784C34"/>
    <w:rsid w:val="0078579C"/>
    <w:rsid w:val="00786629"/>
    <w:rsid w:val="00787136"/>
    <w:rsid w:val="00787649"/>
    <w:rsid w:val="00787DBF"/>
    <w:rsid w:val="007900E7"/>
    <w:rsid w:val="00791713"/>
    <w:rsid w:val="007934AE"/>
    <w:rsid w:val="00793E11"/>
    <w:rsid w:val="00796A2E"/>
    <w:rsid w:val="00797D41"/>
    <w:rsid w:val="007A2683"/>
    <w:rsid w:val="007A2BB6"/>
    <w:rsid w:val="007A2C91"/>
    <w:rsid w:val="007A2F22"/>
    <w:rsid w:val="007A37D2"/>
    <w:rsid w:val="007A3AC8"/>
    <w:rsid w:val="007A3CA1"/>
    <w:rsid w:val="007A47E8"/>
    <w:rsid w:val="007A4E99"/>
    <w:rsid w:val="007A523C"/>
    <w:rsid w:val="007A5E96"/>
    <w:rsid w:val="007B110D"/>
    <w:rsid w:val="007B17CA"/>
    <w:rsid w:val="007B247E"/>
    <w:rsid w:val="007B2FE3"/>
    <w:rsid w:val="007B3FB0"/>
    <w:rsid w:val="007B58BB"/>
    <w:rsid w:val="007B5AFC"/>
    <w:rsid w:val="007B5EE9"/>
    <w:rsid w:val="007B6782"/>
    <w:rsid w:val="007B7C21"/>
    <w:rsid w:val="007B7E66"/>
    <w:rsid w:val="007B7E6C"/>
    <w:rsid w:val="007C0574"/>
    <w:rsid w:val="007C087A"/>
    <w:rsid w:val="007C108F"/>
    <w:rsid w:val="007C1507"/>
    <w:rsid w:val="007C1A4D"/>
    <w:rsid w:val="007C1E35"/>
    <w:rsid w:val="007C2105"/>
    <w:rsid w:val="007C2171"/>
    <w:rsid w:val="007C21CF"/>
    <w:rsid w:val="007C26FD"/>
    <w:rsid w:val="007C2C7B"/>
    <w:rsid w:val="007C3008"/>
    <w:rsid w:val="007C3A71"/>
    <w:rsid w:val="007C3CDF"/>
    <w:rsid w:val="007C44E9"/>
    <w:rsid w:val="007C4F15"/>
    <w:rsid w:val="007C54F7"/>
    <w:rsid w:val="007C7417"/>
    <w:rsid w:val="007C744C"/>
    <w:rsid w:val="007C7C8C"/>
    <w:rsid w:val="007C7E15"/>
    <w:rsid w:val="007D0A1C"/>
    <w:rsid w:val="007D0DA4"/>
    <w:rsid w:val="007D2B59"/>
    <w:rsid w:val="007D2E63"/>
    <w:rsid w:val="007D3270"/>
    <w:rsid w:val="007D47BD"/>
    <w:rsid w:val="007D4834"/>
    <w:rsid w:val="007D51DF"/>
    <w:rsid w:val="007D5A87"/>
    <w:rsid w:val="007D5B75"/>
    <w:rsid w:val="007D5C12"/>
    <w:rsid w:val="007D7F6D"/>
    <w:rsid w:val="007E00B3"/>
    <w:rsid w:val="007E0855"/>
    <w:rsid w:val="007E0CDA"/>
    <w:rsid w:val="007E1C0D"/>
    <w:rsid w:val="007E3FAD"/>
    <w:rsid w:val="007E6A5A"/>
    <w:rsid w:val="007F03FB"/>
    <w:rsid w:val="007F0550"/>
    <w:rsid w:val="007F24AC"/>
    <w:rsid w:val="007F46DB"/>
    <w:rsid w:val="007F4935"/>
    <w:rsid w:val="007F550A"/>
    <w:rsid w:val="007F6518"/>
    <w:rsid w:val="007F6700"/>
    <w:rsid w:val="008007A9"/>
    <w:rsid w:val="00800B59"/>
    <w:rsid w:val="00801DCB"/>
    <w:rsid w:val="00802BBF"/>
    <w:rsid w:val="0080301C"/>
    <w:rsid w:val="0080395F"/>
    <w:rsid w:val="00804A42"/>
    <w:rsid w:val="00804D3A"/>
    <w:rsid w:val="00805090"/>
    <w:rsid w:val="008050C6"/>
    <w:rsid w:val="0080592B"/>
    <w:rsid w:val="008060A4"/>
    <w:rsid w:val="00806655"/>
    <w:rsid w:val="008078FA"/>
    <w:rsid w:val="0081054E"/>
    <w:rsid w:val="0081069E"/>
    <w:rsid w:val="00810A5F"/>
    <w:rsid w:val="00810D18"/>
    <w:rsid w:val="00810EE8"/>
    <w:rsid w:val="008110C2"/>
    <w:rsid w:val="0081463B"/>
    <w:rsid w:val="0081636D"/>
    <w:rsid w:val="00817934"/>
    <w:rsid w:val="008203C9"/>
    <w:rsid w:val="008205D4"/>
    <w:rsid w:val="00821C8A"/>
    <w:rsid w:val="008222C4"/>
    <w:rsid w:val="00822FE4"/>
    <w:rsid w:val="008246BF"/>
    <w:rsid w:val="00825D10"/>
    <w:rsid w:val="00827663"/>
    <w:rsid w:val="008276F3"/>
    <w:rsid w:val="008312F4"/>
    <w:rsid w:val="0083242E"/>
    <w:rsid w:val="00835580"/>
    <w:rsid w:val="00837999"/>
    <w:rsid w:val="00840997"/>
    <w:rsid w:val="00841041"/>
    <w:rsid w:val="00842786"/>
    <w:rsid w:val="0084308B"/>
    <w:rsid w:val="00843CF1"/>
    <w:rsid w:val="00846284"/>
    <w:rsid w:val="008470E8"/>
    <w:rsid w:val="00847307"/>
    <w:rsid w:val="00847E6D"/>
    <w:rsid w:val="008511FA"/>
    <w:rsid w:val="00851BD7"/>
    <w:rsid w:val="00851D83"/>
    <w:rsid w:val="008524A3"/>
    <w:rsid w:val="00852A72"/>
    <w:rsid w:val="008531F3"/>
    <w:rsid w:val="00853B47"/>
    <w:rsid w:val="00854047"/>
    <w:rsid w:val="008570F9"/>
    <w:rsid w:val="008576A9"/>
    <w:rsid w:val="00857812"/>
    <w:rsid w:val="0086029A"/>
    <w:rsid w:val="00860628"/>
    <w:rsid w:val="00861662"/>
    <w:rsid w:val="00861DDC"/>
    <w:rsid w:val="0086222F"/>
    <w:rsid w:val="0086417C"/>
    <w:rsid w:val="00865652"/>
    <w:rsid w:val="00865EF4"/>
    <w:rsid w:val="008668DD"/>
    <w:rsid w:val="00866B50"/>
    <w:rsid w:val="0086724F"/>
    <w:rsid w:val="008705D4"/>
    <w:rsid w:val="00870658"/>
    <w:rsid w:val="008709FC"/>
    <w:rsid w:val="00870A4E"/>
    <w:rsid w:val="00870FAD"/>
    <w:rsid w:val="00871588"/>
    <w:rsid w:val="008736EE"/>
    <w:rsid w:val="00873C98"/>
    <w:rsid w:val="0087433F"/>
    <w:rsid w:val="00874567"/>
    <w:rsid w:val="00875A29"/>
    <w:rsid w:val="00875DE0"/>
    <w:rsid w:val="008764E4"/>
    <w:rsid w:val="00876756"/>
    <w:rsid w:val="008769FD"/>
    <w:rsid w:val="008808A5"/>
    <w:rsid w:val="00880A08"/>
    <w:rsid w:val="00880AF9"/>
    <w:rsid w:val="00880B62"/>
    <w:rsid w:val="0088221B"/>
    <w:rsid w:val="0088231A"/>
    <w:rsid w:val="00882381"/>
    <w:rsid w:val="00882B80"/>
    <w:rsid w:val="008840B7"/>
    <w:rsid w:val="00885A3C"/>
    <w:rsid w:val="00885E13"/>
    <w:rsid w:val="00887C57"/>
    <w:rsid w:val="00890468"/>
    <w:rsid w:val="00890FCE"/>
    <w:rsid w:val="00892515"/>
    <w:rsid w:val="00893ADB"/>
    <w:rsid w:val="008951EF"/>
    <w:rsid w:val="00895DED"/>
    <w:rsid w:val="00896D41"/>
    <w:rsid w:val="00897083"/>
    <w:rsid w:val="008A036C"/>
    <w:rsid w:val="008A05F2"/>
    <w:rsid w:val="008A1C47"/>
    <w:rsid w:val="008A1E40"/>
    <w:rsid w:val="008A34AE"/>
    <w:rsid w:val="008A446C"/>
    <w:rsid w:val="008A44B4"/>
    <w:rsid w:val="008A4978"/>
    <w:rsid w:val="008A50B4"/>
    <w:rsid w:val="008A5A58"/>
    <w:rsid w:val="008A68CC"/>
    <w:rsid w:val="008B0665"/>
    <w:rsid w:val="008B17D9"/>
    <w:rsid w:val="008B4E72"/>
    <w:rsid w:val="008B5990"/>
    <w:rsid w:val="008B5BD8"/>
    <w:rsid w:val="008C2625"/>
    <w:rsid w:val="008C3D65"/>
    <w:rsid w:val="008C4C4C"/>
    <w:rsid w:val="008C4DFE"/>
    <w:rsid w:val="008C5C5E"/>
    <w:rsid w:val="008C717B"/>
    <w:rsid w:val="008C7867"/>
    <w:rsid w:val="008D0D8D"/>
    <w:rsid w:val="008D1656"/>
    <w:rsid w:val="008D181F"/>
    <w:rsid w:val="008D2683"/>
    <w:rsid w:val="008D3C05"/>
    <w:rsid w:val="008D3D95"/>
    <w:rsid w:val="008D5E32"/>
    <w:rsid w:val="008D61A1"/>
    <w:rsid w:val="008D6564"/>
    <w:rsid w:val="008D77AA"/>
    <w:rsid w:val="008E00CE"/>
    <w:rsid w:val="008E0B8B"/>
    <w:rsid w:val="008E0E07"/>
    <w:rsid w:val="008E24CF"/>
    <w:rsid w:val="008E2A17"/>
    <w:rsid w:val="008E36DE"/>
    <w:rsid w:val="008E3FB3"/>
    <w:rsid w:val="008E40FD"/>
    <w:rsid w:val="008E4255"/>
    <w:rsid w:val="008E5598"/>
    <w:rsid w:val="008E5658"/>
    <w:rsid w:val="008E69A5"/>
    <w:rsid w:val="008E740B"/>
    <w:rsid w:val="008E7B77"/>
    <w:rsid w:val="008E7FE9"/>
    <w:rsid w:val="008F0F07"/>
    <w:rsid w:val="008F146C"/>
    <w:rsid w:val="008F1B85"/>
    <w:rsid w:val="008F1D29"/>
    <w:rsid w:val="008F2829"/>
    <w:rsid w:val="008F39F6"/>
    <w:rsid w:val="008F413B"/>
    <w:rsid w:val="008F77E4"/>
    <w:rsid w:val="008F7C0E"/>
    <w:rsid w:val="008F7FB8"/>
    <w:rsid w:val="00900814"/>
    <w:rsid w:val="00901837"/>
    <w:rsid w:val="00902601"/>
    <w:rsid w:val="009032CC"/>
    <w:rsid w:val="00904499"/>
    <w:rsid w:val="009045B5"/>
    <w:rsid w:val="00904CBE"/>
    <w:rsid w:val="0090677C"/>
    <w:rsid w:val="00906FBF"/>
    <w:rsid w:val="00907CD0"/>
    <w:rsid w:val="009102FC"/>
    <w:rsid w:val="0091103A"/>
    <w:rsid w:val="00911124"/>
    <w:rsid w:val="00913F65"/>
    <w:rsid w:val="009143D9"/>
    <w:rsid w:val="009150DC"/>
    <w:rsid w:val="00916837"/>
    <w:rsid w:val="00917A59"/>
    <w:rsid w:val="00920969"/>
    <w:rsid w:val="00921399"/>
    <w:rsid w:val="00921BA2"/>
    <w:rsid w:val="00921F13"/>
    <w:rsid w:val="00921F57"/>
    <w:rsid w:val="009228A9"/>
    <w:rsid w:val="00923EED"/>
    <w:rsid w:val="00925FAE"/>
    <w:rsid w:val="0093012B"/>
    <w:rsid w:val="009304D1"/>
    <w:rsid w:val="009343F1"/>
    <w:rsid w:val="00934A6A"/>
    <w:rsid w:val="00935197"/>
    <w:rsid w:val="009365EE"/>
    <w:rsid w:val="00937D14"/>
    <w:rsid w:val="00937EA8"/>
    <w:rsid w:val="00940DD4"/>
    <w:rsid w:val="00941A18"/>
    <w:rsid w:val="00941FB8"/>
    <w:rsid w:val="00941FFE"/>
    <w:rsid w:val="00942CC9"/>
    <w:rsid w:val="00943D11"/>
    <w:rsid w:val="009440C4"/>
    <w:rsid w:val="0094499F"/>
    <w:rsid w:val="00944B46"/>
    <w:rsid w:val="00945A8C"/>
    <w:rsid w:val="00946168"/>
    <w:rsid w:val="00946C0C"/>
    <w:rsid w:val="00950577"/>
    <w:rsid w:val="00952D56"/>
    <w:rsid w:val="00952E28"/>
    <w:rsid w:val="0095389B"/>
    <w:rsid w:val="00954ED9"/>
    <w:rsid w:val="0095574F"/>
    <w:rsid w:val="009559B2"/>
    <w:rsid w:val="00956E6A"/>
    <w:rsid w:val="0095708C"/>
    <w:rsid w:val="00961465"/>
    <w:rsid w:val="00962DC0"/>
    <w:rsid w:val="0096642D"/>
    <w:rsid w:val="00967A08"/>
    <w:rsid w:val="00967B8C"/>
    <w:rsid w:val="009701DE"/>
    <w:rsid w:val="009713D3"/>
    <w:rsid w:val="00971E21"/>
    <w:rsid w:val="009730C6"/>
    <w:rsid w:val="009731F5"/>
    <w:rsid w:val="00974C8C"/>
    <w:rsid w:val="00975A4D"/>
    <w:rsid w:val="00975B9A"/>
    <w:rsid w:val="00976E45"/>
    <w:rsid w:val="00981E6C"/>
    <w:rsid w:val="00981FD0"/>
    <w:rsid w:val="00982624"/>
    <w:rsid w:val="0098264D"/>
    <w:rsid w:val="00982EEC"/>
    <w:rsid w:val="009830D8"/>
    <w:rsid w:val="009832C7"/>
    <w:rsid w:val="00983DC5"/>
    <w:rsid w:val="009850CF"/>
    <w:rsid w:val="009850E7"/>
    <w:rsid w:val="00985A89"/>
    <w:rsid w:val="00985E2E"/>
    <w:rsid w:val="00985EE9"/>
    <w:rsid w:val="009862D9"/>
    <w:rsid w:val="00986586"/>
    <w:rsid w:val="00986BDE"/>
    <w:rsid w:val="00990A0D"/>
    <w:rsid w:val="00991164"/>
    <w:rsid w:val="009920F8"/>
    <w:rsid w:val="009927A2"/>
    <w:rsid w:val="00993140"/>
    <w:rsid w:val="0099387B"/>
    <w:rsid w:val="00993CDB"/>
    <w:rsid w:val="00995F16"/>
    <w:rsid w:val="009969B3"/>
    <w:rsid w:val="00996EED"/>
    <w:rsid w:val="00997938"/>
    <w:rsid w:val="009A016F"/>
    <w:rsid w:val="009A07D8"/>
    <w:rsid w:val="009A1866"/>
    <w:rsid w:val="009A1A94"/>
    <w:rsid w:val="009A1CB5"/>
    <w:rsid w:val="009A21D2"/>
    <w:rsid w:val="009A2554"/>
    <w:rsid w:val="009A25FE"/>
    <w:rsid w:val="009A2C51"/>
    <w:rsid w:val="009A2DA9"/>
    <w:rsid w:val="009A31F8"/>
    <w:rsid w:val="009A3D19"/>
    <w:rsid w:val="009A42BD"/>
    <w:rsid w:val="009A43D2"/>
    <w:rsid w:val="009A4CEE"/>
    <w:rsid w:val="009A6686"/>
    <w:rsid w:val="009A6E8A"/>
    <w:rsid w:val="009A6F93"/>
    <w:rsid w:val="009A78F1"/>
    <w:rsid w:val="009A7C09"/>
    <w:rsid w:val="009B1596"/>
    <w:rsid w:val="009B3938"/>
    <w:rsid w:val="009B43A7"/>
    <w:rsid w:val="009B4E25"/>
    <w:rsid w:val="009B5322"/>
    <w:rsid w:val="009B5DF7"/>
    <w:rsid w:val="009B69E2"/>
    <w:rsid w:val="009B6FC6"/>
    <w:rsid w:val="009B6FF4"/>
    <w:rsid w:val="009B72E3"/>
    <w:rsid w:val="009C0444"/>
    <w:rsid w:val="009C1F47"/>
    <w:rsid w:val="009C2FAA"/>
    <w:rsid w:val="009C3092"/>
    <w:rsid w:val="009C3ABC"/>
    <w:rsid w:val="009C460C"/>
    <w:rsid w:val="009C4FD2"/>
    <w:rsid w:val="009C514E"/>
    <w:rsid w:val="009C6609"/>
    <w:rsid w:val="009C6FC8"/>
    <w:rsid w:val="009D005B"/>
    <w:rsid w:val="009D0BD4"/>
    <w:rsid w:val="009D3080"/>
    <w:rsid w:val="009D31DA"/>
    <w:rsid w:val="009D3756"/>
    <w:rsid w:val="009D40E1"/>
    <w:rsid w:val="009D4918"/>
    <w:rsid w:val="009D55B4"/>
    <w:rsid w:val="009D6295"/>
    <w:rsid w:val="009D64B5"/>
    <w:rsid w:val="009D7538"/>
    <w:rsid w:val="009D774A"/>
    <w:rsid w:val="009D7938"/>
    <w:rsid w:val="009E4BF9"/>
    <w:rsid w:val="009E5F5C"/>
    <w:rsid w:val="009E68BB"/>
    <w:rsid w:val="009E7CB2"/>
    <w:rsid w:val="009E7E8A"/>
    <w:rsid w:val="009F000B"/>
    <w:rsid w:val="009F08E3"/>
    <w:rsid w:val="009F0CA8"/>
    <w:rsid w:val="009F1360"/>
    <w:rsid w:val="009F1763"/>
    <w:rsid w:val="009F27BF"/>
    <w:rsid w:val="009F28BE"/>
    <w:rsid w:val="009F2BFB"/>
    <w:rsid w:val="009F43C8"/>
    <w:rsid w:val="009F44AE"/>
    <w:rsid w:val="009F4EBD"/>
    <w:rsid w:val="009F5735"/>
    <w:rsid w:val="009F6044"/>
    <w:rsid w:val="009F66E3"/>
    <w:rsid w:val="009F6B29"/>
    <w:rsid w:val="009F7DA2"/>
    <w:rsid w:val="00A0037F"/>
    <w:rsid w:val="00A01B24"/>
    <w:rsid w:val="00A04895"/>
    <w:rsid w:val="00A05AB9"/>
    <w:rsid w:val="00A05F52"/>
    <w:rsid w:val="00A067D9"/>
    <w:rsid w:val="00A10296"/>
    <w:rsid w:val="00A11347"/>
    <w:rsid w:val="00A1288E"/>
    <w:rsid w:val="00A129EB"/>
    <w:rsid w:val="00A13319"/>
    <w:rsid w:val="00A1473E"/>
    <w:rsid w:val="00A152F8"/>
    <w:rsid w:val="00A154F2"/>
    <w:rsid w:val="00A168CD"/>
    <w:rsid w:val="00A16F46"/>
    <w:rsid w:val="00A205AC"/>
    <w:rsid w:val="00A20802"/>
    <w:rsid w:val="00A2095B"/>
    <w:rsid w:val="00A2157C"/>
    <w:rsid w:val="00A24ABD"/>
    <w:rsid w:val="00A25286"/>
    <w:rsid w:val="00A2569E"/>
    <w:rsid w:val="00A26B67"/>
    <w:rsid w:val="00A26BD4"/>
    <w:rsid w:val="00A26D17"/>
    <w:rsid w:val="00A26DEF"/>
    <w:rsid w:val="00A30C37"/>
    <w:rsid w:val="00A30C38"/>
    <w:rsid w:val="00A31108"/>
    <w:rsid w:val="00A3161A"/>
    <w:rsid w:val="00A325CA"/>
    <w:rsid w:val="00A32A91"/>
    <w:rsid w:val="00A330EE"/>
    <w:rsid w:val="00A35F75"/>
    <w:rsid w:val="00A364FC"/>
    <w:rsid w:val="00A36A0F"/>
    <w:rsid w:val="00A37A51"/>
    <w:rsid w:val="00A37EB4"/>
    <w:rsid w:val="00A423AB"/>
    <w:rsid w:val="00A42768"/>
    <w:rsid w:val="00A428D8"/>
    <w:rsid w:val="00A430A5"/>
    <w:rsid w:val="00A43325"/>
    <w:rsid w:val="00A45EB3"/>
    <w:rsid w:val="00A460CC"/>
    <w:rsid w:val="00A4636A"/>
    <w:rsid w:val="00A50576"/>
    <w:rsid w:val="00A51457"/>
    <w:rsid w:val="00A542F2"/>
    <w:rsid w:val="00A5473B"/>
    <w:rsid w:val="00A552CE"/>
    <w:rsid w:val="00A5587D"/>
    <w:rsid w:val="00A55981"/>
    <w:rsid w:val="00A55E20"/>
    <w:rsid w:val="00A569DC"/>
    <w:rsid w:val="00A56A6B"/>
    <w:rsid w:val="00A611C1"/>
    <w:rsid w:val="00A6309B"/>
    <w:rsid w:val="00A6548F"/>
    <w:rsid w:val="00A6709D"/>
    <w:rsid w:val="00A67361"/>
    <w:rsid w:val="00A6769C"/>
    <w:rsid w:val="00A67BF7"/>
    <w:rsid w:val="00A70206"/>
    <w:rsid w:val="00A706AA"/>
    <w:rsid w:val="00A709CA"/>
    <w:rsid w:val="00A72DAD"/>
    <w:rsid w:val="00A73183"/>
    <w:rsid w:val="00A73D14"/>
    <w:rsid w:val="00A74024"/>
    <w:rsid w:val="00A74196"/>
    <w:rsid w:val="00A74547"/>
    <w:rsid w:val="00A756EB"/>
    <w:rsid w:val="00A75833"/>
    <w:rsid w:val="00A75A10"/>
    <w:rsid w:val="00A75AE3"/>
    <w:rsid w:val="00A75F1E"/>
    <w:rsid w:val="00A7749D"/>
    <w:rsid w:val="00A77CB3"/>
    <w:rsid w:val="00A77F19"/>
    <w:rsid w:val="00A810C1"/>
    <w:rsid w:val="00A81AC0"/>
    <w:rsid w:val="00A81F4E"/>
    <w:rsid w:val="00A82CAE"/>
    <w:rsid w:val="00A830FF"/>
    <w:rsid w:val="00A833B5"/>
    <w:rsid w:val="00A8359B"/>
    <w:rsid w:val="00A85639"/>
    <w:rsid w:val="00A85ABC"/>
    <w:rsid w:val="00A865C9"/>
    <w:rsid w:val="00A86CB8"/>
    <w:rsid w:val="00A905B4"/>
    <w:rsid w:val="00A90C29"/>
    <w:rsid w:val="00A91123"/>
    <w:rsid w:val="00A92A61"/>
    <w:rsid w:val="00A92D70"/>
    <w:rsid w:val="00A9331C"/>
    <w:rsid w:val="00A936F8"/>
    <w:rsid w:val="00A93CE3"/>
    <w:rsid w:val="00A94BC0"/>
    <w:rsid w:val="00A94EFC"/>
    <w:rsid w:val="00A956F5"/>
    <w:rsid w:val="00A958D0"/>
    <w:rsid w:val="00A96B94"/>
    <w:rsid w:val="00A96F26"/>
    <w:rsid w:val="00AA0116"/>
    <w:rsid w:val="00AA01A8"/>
    <w:rsid w:val="00AA17A4"/>
    <w:rsid w:val="00AA3384"/>
    <w:rsid w:val="00AA41C4"/>
    <w:rsid w:val="00AA5194"/>
    <w:rsid w:val="00AA6296"/>
    <w:rsid w:val="00AA68A5"/>
    <w:rsid w:val="00AB1EA3"/>
    <w:rsid w:val="00AB2F3A"/>
    <w:rsid w:val="00AB3189"/>
    <w:rsid w:val="00AB38A6"/>
    <w:rsid w:val="00AB42E4"/>
    <w:rsid w:val="00AB4CF6"/>
    <w:rsid w:val="00AB5D28"/>
    <w:rsid w:val="00AB6B48"/>
    <w:rsid w:val="00AB7553"/>
    <w:rsid w:val="00AB7B54"/>
    <w:rsid w:val="00AB7FAF"/>
    <w:rsid w:val="00AC017F"/>
    <w:rsid w:val="00AC100D"/>
    <w:rsid w:val="00AC389A"/>
    <w:rsid w:val="00AC3D31"/>
    <w:rsid w:val="00AC3E8A"/>
    <w:rsid w:val="00AC4B87"/>
    <w:rsid w:val="00AC5403"/>
    <w:rsid w:val="00AC57D4"/>
    <w:rsid w:val="00AC77D0"/>
    <w:rsid w:val="00AD00D9"/>
    <w:rsid w:val="00AD2117"/>
    <w:rsid w:val="00AD2200"/>
    <w:rsid w:val="00AD234F"/>
    <w:rsid w:val="00AD2C1A"/>
    <w:rsid w:val="00AD3203"/>
    <w:rsid w:val="00AD479B"/>
    <w:rsid w:val="00AD4B14"/>
    <w:rsid w:val="00AD56BC"/>
    <w:rsid w:val="00AD5B33"/>
    <w:rsid w:val="00AD5DE7"/>
    <w:rsid w:val="00AD6899"/>
    <w:rsid w:val="00AD6B5C"/>
    <w:rsid w:val="00AD75B7"/>
    <w:rsid w:val="00AE0596"/>
    <w:rsid w:val="00AE0DE4"/>
    <w:rsid w:val="00AE1BE3"/>
    <w:rsid w:val="00AE1FAB"/>
    <w:rsid w:val="00AE2275"/>
    <w:rsid w:val="00AE303C"/>
    <w:rsid w:val="00AE30DD"/>
    <w:rsid w:val="00AE410E"/>
    <w:rsid w:val="00AE496F"/>
    <w:rsid w:val="00AE4A02"/>
    <w:rsid w:val="00AE5FDC"/>
    <w:rsid w:val="00AE7D89"/>
    <w:rsid w:val="00AF04BC"/>
    <w:rsid w:val="00AF059A"/>
    <w:rsid w:val="00AF14D3"/>
    <w:rsid w:val="00AF17DE"/>
    <w:rsid w:val="00AF1FAC"/>
    <w:rsid w:val="00AF4397"/>
    <w:rsid w:val="00AF53E2"/>
    <w:rsid w:val="00AF620E"/>
    <w:rsid w:val="00AF6B33"/>
    <w:rsid w:val="00AF6CC5"/>
    <w:rsid w:val="00AF6FFC"/>
    <w:rsid w:val="00B00049"/>
    <w:rsid w:val="00B00B47"/>
    <w:rsid w:val="00B018BE"/>
    <w:rsid w:val="00B01EF5"/>
    <w:rsid w:val="00B027D9"/>
    <w:rsid w:val="00B035BE"/>
    <w:rsid w:val="00B04D54"/>
    <w:rsid w:val="00B05553"/>
    <w:rsid w:val="00B0577A"/>
    <w:rsid w:val="00B05BBF"/>
    <w:rsid w:val="00B06187"/>
    <w:rsid w:val="00B066D4"/>
    <w:rsid w:val="00B07338"/>
    <w:rsid w:val="00B100BC"/>
    <w:rsid w:val="00B11570"/>
    <w:rsid w:val="00B11885"/>
    <w:rsid w:val="00B126CF"/>
    <w:rsid w:val="00B13114"/>
    <w:rsid w:val="00B14256"/>
    <w:rsid w:val="00B157C6"/>
    <w:rsid w:val="00B16356"/>
    <w:rsid w:val="00B20058"/>
    <w:rsid w:val="00B20E99"/>
    <w:rsid w:val="00B2279D"/>
    <w:rsid w:val="00B22D68"/>
    <w:rsid w:val="00B24C7F"/>
    <w:rsid w:val="00B25116"/>
    <w:rsid w:val="00B259A9"/>
    <w:rsid w:val="00B25D46"/>
    <w:rsid w:val="00B26441"/>
    <w:rsid w:val="00B2719B"/>
    <w:rsid w:val="00B27BBC"/>
    <w:rsid w:val="00B30961"/>
    <w:rsid w:val="00B30ADB"/>
    <w:rsid w:val="00B30E8E"/>
    <w:rsid w:val="00B310B6"/>
    <w:rsid w:val="00B318AA"/>
    <w:rsid w:val="00B33C33"/>
    <w:rsid w:val="00B34555"/>
    <w:rsid w:val="00B34B18"/>
    <w:rsid w:val="00B366DB"/>
    <w:rsid w:val="00B373DF"/>
    <w:rsid w:val="00B37FC4"/>
    <w:rsid w:val="00B405B5"/>
    <w:rsid w:val="00B417C7"/>
    <w:rsid w:val="00B4209E"/>
    <w:rsid w:val="00B431D3"/>
    <w:rsid w:val="00B43ACA"/>
    <w:rsid w:val="00B4401A"/>
    <w:rsid w:val="00B4489B"/>
    <w:rsid w:val="00B44A0B"/>
    <w:rsid w:val="00B45045"/>
    <w:rsid w:val="00B46AFB"/>
    <w:rsid w:val="00B470DC"/>
    <w:rsid w:val="00B4749C"/>
    <w:rsid w:val="00B47CCE"/>
    <w:rsid w:val="00B504CD"/>
    <w:rsid w:val="00B52771"/>
    <w:rsid w:val="00B52BD5"/>
    <w:rsid w:val="00B52C1D"/>
    <w:rsid w:val="00B53C78"/>
    <w:rsid w:val="00B557C0"/>
    <w:rsid w:val="00B57158"/>
    <w:rsid w:val="00B579D9"/>
    <w:rsid w:val="00B57AC5"/>
    <w:rsid w:val="00B603D1"/>
    <w:rsid w:val="00B604FF"/>
    <w:rsid w:val="00B60569"/>
    <w:rsid w:val="00B608AD"/>
    <w:rsid w:val="00B61C7B"/>
    <w:rsid w:val="00B643FB"/>
    <w:rsid w:val="00B64AF3"/>
    <w:rsid w:val="00B64EFD"/>
    <w:rsid w:val="00B656D0"/>
    <w:rsid w:val="00B65761"/>
    <w:rsid w:val="00B67ECF"/>
    <w:rsid w:val="00B706E1"/>
    <w:rsid w:val="00B70A93"/>
    <w:rsid w:val="00B710A8"/>
    <w:rsid w:val="00B7202E"/>
    <w:rsid w:val="00B72855"/>
    <w:rsid w:val="00B73F95"/>
    <w:rsid w:val="00B748D2"/>
    <w:rsid w:val="00B7628A"/>
    <w:rsid w:val="00B7645F"/>
    <w:rsid w:val="00B76916"/>
    <w:rsid w:val="00B8229B"/>
    <w:rsid w:val="00B82C0C"/>
    <w:rsid w:val="00B832F0"/>
    <w:rsid w:val="00B834B1"/>
    <w:rsid w:val="00B83E01"/>
    <w:rsid w:val="00B8423E"/>
    <w:rsid w:val="00B850AD"/>
    <w:rsid w:val="00B86FC6"/>
    <w:rsid w:val="00B874A1"/>
    <w:rsid w:val="00B8762F"/>
    <w:rsid w:val="00B90012"/>
    <w:rsid w:val="00B9033D"/>
    <w:rsid w:val="00B91329"/>
    <w:rsid w:val="00B917C5"/>
    <w:rsid w:val="00B92ABF"/>
    <w:rsid w:val="00B92ADF"/>
    <w:rsid w:val="00B92EB0"/>
    <w:rsid w:val="00B949B0"/>
    <w:rsid w:val="00B94E25"/>
    <w:rsid w:val="00B95CD4"/>
    <w:rsid w:val="00B9682E"/>
    <w:rsid w:val="00B975AF"/>
    <w:rsid w:val="00B9778E"/>
    <w:rsid w:val="00BA03CC"/>
    <w:rsid w:val="00BA412B"/>
    <w:rsid w:val="00BA531C"/>
    <w:rsid w:val="00BA5433"/>
    <w:rsid w:val="00BA5ED2"/>
    <w:rsid w:val="00BA6305"/>
    <w:rsid w:val="00BA66BF"/>
    <w:rsid w:val="00BA6AB6"/>
    <w:rsid w:val="00BA6B5F"/>
    <w:rsid w:val="00BA6E44"/>
    <w:rsid w:val="00BA77A4"/>
    <w:rsid w:val="00BA78A6"/>
    <w:rsid w:val="00BA797A"/>
    <w:rsid w:val="00BB007A"/>
    <w:rsid w:val="00BB0360"/>
    <w:rsid w:val="00BB0D0C"/>
    <w:rsid w:val="00BB12CF"/>
    <w:rsid w:val="00BB23B1"/>
    <w:rsid w:val="00BB248F"/>
    <w:rsid w:val="00BB27E2"/>
    <w:rsid w:val="00BB3BF0"/>
    <w:rsid w:val="00BB5F4E"/>
    <w:rsid w:val="00BC1315"/>
    <w:rsid w:val="00BC140D"/>
    <w:rsid w:val="00BC1546"/>
    <w:rsid w:val="00BC177D"/>
    <w:rsid w:val="00BC1780"/>
    <w:rsid w:val="00BC17EA"/>
    <w:rsid w:val="00BC18D3"/>
    <w:rsid w:val="00BC1DD7"/>
    <w:rsid w:val="00BC3550"/>
    <w:rsid w:val="00BC4666"/>
    <w:rsid w:val="00BC5C5B"/>
    <w:rsid w:val="00BC5EE4"/>
    <w:rsid w:val="00BC6976"/>
    <w:rsid w:val="00BC6FA8"/>
    <w:rsid w:val="00BD04BF"/>
    <w:rsid w:val="00BD06C5"/>
    <w:rsid w:val="00BD210D"/>
    <w:rsid w:val="00BD2B44"/>
    <w:rsid w:val="00BD57CC"/>
    <w:rsid w:val="00BD62CC"/>
    <w:rsid w:val="00BD6F5B"/>
    <w:rsid w:val="00BD7240"/>
    <w:rsid w:val="00BD76D9"/>
    <w:rsid w:val="00BD79CE"/>
    <w:rsid w:val="00BE05B3"/>
    <w:rsid w:val="00BE0B36"/>
    <w:rsid w:val="00BE195C"/>
    <w:rsid w:val="00BE1C31"/>
    <w:rsid w:val="00BE2C32"/>
    <w:rsid w:val="00BE3BBB"/>
    <w:rsid w:val="00BE6109"/>
    <w:rsid w:val="00BE751E"/>
    <w:rsid w:val="00BE78D7"/>
    <w:rsid w:val="00BE7D0F"/>
    <w:rsid w:val="00BF06C0"/>
    <w:rsid w:val="00BF088C"/>
    <w:rsid w:val="00BF0993"/>
    <w:rsid w:val="00BF14F7"/>
    <w:rsid w:val="00BF28F9"/>
    <w:rsid w:val="00BF30B9"/>
    <w:rsid w:val="00BF3C3F"/>
    <w:rsid w:val="00BF53CC"/>
    <w:rsid w:val="00BF5B30"/>
    <w:rsid w:val="00BF5BBC"/>
    <w:rsid w:val="00BF676C"/>
    <w:rsid w:val="00BF6BD4"/>
    <w:rsid w:val="00C0005C"/>
    <w:rsid w:val="00C00C19"/>
    <w:rsid w:val="00C03826"/>
    <w:rsid w:val="00C03D69"/>
    <w:rsid w:val="00C0586D"/>
    <w:rsid w:val="00C07676"/>
    <w:rsid w:val="00C079B1"/>
    <w:rsid w:val="00C10406"/>
    <w:rsid w:val="00C119D4"/>
    <w:rsid w:val="00C14733"/>
    <w:rsid w:val="00C15D02"/>
    <w:rsid w:val="00C163C0"/>
    <w:rsid w:val="00C1664D"/>
    <w:rsid w:val="00C16B01"/>
    <w:rsid w:val="00C17396"/>
    <w:rsid w:val="00C175C7"/>
    <w:rsid w:val="00C202A9"/>
    <w:rsid w:val="00C20651"/>
    <w:rsid w:val="00C20ABA"/>
    <w:rsid w:val="00C21957"/>
    <w:rsid w:val="00C227F4"/>
    <w:rsid w:val="00C22B4C"/>
    <w:rsid w:val="00C22D3E"/>
    <w:rsid w:val="00C233AA"/>
    <w:rsid w:val="00C23F2B"/>
    <w:rsid w:val="00C25A7F"/>
    <w:rsid w:val="00C25B7B"/>
    <w:rsid w:val="00C25F98"/>
    <w:rsid w:val="00C2787D"/>
    <w:rsid w:val="00C27A71"/>
    <w:rsid w:val="00C30215"/>
    <w:rsid w:val="00C30FE6"/>
    <w:rsid w:val="00C32840"/>
    <w:rsid w:val="00C330C5"/>
    <w:rsid w:val="00C339FD"/>
    <w:rsid w:val="00C351B5"/>
    <w:rsid w:val="00C36C3F"/>
    <w:rsid w:val="00C376E1"/>
    <w:rsid w:val="00C406A3"/>
    <w:rsid w:val="00C412CE"/>
    <w:rsid w:val="00C42260"/>
    <w:rsid w:val="00C43152"/>
    <w:rsid w:val="00C445E5"/>
    <w:rsid w:val="00C45353"/>
    <w:rsid w:val="00C46076"/>
    <w:rsid w:val="00C47879"/>
    <w:rsid w:val="00C507EE"/>
    <w:rsid w:val="00C50FA4"/>
    <w:rsid w:val="00C51091"/>
    <w:rsid w:val="00C527FD"/>
    <w:rsid w:val="00C54682"/>
    <w:rsid w:val="00C55CF4"/>
    <w:rsid w:val="00C55F8E"/>
    <w:rsid w:val="00C56D89"/>
    <w:rsid w:val="00C574F9"/>
    <w:rsid w:val="00C57DAB"/>
    <w:rsid w:val="00C57DBF"/>
    <w:rsid w:val="00C61F50"/>
    <w:rsid w:val="00C62C6D"/>
    <w:rsid w:val="00C64DCA"/>
    <w:rsid w:val="00C65B0E"/>
    <w:rsid w:val="00C65EBD"/>
    <w:rsid w:val="00C66A22"/>
    <w:rsid w:val="00C70088"/>
    <w:rsid w:val="00C722ED"/>
    <w:rsid w:val="00C72BD5"/>
    <w:rsid w:val="00C7352F"/>
    <w:rsid w:val="00C746A7"/>
    <w:rsid w:val="00C75888"/>
    <w:rsid w:val="00C75FA5"/>
    <w:rsid w:val="00C76CD3"/>
    <w:rsid w:val="00C770B7"/>
    <w:rsid w:val="00C7721B"/>
    <w:rsid w:val="00C773B5"/>
    <w:rsid w:val="00C81760"/>
    <w:rsid w:val="00C82B1D"/>
    <w:rsid w:val="00C82B5C"/>
    <w:rsid w:val="00C82E15"/>
    <w:rsid w:val="00C839CB"/>
    <w:rsid w:val="00C83CE4"/>
    <w:rsid w:val="00C85371"/>
    <w:rsid w:val="00C853B4"/>
    <w:rsid w:val="00C858A5"/>
    <w:rsid w:val="00C86103"/>
    <w:rsid w:val="00C87CB2"/>
    <w:rsid w:val="00C90E1C"/>
    <w:rsid w:val="00C90E25"/>
    <w:rsid w:val="00C915E7"/>
    <w:rsid w:val="00C91FFC"/>
    <w:rsid w:val="00C931DB"/>
    <w:rsid w:val="00C933B7"/>
    <w:rsid w:val="00C937D8"/>
    <w:rsid w:val="00C93849"/>
    <w:rsid w:val="00C9527C"/>
    <w:rsid w:val="00C95FFD"/>
    <w:rsid w:val="00C96210"/>
    <w:rsid w:val="00C97941"/>
    <w:rsid w:val="00CA097D"/>
    <w:rsid w:val="00CA19C1"/>
    <w:rsid w:val="00CA2FD2"/>
    <w:rsid w:val="00CA41E9"/>
    <w:rsid w:val="00CA4E16"/>
    <w:rsid w:val="00CA5ACE"/>
    <w:rsid w:val="00CA63A9"/>
    <w:rsid w:val="00CA653D"/>
    <w:rsid w:val="00CA65AA"/>
    <w:rsid w:val="00CA73FB"/>
    <w:rsid w:val="00CA75D4"/>
    <w:rsid w:val="00CB0356"/>
    <w:rsid w:val="00CB03A2"/>
    <w:rsid w:val="00CB137F"/>
    <w:rsid w:val="00CB1857"/>
    <w:rsid w:val="00CB1D83"/>
    <w:rsid w:val="00CB2171"/>
    <w:rsid w:val="00CB25F3"/>
    <w:rsid w:val="00CB287D"/>
    <w:rsid w:val="00CB2ACC"/>
    <w:rsid w:val="00CB376C"/>
    <w:rsid w:val="00CB4B94"/>
    <w:rsid w:val="00CB4FA7"/>
    <w:rsid w:val="00CB537B"/>
    <w:rsid w:val="00CB56CD"/>
    <w:rsid w:val="00CB6B02"/>
    <w:rsid w:val="00CB6FAB"/>
    <w:rsid w:val="00CC03E2"/>
    <w:rsid w:val="00CC1944"/>
    <w:rsid w:val="00CC291C"/>
    <w:rsid w:val="00CC3B3A"/>
    <w:rsid w:val="00CC4602"/>
    <w:rsid w:val="00CC4A54"/>
    <w:rsid w:val="00CC4D6B"/>
    <w:rsid w:val="00CC4ED9"/>
    <w:rsid w:val="00CC50DB"/>
    <w:rsid w:val="00CC6CD6"/>
    <w:rsid w:val="00CC6E9D"/>
    <w:rsid w:val="00CC6F54"/>
    <w:rsid w:val="00CC732E"/>
    <w:rsid w:val="00CC7914"/>
    <w:rsid w:val="00CD0A43"/>
    <w:rsid w:val="00CD1D0F"/>
    <w:rsid w:val="00CD1FAB"/>
    <w:rsid w:val="00CD211A"/>
    <w:rsid w:val="00CD318F"/>
    <w:rsid w:val="00CD3CCF"/>
    <w:rsid w:val="00CD3D3C"/>
    <w:rsid w:val="00CD4344"/>
    <w:rsid w:val="00CD54B0"/>
    <w:rsid w:val="00CD56B6"/>
    <w:rsid w:val="00CD58A8"/>
    <w:rsid w:val="00CD60CB"/>
    <w:rsid w:val="00CD664C"/>
    <w:rsid w:val="00CD71AD"/>
    <w:rsid w:val="00CD745D"/>
    <w:rsid w:val="00CD76CD"/>
    <w:rsid w:val="00CE024A"/>
    <w:rsid w:val="00CE02A9"/>
    <w:rsid w:val="00CE0683"/>
    <w:rsid w:val="00CE0E76"/>
    <w:rsid w:val="00CE0EAD"/>
    <w:rsid w:val="00CE1318"/>
    <w:rsid w:val="00CE2752"/>
    <w:rsid w:val="00CE2AEC"/>
    <w:rsid w:val="00CE33B9"/>
    <w:rsid w:val="00CE346F"/>
    <w:rsid w:val="00CE3910"/>
    <w:rsid w:val="00CE3936"/>
    <w:rsid w:val="00CE399C"/>
    <w:rsid w:val="00CE3ADD"/>
    <w:rsid w:val="00CE50BD"/>
    <w:rsid w:val="00CE6D26"/>
    <w:rsid w:val="00CE7248"/>
    <w:rsid w:val="00CE731A"/>
    <w:rsid w:val="00CE75F3"/>
    <w:rsid w:val="00CF034F"/>
    <w:rsid w:val="00CF0E45"/>
    <w:rsid w:val="00CF0E6D"/>
    <w:rsid w:val="00CF30F1"/>
    <w:rsid w:val="00CF5964"/>
    <w:rsid w:val="00CF5BB9"/>
    <w:rsid w:val="00CF5EEC"/>
    <w:rsid w:val="00CF669F"/>
    <w:rsid w:val="00CF6CD0"/>
    <w:rsid w:val="00CF6E85"/>
    <w:rsid w:val="00CF7970"/>
    <w:rsid w:val="00D0171C"/>
    <w:rsid w:val="00D0193B"/>
    <w:rsid w:val="00D02605"/>
    <w:rsid w:val="00D026C0"/>
    <w:rsid w:val="00D03266"/>
    <w:rsid w:val="00D03471"/>
    <w:rsid w:val="00D03BD1"/>
    <w:rsid w:val="00D05318"/>
    <w:rsid w:val="00D05670"/>
    <w:rsid w:val="00D06132"/>
    <w:rsid w:val="00D061F5"/>
    <w:rsid w:val="00D0643A"/>
    <w:rsid w:val="00D070EC"/>
    <w:rsid w:val="00D07705"/>
    <w:rsid w:val="00D0791F"/>
    <w:rsid w:val="00D10482"/>
    <w:rsid w:val="00D107D8"/>
    <w:rsid w:val="00D10A70"/>
    <w:rsid w:val="00D10E72"/>
    <w:rsid w:val="00D10FE0"/>
    <w:rsid w:val="00D11921"/>
    <w:rsid w:val="00D13F2C"/>
    <w:rsid w:val="00D14AF7"/>
    <w:rsid w:val="00D17DED"/>
    <w:rsid w:val="00D2106D"/>
    <w:rsid w:val="00D2142D"/>
    <w:rsid w:val="00D24204"/>
    <w:rsid w:val="00D2492C"/>
    <w:rsid w:val="00D258C8"/>
    <w:rsid w:val="00D31153"/>
    <w:rsid w:val="00D318BE"/>
    <w:rsid w:val="00D3257F"/>
    <w:rsid w:val="00D32796"/>
    <w:rsid w:val="00D328A4"/>
    <w:rsid w:val="00D329FE"/>
    <w:rsid w:val="00D33D4A"/>
    <w:rsid w:val="00D35447"/>
    <w:rsid w:val="00D357DB"/>
    <w:rsid w:val="00D3661F"/>
    <w:rsid w:val="00D36688"/>
    <w:rsid w:val="00D37B01"/>
    <w:rsid w:val="00D404C5"/>
    <w:rsid w:val="00D438B2"/>
    <w:rsid w:val="00D43C8E"/>
    <w:rsid w:val="00D445BF"/>
    <w:rsid w:val="00D47902"/>
    <w:rsid w:val="00D51733"/>
    <w:rsid w:val="00D52822"/>
    <w:rsid w:val="00D528EF"/>
    <w:rsid w:val="00D52C87"/>
    <w:rsid w:val="00D530F2"/>
    <w:rsid w:val="00D53184"/>
    <w:rsid w:val="00D54322"/>
    <w:rsid w:val="00D5437C"/>
    <w:rsid w:val="00D55104"/>
    <w:rsid w:val="00D55939"/>
    <w:rsid w:val="00D572A2"/>
    <w:rsid w:val="00D60801"/>
    <w:rsid w:val="00D60BBC"/>
    <w:rsid w:val="00D6268A"/>
    <w:rsid w:val="00D626E1"/>
    <w:rsid w:val="00D62A4E"/>
    <w:rsid w:val="00D6311D"/>
    <w:rsid w:val="00D651A6"/>
    <w:rsid w:val="00D65581"/>
    <w:rsid w:val="00D65A1B"/>
    <w:rsid w:val="00D67550"/>
    <w:rsid w:val="00D705AD"/>
    <w:rsid w:val="00D70C7F"/>
    <w:rsid w:val="00D717E8"/>
    <w:rsid w:val="00D71F1F"/>
    <w:rsid w:val="00D729F4"/>
    <w:rsid w:val="00D73747"/>
    <w:rsid w:val="00D7681E"/>
    <w:rsid w:val="00D76F18"/>
    <w:rsid w:val="00D7712D"/>
    <w:rsid w:val="00D775B6"/>
    <w:rsid w:val="00D800B7"/>
    <w:rsid w:val="00D811CF"/>
    <w:rsid w:val="00D81742"/>
    <w:rsid w:val="00D8199A"/>
    <w:rsid w:val="00D81DA1"/>
    <w:rsid w:val="00D81E84"/>
    <w:rsid w:val="00D81FFF"/>
    <w:rsid w:val="00D82498"/>
    <w:rsid w:val="00D831B2"/>
    <w:rsid w:val="00D83B4B"/>
    <w:rsid w:val="00D83BC7"/>
    <w:rsid w:val="00D84342"/>
    <w:rsid w:val="00D847D1"/>
    <w:rsid w:val="00D85D0E"/>
    <w:rsid w:val="00D8642D"/>
    <w:rsid w:val="00D86D5E"/>
    <w:rsid w:val="00D87818"/>
    <w:rsid w:val="00D91504"/>
    <w:rsid w:val="00D918F9"/>
    <w:rsid w:val="00D9342F"/>
    <w:rsid w:val="00D937FA"/>
    <w:rsid w:val="00D9384C"/>
    <w:rsid w:val="00D93DC1"/>
    <w:rsid w:val="00D94132"/>
    <w:rsid w:val="00D962EB"/>
    <w:rsid w:val="00D970BB"/>
    <w:rsid w:val="00DA0271"/>
    <w:rsid w:val="00DA03FC"/>
    <w:rsid w:val="00DA0668"/>
    <w:rsid w:val="00DA0857"/>
    <w:rsid w:val="00DA0B9B"/>
    <w:rsid w:val="00DA0F26"/>
    <w:rsid w:val="00DA14BB"/>
    <w:rsid w:val="00DA1800"/>
    <w:rsid w:val="00DA1DFB"/>
    <w:rsid w:val="00DA2480"/>
    <w:rsid w:val="00DA254C"/>
    <w:rsid w:val="00DA2FF9"/>
    <w:rsid w:val="00DA303A"/>
    <w:rsid w:val="00DA3DF4"/>
    <w:rsid w:val="00DA43BC"/>
    <w:rsid w:val="00DA76DB"/>
    <w:rsid w:val="00DA7878"/>
    <w:rsid w:val="00DB00F7"/>
    <w:rsid w:val="00DB079A"/>
    <w:rsid w:val="00DB0951"/>
    <w:rsid w:val="00DB2373"/>
    <w:rsid w:val="00DB2B9D"/>
    <w:rsid w:val="00DB3CDA"/>
    <w:rsid w:val="00DB4306"/>
    <w:rsid w:val="00DB461E"/>
    <w:rsid w:val="00DB4770"/>
    <w:rsid w:val="00DB4984"/>
    <w:rsid w:val="00DB498D"/>
    <w:rsid w:val="00DB5C35"/>
    <w:rsid w:val="00DB7487"/>
    <w:rsid w:val="00DB7A5F"/>
    <w:rsid w:val="00DC0F58"/>
    <w:rsid w:val="00DC1961"/>
    <w:rsid w:val="00DC2316"/>
    <w:rsid w:val="00DC2EA2"/>
    <w:rsid w:val="00DC3A53"/>
    <w:rsid w:val="00DC3EE8"/>
    <w:rsid w:val="00DC4482"/>
    <w:rsid w:val="00DC4581"/>
    <w:rsid w:val="00DC676B"/>
    <w:rsid w:val="00DC67F9"/>
    <w:rsid w:val="00DC723F"/>
    <w:rsid w:val="00DC76BD"/>
    <w:rsid w:val="00DD11B2"/>
    <w:rsid w:val="00DD1829"/>
    <w:rsid w:val="00DD198E"/>
    <w:rsid w:val="00DD222D"/>
    <w:rsid w:val="00DD2852"/>
    <w:rsid w:val="00DD4E1D"/>
    <w:rsid w:val="00DD4E9F"/>
    <w:rsid w:val="00DD5550"/>
    <w:rsid w:val="00DD63C9"/>
    <w:rsid w:val="00DE03D5"/>
    <w:rsid w:val="00DE2263"/>
    <w:rsid w:val="00DE331D"/>
    <w:rsid w:val="00DE352D"/>
    <w:rsid w:val="00DE3765"/>
    <w:rsid w:val="00DE3F1C"/>
    <w:rsid w:val="00DE47D8"/>
    <w:rsid w:val="00DE4868"/>
    <w:rsid w:val="00DE4F58"/>
    <w:rsid w:val="00DE5642"/>
    <w:rsid w:val="00DF072E"/>
    <w:rsid w:val="00DF0DD4"/>
    <w:rsid w:val="00DF1F03"/>
    <w:rsid w:val="00DF21DD"/>
    <w:rsid w:val="00DF276E"/>
    <w:rsid w:val="00DF27A3"/>
    <w:rsid w:val="00DF31CE"/>
    <w:rsid w:val="00DF347A"/>
    <w:rsid w:val="00DF38C8"/>
    <w:rsid w:val="00DF460D"/>
    <w:rsid w:val="00DF5310"/>
    <w:rsid w:val="00DF7884"/>
    <w:rsid w:val="00E00071"/>
    <w:rsid w:val="00E00F91"/>
    <w:rsid w:val="00E02183"/>
    <w:rsid w:val="00E03E20"/>
    <w:rsid w:val="00E04656"/>
    <w:rsid w:val="00E061B4"/>
    <w:rsid w:val="00E06262"/>
    <w:rsid w:val="00E0650A"/>
    <w:rsid w:val="00E06F6E"/>
    <w:rsid w:val="00E07D22"/>
    <w:rsid w:val="00E10788"/>
    <w:rsid w:val="00E12328"/>
    <w:rsid w:val="00E14083"/>
    <w:rsid w:val="00E14593"/>
    <w:rsid w:val="00E148B8"/>
    <w:rsid w:val="00E15876"/>
    <w:rsid w:val="00E16A30"/>
    <w:rsid w:val="00E16B5D"/>
    <w:rsid w:val="00E17482"/>
    <w:rsid w:val="00E20149"/>
    <w:rsid w:val="00E21FC5"/>
    <w:rsid w:val="00E22A46"/>
    <w:rsid w:val="00E22DFC"/>
    <w:rsid w:val="00E234DC"/>
    <w:rsid w:val="00E23673"/>
    <w:rsid w:val="00E24713"/>
    <w:rsid w:val="00E24C50"/>
    <w:rsid w:val="00E25D4D"/>
    <w:rsid w:val="00E25DE6"/>
    <w:rsid w:val="00E26129"/>
    <w:rsid w:val="00E26B46"/>
    <w:rsid w:val="00E26D5E"/>
    <w:rsid w:val="00E27299"/>
    <w:rsid w:val="00E2791A"/>
    <w:rsid w:val="00E27A4D"/>
    <w:rsid w:val="00E30327"/>
    <w:rsid w:val="00E31618"/>
    <w:rsid w:val="00E33D29"/>
    <w:rsid w:val="00E34CE5"/>
    <w:rsid w:val="00E34F6D"/>
    <w:rsid w:val="00E37FC9"/>
    <w:rsid w:val="00E40C15"/>
    <w:rsid w:val="00E41121"/>
    <w:rsid w:val="00E43248"/>
    <w:rsid w:val="00E43956"/>
    <w:rsid w:val="00E43BCF"/>
    <w:rsid w:val="00E44827"/>
    <w:rsid w:val="00E44E4C"/>
    <w:rsid w:val="00E44FFE"/>
    <w:rsid w:val="00E4673A"/>
    <w:rsid w:val="00E47170"/>
    <w:rsid w:val="00E53F65"/>
    <w:rsid w:val="00E54F4F"/>
    <w:rsid w:val="00E56593"/>
    <w:rsid w:val="00E57701"/>
    <w:rsid w:val="00E614DD"/>
    <w:rsid w:val="00E6178B"/>
    <w:rsid w:val="00E6203A"/>
    <w:rsid w:val="00E63081"/>
    <w:rsid w:val="00E64128"/>
    <w:rsid w:val="00E65582"/>
    <w:rsid w:val="00E66253"/>
    <w:rsid w:val="00E6757D"/>
    <w:rsid w:val="00E67827"/>
    <w:rsid w:val="00E67DEF"/>
    <w:rsid w:val="00E67F92"/>
    <w:rsid w:val="00E70B54"/>
    <w:rsid w:val="00E710DB"/>
    <w:rsid w:val="00E71BCC"/>
    <w:rsid w:val="00E72C44"/>
    <w:rsid w:val="00E744F4"/>
    <w:rsid w:val="00E748FE"/>
    <w:rsid w:val="00E77386"/>
    <w:rsid w:val="00E77577"/>
    <w:rsid w:val="00E815D6"/>
    <w:rsid w:val="00E82CE7"/>
    <w:rsid w:val="00E83CFA"/>
    <w:rsid w:val="00E83EA8"/>
    <w:rsid w:val="00E852BB"/>
    <w:rsid w:val="00E85D77"/>
    <w:rsid w:val="00E8655C"/>
    <w:rsid w:val="00E90AE0"/>
    <w:rsid w:val="00E91D1C"/>
    <w:rsid w:val="00E92297"/>
    <w:rsid w:val="00E9369A"/>
    <w:rsid w:val="00E951F1"/>
    <w:rsid w:val="00E953D3"/>
    <w:rsid w:val="00E95E1F"/>
    <w:rsid w:val="00E96587"/>
    <w:rsid w:val="00EA0902"/>
    <w:rsid w:val="00EA1A23"/>
    <w:rsid w:val="00EA1F0C"/>
    <w:rsid w:val="00EA26A6"/>
    <w:rsid w:val="00EA392E"/>
    <w:rsid w:val="00EA3A5D"/>
    <w:rsid w:val="00EA4FFE"/>
    <w:rsid w:val="00EA50B2"/>
    <w:rsid w:val="00EA664F"/>
    <w:rsid w:val="00EA6C9E"/>
    <w:rsid w:val="00EB09DC"/>
    <w:rsid w:val="00EB0D10"/>
    <w:rsid w:val="00EB1497"/>
    <w:rsid w:val="00EB248E"/>
    <w:rsid w:val="00EB2893"/>
    <w:rsid w:val="00EB3AEB"/>
    <w:rsid w:val="00EB42F5"/>
    <w:rsid w:val="00EB43DD"/>
    <w:rsid w:val="00EB613D"/>
    <w:rsid w:val="00EB6B00"/>
    <w:rsid w:val="00EC0741"/>
    <w:rsid w:val="00EC0A0A"/>
    <w:rsid w:val="00EC0BC2"/>
    <w:rsid w:val="00EC0C90"/>
    <w:rsid w:val="00EC192A"/>
    <w:rsid w:val="00EC2B6B"/>
    <w:rsid w:val="00EC2BDF"/>
    <w:rsid w:val="00EC36F3"/>
    <w:rsid w:val="00EC56A3"/>
    <w:rsid w:val="00EC6470"/>
    <w:rsid w:val="00EC675F"/>
    <w:rsid w:val="00EC7AD4"/>
    <w:rsid w:val="00ED0ED6"/>
    <w:rsid w:val="00ED244C"/>
    <w:rsid w:val="00ED462F"/>
    <w:rsid w:val="00ED570D"/>
    <w:rsid w:val="00ED5E5F"/>
    <w:rsid w:val="00ED6186"/>
    <w:rsid w:val="00ED6B53"/>
    <w:rsid w:val="00EE115B"/>
    <w:rsid w:val="00EE1BE7"/>
    <w:rsid w:val="00EE3035"/>
    <w:rsid w:val="00EE332A"/>
    <w:rsid w:val="00EE3386"/>
    <w:rsid w:val="00EE3BCD"/>
    <w:rsid w:val="00EE3C30"/>
    <w:rsid w:val="00EE412F"/>
    <w:rsid w:val="00EE4B47"/>
    <w:rsid w:val="00EE6D1C"/>
    <w:rsid w:val="00EE7E07"/>
    <w:rsid w:val="00EF04CF"/>
    <w:rsid w:val="00EF0D6A"/>
    <w:rsid w:val="00EF2A06"/>
    <w:rsid w:val="00EF4A18"/>
    <w:rsid w:val="00EF5D17"/>
    <w:rsid w:val="00EF5FE6"/>
    <w:rsid w:val="00EF615A"/>
    <w:rsid w:val="00EF6414"/>
    <w:rsid w:val="00EF6B12"/>
    <w:rsid w:val="00EF6FBC"/>
    <w:rsid w:val="00F00151"/>
    <w:rsid w:val="00F00A2D"/>
    <w:rsid w:val="00F00DF2"/>
    <w:rsid w:val="00F01517"/>
    <w:rsid w:val="00F0537D"/>
    <w:rsid w:val="00F054A9"/>
    <w:rsid w:val="00F054B3"/>
    <w:rsid w:val="00F05D31"/>
    <w:rsid w:val="00F05D88"/>
    <w:rsid w:val="00F06E2C"/>
    <w:rsid w:val="00F07218"/>
    <w:rsid w:val="00F10A10"/>
    <w:rsid w:val="00F11508"/>
    <w:rsid w:val="00F117A1"/>
    <w:rsid w:val="00F11B8A"/>
    <w:rsid w:val="00F139A8"/>
    <w:rsid w:val="00F13A6D"/>
    <w:rsid w:val="00F13AF5"/>
    <w:rsid w:val="00F13CE4"/>
    <w:rsid w:val="00F13FB1"/>
    <w:rsid w:val="00F144C4"/>
    <w:rsid w:val="00F15025"/>
    <w:rsid w:val="00F15EC6"/>
    <w:rsid w:val="00F164E3"/>
    <w:rsid w:val="00F164E9"/>
    <w:rsid w:val="00F1716F"/>
    <w:rsid w:val="00F20431"/>
    <w:rsid w:val="00F20543"/>
    <w:rsid w:val="00F2140E"/>
    <w:rsid w:val="00F22778"/>
    <w:rsid w:val="00F22ECD"/>
    <w:rsid w:val="00F234B1"/>
    <w:rsid w:val="00F2362C"/>
    <w:rsid w:val="00F24345"/>
    <w:rsid w:val="00F243E8"/>
    <w:rsid w:val="00F247F5"/>
    <w:rsid w:val="00F2482E"/>
    <w:rsid w:val="00F249C7"/>
    <w:rsid w:val="00F24DFD"/>
    <w:rsid w:val="00F26153"/>
    <w:rsid w:val="00F265E5"/>
    <w:rsid w:val="00F26879"/>
    <w:rsid w:val="00F272CB"/>
    <w:rsid w:val="00F30072"/>
    <w:rsid w:val="00F304C3"/>
    <w:rsid w:val="00F31A5C"/>
    <w:rsid w:val="00F33B51"/>
    <w:rsid w:val="00F33B75"/>
    <w:rsid w:val="00F33D6C"/>
    <w:rsid w:val="00F350FD"/>
    <w:rsid w:val="00F363B4"/>
    <w:rsid w:val="00F37C29"/>
    <w:rsid w:val="00F37E9F"/>
    <w:rsid w:val="00F41030"/>
    <w:rsid w:val="00F413A8"/>
    <w:rsid w:val="00F428CC"/>
    <w:rsid w:val="00F43813"/>
    <w:rsid w:val="00F43C1A"/>
    <w:rsid w:val="00F44723"/>
    <w:rsid w:val="00F45FF1"/>
    <w:rsid w:val="00F466B1"/>
    <w:rsid w:val="00F469BA"/>
    <w:rsid w:val="00F46EE0"/>
    <w:rsid w:val="00F47AA9"/>
    <w:rsid w:val="00F501A9"/>
    <w:rsid w:val="00F50CAD"/>
    <w:rsid w:val="00F51099"/>
    <w:rsid w:val="00F521CC"/>
    <w:rsid w:val="00F5240C"/>
    <w:rsid w:val="00F54A06"/>
    <w:rsid w:val="00F560EA"/>
    <w:rsid w:val="00F56C7D"/>
    <w:rsid w:val="00F56E04"/>
    <w:rsid w:val="00F56FF3"/>
    <w:rsid w:val="00F57DB4"/>
    <w:rsid w:val="00F60809"/>
    <w:rsid w:val="00F60868"/>
    <w:rsid w:val="00F6087E"/>
    <w:rsid w:val="00F614C7"/>
    <w:rsid w:val="00F61DD7"/>
    <w:rsid w:val="00F63656"/>
    <w:rsid w:val="00F64234"/>
    <w:rsid w:val="00F643A5"/>
    <w:rsid w:val="00F674DA"/>
    <w:rsid w:val="00F7229E"/>
    <w:rsid w:val="00F72B11"/>
    <w:rsid w:val="00F73B5A"/>
    <w:rsid w:val="00F74230"/>
    <w:rsid w:val="00F753C2"/>
    <w:rsid w:val="00F76AAF"/>
    <w:rsid w:val="00F776E0"/>
    <w:rsid w:val="00F779C9"/>
    <w:rsid w:val="00F77E74"/>
    <w:rsid w:val="00F801A4"/>
    <w:rsid w:val="00F80DA2"/>
    <w:rsid w:val="00F80E7A"/>
    <w:rsid w:val="00F81577"/>
    <w:rsid w:val="00F81779"/>
    <w:rsid w:val="00F83A73"/>
    <w:rsid w:val="00F840AA"/>
    <w:rsid w:val="00F86F0A"/>
    <w:rsid w:val="00F86F22"/>
    <w:rsid w:val="00F90583"/>
    <w:rsid w:val="00F92475"/>
    <w:rsid w:val="00F92E0F"/>
    <w:rsid w:val="00F93979"/>
    <w:rsid w:val="00F94A09"/>
    <w:rsid w:val="00F94C8E"/>
    <w:rsid w:val="00F95760"/>
    <w:rsid w:val="00F96175"/>
    <w:rsid w:val="00F97D49"/>
    <w:rsid w:val="00FA0BBE"/>
    <w:rsid w:val="00FA0C75"/>
    <w:rsid w:val="00FA1188"/>
    <w:rsid w:val="00FA201D"/>
    <w:rsid w:val="00FA2941"/>
    <w:rsid w:val="00FA2ADE"/>
    <w:rsid w:val="00FA2DD4"/>
    <w:rsid w:val="00FA3C66"/>
    <w:rsid w:val="00FA3E53"/>
    <w:rsid w:val="00FA3F30"/>
    <w:rsid w:val="00FA570B"/>
    <w:rsid w:val="00FA5D34"/>
    <w:rsid w:val="00FA641B"/>
    <w:rsid w:val="00FA64C3"/>
    <w:rsid w:val="00FA7413"/>
    <w:rsid w:val="00FA774D"/>
    <w:rsid w:val="00FB0011"/>
    <w:rsid w:val="00FB0F74"/>
    <w:rsid w:val="00FB104E"/>
    <w:rsid w:val="00FB1C13"/>
    <w:rsid w:val="00FB24E2"/>
    <w:rsid w:val="00FB3264"/>
    <w:rsid w:val="00FB3CF6"/>
    <w:rsid w:val="00FB3E5C"/>
    <w:rsid w:val="00FB474E"/>
    <w:rsid w:val="00FB4E00"/>
    <w:rsid w:val="00FB541D"/>
    <w:rsid w:val="00FB5CFD"/>
    <w:rsid w:val="00FB6407"/>
    <w:rsid w:val="00FB65B8"/>
    <w:rsid w:val="00FB66B0"/>
    <w:rsid w:val="00FB6BE3"/>
    <w:rsid w:val="00FB6D12"/>
    <w:rsid w:val="00FB7288"/>
    <w:rsid w:val="00FB7A5D"/>
    <w:rsid w:val="00FC0220"/>
    <w:rsid w:val="00FC10F7"/>
    <w:rsid w:val="00FC2126"/>
    <w:rsid w:val="00FC312F"/>
    <w:rsid w:val="00FC3866"/>
    <w:rsid w:val="00FC398F"/>
    <w:rsid w:val="00FC4248"/>
    <w:rsid w:val="00FC616B"/>
    <w:rsid w:val="00FC77A6"/>
    <w:rsid w:val="00FC7DB3"/>
    <w:rsid w:val="00FD003D"/>
    <w:rsid w:val="00FD38FB"/>
    <w:rsid w:val="00FD3AC9"/>
    <w:rsid w:val="00FD3AF0"/>
    <w:rsid w:val="00FD3EA7"/>
    <w:rsid w:val="00FD483F"/>
    <w:rsid w:val="00FD4A16"/>
    <w:rsid w:val="00FD4B80"/>
    <w:rsid w:val="00FD4C20"/>
    <w:rsid w:val="00FD4CF6"/>
    <w:rsid w:val="00FD72F4"/>
    <w:rsid w:val="00FD79C8"/>
    <w:rsid w:val="00FD7E28"/>
    <w:rsid w:val="00FD7FF7"/>
    <w:rsid w:val="00FE0A86"/>
    <w:rsid w:val="00FE0D73"/>
    <w:rsid w:val="00FE1241"/>
    <w:rsid w:val="00FE1282"/>
    <w:rsid w:val="00FE3B54"/>
    <w:rsid w:val="00FE4435"/>
    <w:rsid w:val="00FE4A4D"/>
    <w:rsid w:val="00FE4BF9"/>
    <w:rsid w:val="00FE6B66"/>
    <w:rsid w:val="00FF14BA"/>
    <w:rsid w:val="00FF1F57"/>
    <w:rsid w:val="00FF2398"/>
    <w:rsid w:val="00FF3953"/>
    <w:rsid w:val="00FF3C8B"/>
    <w:rsid w:val="00FF3E89"/>
    <w:rsid w:val="00FF5FCB"/>
    <w:rsid w:val="00FF679C"/>
    <w:rsid w:val="00FF6FB0"/>
    <w:rsid w:val="00FF7ED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B16755"/>
  <w15:docId w15:val="{B6E06E44-1ECC-414B-B7FF-60D7650A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1957"/>
    <w:pPr>
      <w:spacing w:after="200" w:line="276" w:lineRule="auto"/>
    </w:pPr>
    <w:rPr>
      <w:rFonts w:ascii="Calibri" w:eastAsia="Calibri" w:hAnsi="Calibri"/>
      <w:sz w:val="22"/>
      <w:szCs w:val="22"/>
      <w:lang w:eastAsia="en-US"/>
    </w:rPr>
  </w:style>
  <w:style w:type="paragraph" w:styleId="Nadpis1">
    <w:name w:val="heading 1"/>
    <w:aliases w:val="1 Nadpis 1"/>
    <w:basedOn w:val="Normln"/>
    <w:next w:val="2TEXT"/>
    <w:link w:val="Nadpis1Char"/>
    <w:qFormat/>
    <w:rsid w:val="00FE4A4D"/>
    <w:pPr>
      <w:keepNext/>
      <w:numPr>
        <w:numId w:val="7"/>
      </w:numPr>
      <w:pBdr>
        <w:bottom w:val="single" w:sz="4" w:space="1" w:color="auto"/>
      </w:pBdr>
      <w:spacing w:before="600" w:after="480" w:line="288" w:lineRule="auto"/>
      <w:outlineLvl w:val="0"/>
    </w:pPr>
    <w:rPr>
      <w:rFonts w:ascii="Arial Narrow" w:hAnsi="Arial Narrow"/>
      <w:b/>
      <w:bCs/>
      <w:kern w:val="32"/>
      <w:sz w:val="40"/>
      <w:szCs w:val="32"/>
      <w:lang w:val="x-none"/>
    </w:rPr>
  </w:style>
  <w:style w:type="paragraph" w:styleId="Nadpis2">
    <w:name w:val="heading 2"/>
    <w:basedOn w:val="Normln"/>
    <w:next w:val="Normln"/>
    <w:link w:val="Nadpis2Char"/>
    <w:uiPriority w:val="9"/>
    <w:unhideWhenUsed/>
    <w:qFormat/>
    <w:rsid w:val="00B710A8"/>
    <w:pPr>
      <w:keepNext/>
      <w:keepLines/>
      <w:numPr>
        <w:ilvl w:val="1"/>
        <w:numId w:val="7"/>
      </w:numPr>
      <w:spacing w:before="200" w:after="0"/>
      <w:outlineLvl w:val="1"/>
    </w:pPr>
    <w:rPr>
      <w:rFonts w:ascii="Cambria" w:eastAsia="Times New Roman" w:hAnsi="Cambria"/>
      <w:b/>
      <w:bCs/>
      <w:color w:val="00ADDC"/>
      <w:sz w:val="26"/>
      <w:szCs w:val="26"/>
      <w:lang w:val="x-none"/>
    </w:rPr>
  </w:style>
  <w:style w:type="paragraph" w:styleId="Nadpis3">
    <w:name w:val="heading 3"/>
    <w:basedOn w:val="Normln"/>
    <w:next w:val="Normln"/>
    <w:link w:val="Nadpis3Char"/>
    <w:uiPriority w:val="9"/>
    <w:unhideWhenUsed/>
    <w:qFormat/>
    <w:rsid w:val="00DC67F9"/>
    <w:pPr>
      <w:keepNext/>
      <w:keepLines/>
      <w:numPr>
        <w:ilvl w:val="2"/>
        <w:numId w:val="7"/>
      </w:numPr>
      <w:spacing w:before="200" w:after="0"/>
      <w:outlineLvl w:val="2"/>
    </w:pPr>
    <w:rPr>
      <w:rFonts w:ascii="Cambria" w:eastAsia="Times New Roman" w:hAnsi="Cambria"/>
      <w:b/>
      <w:bCs/>
      <w:color w:val="00ADDC"/>
      <w:lang w:val="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B710A8"/>
    <w:rPr>
      <w:rFonts w:ascii="Cambria" w:eastAsia="Times New Roman" w:hAnsi="Cambria" w:cs="Times New Roman"/>
      <w:b/>
      <w:bCs/>
      <w:color w:val="00ADDC"/>
      <w:sz w:val="26"/>
      <w:szCs w:val="26"/>
      <w:lang w:eastAsia="en-US"/>
    </w:rPr>
  </w:style>
  <w:style w:type="character" w:customStyle="1" w:styleId="Nadpis3Char">
    <w:name w:val="Nadpis 3 Char"/>
    <w:link w:val="Nadpis3"/>
    <w:uiPriority w:val="9"/>
    <w:rsid w:val="00DC67F9"/>
    <w:rPr>
      <w:rFonts w:ascii="Cambria" w:eastAsia="Times New Roman" w:hAnsi="Cambria" w:cs="Times New Roman"/>
      <w:b/>
      <w:bCs/>
      <w:color w:val="00ADDC"/>
      <w:sz w:val="22"/>
      <w:szCs w:val="22"/>
      <w:lang w:eastAsia="en-US"/>
    </w:rPr>
  </w:style>
  <w:style w:type="paragraph" w:styleId="Zhlav">
    <w:name w:val="header"/>
    <w:basedOn w:val="Normln"/>
    <w:link w:val="ZhlavChar"/>
    <w:uiPriority w:val="99"/>
    <w:rsid w:val="009C460C"/>
    <w:pPr>
      <w:tabs>
        <w:tab w:val="center" w:pos="4536"/>
        <w:tab w:val="right" w:pos="9072"/>
      </w:tabs>
    </w:pPr>
    <w:rPr>
      <w:lang w:val="x-none"/>
    </w:rPr>
  </w:style>
  <w:style w:type="paragraph" w:styleId="Zpat">
    <w:name w:val="footer"/>
    <w:basedOn w:val="Normln"/>
    <w:link w:val="ZpatChar"/>
    <w:semiHidden/>
    <w:rsid w:val="009C460C"/>
    <w:pPr>
      <w:tabs>
        <w:tab w:val="center" w:pos="4536"/>
        <w:tab w:val="right" w:pos="9072"/>
      </w:tabs>
    </w:pPr>
    <w:rPr>
      <w:lang w:val="x-none"/>
    </w:rPr>
  </w:style>
  <w:style w:type="character" w:styleId="slostrnky">
    <w:name w:val="page number"/>
    <w:semiHidden/>
    <w:rsid w:val="009C460C"/>
    <w:rPr>
      <w:rFonts w:ascii="Arial Narrow" w:hAnsi="Arial Narrow"/>
      <w:sz w:val="18"/>
    </w:rPr>
  </w:style>
  <w:style w:type="paragraph" w:customStyle="1" w:styleId="ipntext">
    <w:name w:val="ipn text"/>
    <w:basedOn w:val="Normln"/>
    <w:rsid w:val="009C460C"/>
    <w:rPr>
      <w:rFonts w:ascii="Arial Narrow" w:hAnsi="Arial Narrow"/>
      <w:position w:val="14"/>
    </w:rPr>
  </w:style>
  <w:style w:type="paragraph" w:styleId="Textbubliny">
    <w:name w:val="Balloon Text"/>
    <w:basedOn w:val="Normln"/>
    <w:link w:val="TextbublinyChar"/>
    <w:uiPriority w:val="99"/>
    <w:semiHidden/>
    <w:unhideWhenUsed/>
    <w:rsid w:val="00302637"/>
    <w:rPr>
      <w:rFonts w:ascii="Tahoma" w:eastAsia="Times New Roman" w:hAnsi="Tahoma"/>
      <w:sz w:val="16"/>
      <w:szCs w:val="16"/>
      <w:lang w:val="x-none" w:eastAsia="x-none"/>
    </w:rPr>
  </w:style>
  <w:style w:type="character" w:customStyle="1" w:styleId="TextbublinyChar">
    <w:name w:val="Text bubliny Char"/>
    <w:link w:val="Textbubliny"/>
    <w:uiPriority w:val="99"/>
    <w:semiHidden/>
    <w:rsid w:val="00302637"/>
    <w:rPr>
      <w:rFonts w:ascii="Tahoma" w:hAnsi="Tahoma" w:cs="Tahoma"/>
      <w:sz w:val="16"/>
      <w:szCs w:val="16"/>
    </w:rPr>
  </w:style>
  <w:style w:type="character" w:styleId="Hypertextovodkaz">
    <w:name w:val="Hyperlink"/>
    <w:uiPriority w:val="99"/>
    <w:unhideWhenUsed/>
    <w:rsid w:val="00DC67F9"/>
    <w:rPr>
      <w:color w:val="EB8803"/>
      <w:u w:val="single"/>
    </w:rPr>
  </w:style>
  <w:style w:type="paragraph" w:styleId="Textpoznpodarou">
    <w:name w:val="footnote text"/>
    <w:basedOn w:val="Normln"/>
    <w:link w:val="TextpoznpodarouChar"/>
    <w:uiPriority w:val="99"/>
    <w:semiHidden/>
    <w:unhideWhenUsed/>
    <w:rsid w:val="00DC67F9"/>
    <w:pPr>
      <w:suppressAutoHyphens/>
      <w:spacing w:after="0" w:line="240" w:lineRule="auto"/>
    </w:pPr>
    <w:rPr>
      <w:rFonts w:ascii="Times New Roman" w:eastAsia="Times New Roman" w:hAnsi="Times New Roman"/>
      <w:sz w:val="20"/>
      <w:szCs w:val="20"/>
      <w:lang w:val="x-none" w:eastAsia="ar-SA"/>
    </w:rPr>
  </w:style>
  <w:style w:type="character" w:customStyle="1" w:styleId="TextpoznpodarouChar">
    <w:name w:val="Text pozn. pod čarou Char"/>
    <w:link w:val="Textpoznpodarou"/>
    <w:uiPriority w:val="99"/>
    <w:semiHidden/>
    <w:rsid w:val="00DC67F9"/>
    <w:rPr>
      <w:lang w:eastAsia="ar-SA"/>
    </w:rPr>
  </w:style>
  <w:style w:type="paragraph" w:styleId="Odstavecseseznamem">
    <w:name w:val="List Paragraph"/>
    <w:basedOn w:val="Normln"/>
    <w:link w:val="OdstavecseseznamemChar"/>
    <w:uiPriority w:val="34"/>
    <w:qFormat/>
    <w:rsid w:val="00DC67F9"/>
    <w:pPr>
      <w:suppressAutoHyphens/>
      <w:spacing w:after="0" w:line="240" w:lineRule="auto"/>
      <w:ind w:left="720"/>
    </w:pPr>
    <w:rPr>
      <w:rFonts w:eastAsia="Times New Roman"/>
      <w:lang w:val="x-none" w:eastAsia="ar-SA"/>
    </w:rPr>
  </w:style>
  <w:style w:type="character" w:customStyle="1" w:styleId="OdstavecseseznamemChar">
    <w:name w:val="Odstavec se seznamem Char"/>
    <w:link w:val="Odstavecseseznamem"/>
    <w:uiPriority w:val="34"/>
    <w:rsid w:val="00007075"/>
    <w:rPr>
      <w:rFonts w:ascii="Calibri" w:hAnsi="Calibri"/>
      <w:sz w:val="22"/>
      <w:szCs w:val="22"/>
      <w:lang w:eastAsia="ar-SA"/>
    </w:rPr>
  </w:style>
  <w:style w:type="character" w:styleId="Znakapoznpodarou">
    <w:name w:val="footnote reference"/>
    <w:uiPriority w:val="99"/>
    <w:semiHidden/>
    <w:unhideWhenUsed/>
    <w:rsid w:val="00DC67F9"/>
    <w:rPr>
      <w:vertAlign w:val="superscript"/>
    </w:rPr>
  </w:style>
  <w:style w:type="table" w:customStyle="1" w:styleId="Stednstnovn1zvraznn51">
    <w:name w:val="Střední stínování 1 – zvýraznění 51"/>
    <w:basedOn w:val="Normlntabulka"/>
    <w:uiPriority w:val="63"/>
    <w:rsid w:val="00DC67F9"/>
    <w:tblPr>
      <w:tblStyleRowBandSize w:val="1"/>
      <w:tblStyleColBandSize w:val="1"/>
      <w:tblBorders>
        <w:top w:val="single" w:sz="8" w:space="0" w:color="4ACF2B"/>
        <w:left w:val="single" w:sz="8" w:space="0" w:color="4ACF2B"/>
        <w:bottom w:val="single" w:sz="8" w:space="0" w:color="4ACF2B"/>
        <w:right w:val="single" w:sz="8" w:space="0" w:color="4ACF2B"/>
        <w:insideH w:val="single" w:sz="8" w:space="0" w:color="4ACF2B"/>
      </w:tblBorders>
    </w:tblPr>
    <w:tblStylePr w:type="firstRow">
      <w:pPr>
        <w:spacing w:beforeLines="0" w:beforeAutospacing="0" w:afterLines="0" w:afterAutospacing="0" w:line="240" w:lineRule="auto"/>
      </w:pPr>
      <w:rPr>
        <w:b/>
        <w:bCs/>
        <w:color w:val="FFFFFF"/>
      </w:rPr>
      <w:tblPr/>
      <w:tcPr>
        <w:tcBorders>
          <w:top w:val="single" w:sz="8" w:space="0" w:color="4ACF2B"/>
          <w:left w:val="single" w:sz="8" w:space="0" w:color="4ACF2B"/>
          <w:bottom w:val="single" w:sz="8" w:space="0" w:color="4ACF2B"/>
          <w:right w:val="single" w:sz="8" w:space="0" w:color="4ACF2B"/>
          <w:insideH w:val="nil"/>
          <w:insideV w:val="nil"/>
        </w:tcBorders>
        <w:shd w:val="clear" w:color="auto" w:fill="31881C"/>
      </w:tcPr>
    </w:tblStylePr>
    <w:tblStylePr w:type="lastRow">
      <w:pPr>
        <w:spacing w:beforeLines="0" w:beforeAutospacing="0" w:afterLines="0" w:afterAutospacing="0" w:line="240" w:lineRule="auto"/>
      </w:pPr>
      <w:rPr>
        <w:b/>
        <w:bCs/>
      </w:rPr>
      <w:tblPr/>
      <w:tcPr>
        <w:tcBorders>
          <w:top w:val="double" w:sz="6" w:space="0" w:color="4ACF2B"/>
          <w:left w:val="single" w:sz="8" w:space="0" w:color="4ACF2B"/>
          <w:bottom w:val="single" w:sz="8" w:space="0" w:color="4ACF2B"/>
          <w:right w:val="single" w:sz="8" w:space="0" w:color="4ACF2B"/>
          <w:insideH w:val="nil"/>
          <w:insideV w:val="nil"/>
        </w:tcBorders>
      </w:tcPr>
    </w:tblStylePr>
    <w:tblStylePr w:type="firstCol">
      <w:rPr>
        <w:b/>
        <w:bCs/>
      </w:rPr>
    </w:tblStylePr>
    <w:tblStylePr w:type="lastCol">
      <w:rPr>
        <w:b/>
        <w:bCs/>
      </w:rPr>
    </w:tblStylePr>
    <w:tblStylePr w:type="band1Vert">
      <w:tblPr/>
      <w:tcPr>
        <w:shd w:val="clear" w:color="auto" w:fill="C2F0B7"/>
      </w:tcPr>
    </w:tblStylePr>
    <w:tblStylePr w:type="band1Horz">
      <w:tblPr/>
      <w:tcPr>
        <w:tcBorders>
          <w:insideH w:val="nil"/>
          <w:insideV w:val="nil"/>
        </w:tcBorders>
        <w:shd w:val="clear" w:color="auto" w:fill="C2F0B7"/>
      </w:tcPr>
    </w:tblStylePr>
    <w:tblStylePr w:type="band2Horz">
      <w:tblPr/>
      <w:tcPr>
        <w:tcBorders>
          <w:insideH w:val="nil"/>
          <w:insideV w:val="nil"/>
        </w:tcBorders>
      </w:tcPr>
    </w:tblStylePr>
  </w:style>
  <w:style w:type="paragraph" w:styleId="Titulek">
    <w:name w:val="caption"/>
    <w:basedOn w:val="Normln"/>
    <w:next w:val="Normln"/>
    <w:link w:val="TitulekChar"/>
    <w:uiPriority w:val="35"/>
    <w:unhideWhenUsed/>
    <w:qFormat/>
    <w:rsid w:val="00CB2171"/>
    <w:pPr>
      <w:suppressAutoHyphens/>
      <w:spacing w:line="240" w:lineRule="auto"/>
    </w:pPr>
    <w:rPr>
      <w:rFonts w:ascii="Arial Narrow" w:eastAsia="Times New Roman" w:hAnsi="Arial Narrow"/>
      <w:b/>
      <w:bCs/>
      <w:szCs w:val="18"/>
      <w:lang w:val="x-none" w:eastAsia="ar-SA"/>
    </w:rPr>
  </w:style>
  <w:style w:type="character" w:customStyle="1" w:styleId="TitulekChar">
    <w:name w:val="Titulek Char"/>
    <w:link w:val="Titulek"/>
    <w:uiPriority w:val="35"/>
    <w:rsid w:val="00CB2171"/>
    <w:rPr>
      <w:rFonts w:ascii="Arial Narrow" w:hAnsi="Arial Narrow"/>
      <w:b/>
      <w:bCs/>
      <w:sz w:val="22"/>
      <w:szCs w:val="18"/>
      <w:lang w:val="x-none" w:eastAsia="ar-SA"/>
    </w:rPr>
  </w:style>
  <w:style w:type="table" w:customStyle="1" w:styleId="Tabulkasmkou4zvraznn51">
    <w:name w:val="Tabulka s mřížkou 4 – zvýraznění 51"/>
    <w:basedOn w:val="Normlntabulka"/>
    <w:uiPriority w:val="49"/>
    <w:rsid w:val="0070252C"/>
    <w:tblPr>
      <w:tblStyleRowBandSize w:val="1"/>
      <w:tblStyleColBandSize w:val="1"/>
      <w:tblBorders>
        <w:top w:val="single" w:sz="4" w:space="0" w:color="6CDB52"/>
        <w:left w:val="single" w:sz="4" w:space="0" w:color="6CDB52"/>
        <w:bottom w:val="single" w:sz="4" w:space="0" w:color="6CDB52"/>
        <w:right w:val="single" w:sz="4" w:space="0" w:color="6CDB52"/>
        <w:insideH w:val="single" w:sz="4" w:space="0" w:color="6CDB52"/>
        <w:insideV w:val="single" w:sz="4" w:space="0" w:color="6CDB52"/>
      </w:tblBorders>
    </w:tblPr>
    <w:tblStylePr w:type="firstRow">
      <w:rPr>
        <w:b/>
        <w:bCs/>
        <w:color w:val="FFFFFF"/>
      </w:rPr>
      <w:tblPr/>
      <w:tcPr>
        <w:tcBorders>
          <w:top w:val="single" w:sz="4" w:space="0" w:color="31881C"/>
          <w:left w:val="single" w:sz="4" w:space="0" w:color="31881C"/>
          <w:bottom w:val="single" w:sz="4" w:space="0" w:color="31881C"/>
          <w:right w:val="single" w:sz="4" w:space="0" w:color="31881C"/>
          <w:insideH w:val="nil"/>
          <w:insideV w:val="nil"/>
        </w:tcBorders>
        <w:shd w:val="clear" w:color="auto" w:fill="31881C"/>
      </w:tcPr>
    </w:tblStylePr>
    <w:tblStylePr w:type="lastRow">
      <w:rPr>
        <w:b/>
        <w:bCs/>
      </w:rPr>
      <w:tblPr/>
      <w:tcPr>
        <w:tcBorders>
          <w:top w:val="double" w:sz="4" w:space="0" w:color="31881C"/>
        </w:tcBorders>
      </w:tcPr>
    </w:tblStylePr>
    <w:tblStylePr w:type="firstCol">
      <w:rPr>
        <w:b/>
        <w:bCs/>
      </w:rPr>
    </w:tblStylePr>
    <w:tblStylePr w:type="lastCol">
      <w:rPr>
        <w:b/>
        <w:bCs/>
      </w:rPr>
    </w:tblStylePr>
    <w:tblStylePr w:type="band1Vert">
      <w:tblPr/>
      <w:tcPr>
        <w:shd w:val="clear" w:color="auto" w:fill="CEF3C5"/>
      </w:tcPr>
    </w:tblStylePr>
    <w:tblStylePr w:type="band1Horz">
      <w:tblPr/>
      <w:tcPr>
        <w:shd w:val="clear" w:color="auto" w:fill="CEF3C5"/>
      </w:tcPr>
    </w:tblStylePr>
  </w:style>
  <w:style w:type="table" w:styleId="Stednstnovn1zvraznn5">
    <w:name w:val="Medium Shading 1 Accent 5"/>
    <w:basedOn w:val="Normlntabulka"/>
    <w:uiPriority w:val="63"/>
    <w:rsid w:val="0070252C"/>
    <w:tblPr>
      <w:tblStyleRowBandSize w:val="1"/>
      <w:tblStyleColBandSize w:val="1"/>
      <w:tblBorders>
        <w:top w:val="single" w:sz="8" w:space="0" w:color="4ACF2B"/>
        <w:left w:val="single" w:sz="8" w:space="0" w:color="4ACF2B"/>
        <w:bottom w:val="single" w:sz="8" w:space="0" w:color="4ACF2B"/>
        <w:right w:val="single" w:sz="8" w:space="0" w:color="4ACF2B"/>
        <w:insideH w:val="single" w:sz="8" w:space="0" w:color="4ACF2B"/>
      </w:tblBorders>
    </w:tblPr>
    <w:tblStylePr w:type="firstRow">
      <w:pPr>
        <w:spacing w:before="0" w:after="0" w:line="240" w:lineRule="auto"/>
      </w:pPr>
      <w:rPr>
        <w:b/>
        <w:bCs/>
        <w:color w:val="FFFFFF"/>
      </w:rPr>
      <w:tblPr/>
      <w:tcPr>
        <w:tcBorders>
          <w:top w:val="single" w:sz="8" w:space="0" w:color="4ACF2B"/>
          <w:left w:val="single" w:sz="8" w:space="0" w:color="4ACF2B"/>
          <w:bottom w:val="single" w:sz="8" w:space="0" w:color="4ACF2B"/>
          <w:right w:val="single" w:sz="8" w:space="0" w:color="4ACF2B"/>
          <w:insideH w:val="nil"/>
          <w:insideV w:val="nil"/>
        </w:tcBorders>
        <w:shd w:val="clear" w:color="auto" w:fill="31881C"/>
      </w:tcPr>
    </w:tblStylePr>
    <w:tblStylePr w:type="lastRow">
      <w:pPr>
        <w:spacing w:before="0" w:after="0" w:line="240" w:lineRule="auto"/>
      </w:pPr>
      <w:rPr>
        <w:b/>
        <w:bCs/>
      </w:rPr>
      <w:tblPr/>
      <w:tcPr>
        <w:tcBorders>
          <w:top w:val="double" w:sz="6" w:space="0" w:color="4ACF2B"/>
          <w:left w:val="single" w:sz="8" w:space="0" w:color="4ACF2B"/>
          <w:bottom w:val="single" w:sz="8" w:space="0" w:color="4ACF2B"/>
          <w:right w:val="single" w:sz="8" w:space="0" w:color="4ACF2B"/>
          <w:insideH w:val="nil"/>
          <w:insideV w:val="nil"/>
        </w:tcBorders>
      </w:tcPr>
    </w:tblStylePr>
    <w:tblStylePr w:type="firstCol">
      <w:rPr>
        <w:b/>
        <w:bCs/>
      </w:rPr>
    </w:tblStylePr>
    <w:tblStylePr w:type="lastCol">
      <w:rPr>
        <w:b/>
        <w:bCs/>
      </w:rPr>
    </w:tblStylePr>
    <w:tblStylePr w:type="band1Vert">
      <w:tblPr/>
      <w:tcPr>
        <w:shd w:val="clear" w:color="auto" w:fill="C2F0B7"/>
      </w:tcPr>
    </w:tblStylePr>
    <w:tblStylePr w:type="band1Horz">
      <w:tblPr/>
      <w:tcPr>
        <w:tcBorders>
          <w:insideH w:val="nil"/>
          <w:insideV w:val="nil"/>
        </w:tcBorders>
        <w:shd w:val="clear" w:color="auto" w:fill="C2F0B7"/>
      </w:tcPr>
    </w:tblStylePr>
    <w:tblStylePr w:type="band2Horz">
      <w:tblPr/>
      <w:tcPr>
        <w:tcBorders>
          <w:insideH w:val="nil"/>
          <w:insideV w:val="nil"/>
        </w:tcBorders>
      </w:tcPr>
    </w:tblStylePr>
  </w:style>
  <w:style w:type="paragraph" w:styleId="Textkomente">
    <w:name w:val="annotation text"/>
    <w:basedOn w:val="Normln"/>
    <w:link w:val="TextkomenteChar"/>
    <w:uiPriority w:val="99"/>
    <w:unhideWhenUsed/>
    <w:rsid w:val="004043E1"/>
    <w:pPr>
      <w:spacing w:line="240" w:lineRule="auto"/>
    </w:pPr>
    <w:rPr>
      <w:sz w:val="20"/>
      <w:szCs w:val="20"/>
      <w:lang w:val="x-none" w:eastAsia="x-none"/>
    </w:rPr>
  </w:style>
  <w:style w:type="character" w:customStyle="1" w:styleId="TextkomenteChar">
    <w:name w:val="Text komentáře Char"/>
    <w:link w:val="Textkomente"/>
    <w:uiPriority w:val="99"/>
    <w:rsid w:val="004043E1"/>
    <w:rPr>
      <w:rFonts w:ascii="Calibri" w:eastAsia="Calibri" w:hAnsi="Calibri"/>
    </w:rPr>
  </w:style>
  <w:style w:type="character" w:customStyle="1" w:styleId="apple-converted-space">
    <w:name w:val="apple-converted-space"/>
    <w:basedOn w:val="Standardnpsmoodstavce"/>
    <w:rsid w:val="001726F3"/>
  </w:style>
  <w:style w:type="character" w:styleId="Zdraznn">
    <w:name w:val="Emphasis"/>
    <w:uiPriority w:val="20"/>
    <w:qFormat/>
    <w:rsid w:val="001726F3"/>
    <w:rPr>
      <w:i/>
      <w:iCs/>
    </w:rPr>
  </w:style>
  <w:style w:type="paragraph" w:customStyle="1" w:styleId="1Nadpis">
    <w:name w:val="1 Nadpis"/>
    <w:basedOn w:val="Odstavecseseznamem"/>
    <w:link w:val="1NadpisChar"/>
    <w:qFormat/>
    <w:rsid w:val="00007075"/>
    <w:pPr>
      <w:pBdr>
        <w:bottom w:val="single" w:sz="4" w:space="1" w:color="auto"/>
      </w:pBdr>
      <w:spacing w:before="720" w:after="480"/>
      <w:ind w:left="0"/>
      <w:jc w:val="both"/>
    </w:pPr>
    <w:rPr>
      <w:rFonts w:ascii="Arial Narrow" w:hAnsi="Arial Narrow"/>
      <w:b/>
      <w:bCs/>
      <w:sz w:val="40"/>
    </w:rPr>
  </w:style>
  <w:style w:type="character" w:customStyle="1" w:styleId="1NadpisChar">
    <w:name w:val="1 Nadpis Char"/>
    <w:link w:val="1Nadpis"/>
    <w:rsid w:val="00007075"/>
    <w:rPr>
      <w:rFonts w:ascii="Arial Narrow" w:hAnsi="Arial Narrow"/>
      <w:b/>
      <w:bCs/>
      <w:sz w:val="40"/>
      <w:szCs w:val="22"/>
      <w:lang w:eastAsia="ar-SA"/>
    </w:rPr>
  </w:style>
  <w:style w:type="paragraph" w:customStyle="1" w:styleId="11PODNADPIS">
    <w:name w:val="1.1 PODNADPIS"/>
    <w:basedOn w:val="1Nadpis"/>
    <w:next w:val="2TEXT"/>
    <w:link w:val="11PODNADPISChar"/>
    <w:qFormat/>
    <w:rsid w:val="00FD4A16"/>
    <w:pPr>
      <w:pBdr>
        <w:bottom w:val="none" w:sz="0" w:space="0" w:color="auto"/>
      </w:pBdr>
      <w:spacing w:before="360" w:after="360"/>
    </w:pPr>
    <w:rPr>
      <w:b w:val="0"/>
      <w:bCs w:val="0"/>
      <w:sz w:val="36"/>
      <w:szCs w:val="36"/>
    </w:rPr>
  </w:style>
  <w:style w:type="character" w:customStyle="1" w:styleId="11PODNADPISChar">
    <w:name w:val="1.1 PODNADPIS Char"/>
    <w:link w:val="11PODNADPIS"/>
    <w:rsid w:val="00FD4A16"/>
    <w:rPr>
      <w:rFonts w:ascii="Arial Narrow" w:hAnsi="Arial Narrow"/>
      <w:b w:val="0"/>
      <w:bCs w:val="0"/>
      <w:sz w:val="36"/>
      <w:szCs w:val="36"/>
      <w:lang w:eastAsia="ar-SA"/>
    </w:rPr>
  </w:style>
  <w:style w:type="paragraph" w:customStyle="1" w:styleId="111PODPODNADPIS">
    <w:name w:val="1.1.1 PODPODNADPIS"/>
    <w:basedOn w:val="11PODNADPIS"/>
    <w:next w:val="2TEXT"/>
    <w:link w:val="111PODPODNADPISChar"/>
    <w:qFormat/>
    <w:rsid w:val="00FD4A16"/>
    <w:pPr>
      <w:spacing w:before="240" w:after="240"/>
    </w:pPr>
    <w:rPr>
      <w:b/>
      <w:bCs/>
      <w:sz w:val="28"/>
    </w:rPr>
  </w:style>
  <w:style w:type="character" w:customStyle="1" w:styleId="111PODPODNADPISChar">
    <w:name w:val="1.1.1 PODPODNADPIS Char"/>
    <w:link w:val="111PODPODNADPIS"/>
    <w:rsid w:val="00FD4A16"/>
    <w:rPr>
      <w:rFonts w:ascii="Arial Narrow" w:hAnsi="Arial Narrow"/>
      <w:b/>
      <w:bCs/>
      <w:sz w:val="28"/>
      <w:szCs w:val="36"/>
      <w:lang w:eastAsia="ar-SA"/>
    </w:rPr>
  </w:style>
  <w:style w:type="paragraph" w:customStyle="1" w:styleId="2TEXT">
    <w:name w:val="2 TEXT"/>
    <w:basedOn w:val="Normln"/>
    <w:link w:val="2TEXTChar"/>
    <w:uiPriority w:val="99"/>
    <w:qFormat/>
    <w:rsid w:val="00AD5B33"/>
    <w:pPr>
      <w:spacing w:before="120" w:after="120" w:line="288" w:lineRule="auto"/>
      <w:jc w:val="both"/>
    </w:pPr>
    <w:rPr>
      <w:rFonts w:ascii="Arial Narrow" w:hAnsi="Arial Narrow"/>
      <w:sz w:val="24"/>
      <w:szCs w:val="32"/>
      <w:lang w:val="x-none"/>
    </w:rPr>
  </w:style>
  <w:style w:type="character" w:customStyle="1" w:styleId="2TEXTChar">
    <w:name w:val="2 TEXT Char"/>
    <w:link w:val="2TEXT"/>
    <w:uiPriority w:val="99"/>
    <w:rsid w:val="00AD5B33"/>
    <w:rPr>
      <w:rFonts w:ascii="Arial Narrow" w:eastAsia="Calibri" w:hAnsi="Arial Narrow"/>
      <w:sz w:val="24"/>
      <w:szCs w:val="32"/>
      <w:lang w:eastAsia="en-US"/>
    </w:rPr>
  </w:style>
  <w:style w:type="paragraph" w:customStyle="1" w:styleId="3GRAF">
    <w:name w:val="3 GRAF"/>
    <w:basedOn w:val="Titulek"/>
    <w:link w:val="3GRAFChar"/>
    <w:qFormat/>
    <w:rsid w:val="00243C7A"/>
    <w:pPr>
      <w:keepNext/>
      <w:spacing w:before="120" w:after="60"/>
      <w:jc w:val="center"/>
    </w:pPr>
    <w:rPr>
      <w:bCs w:val="0"/>
      <w:szCs w:val="22"/>
    </w:rPr>
  </w:style>
  <w:style w:type="character" w:customStyle="1" w:styleId="3GRAFChar">
    <w:name w:val="3 GRAF Char"/>
    <w:link w:val="3GRAF"/>
    <w:rsid w:val="00243C7A"/>
    <w:rPr>
      <w:rFonts w:ascii="Arial Narrow" w:hAnsi="Arial Narrow"/>
      <w:b/>
      <w:sz w:val="22"/>
      <w:szCs w:val="22"/>
      <w:lang w:val="x-none" w:eastAsia="ar-SA"/>
    </w:rPr>
  </w:style>
  <w:style w:type="paragraph" w:customStyle="1" w:styleId="5selnodrky">
    <w:name w:val="5 číselné odrážky"/>
    <w:basedOn w:val="2TEXT"/>
    <w:link w:val="5selnodrkyChar"/>
    <w:qFormat/>
    <w:rsid w:val="00403F64"/>
    <w:pPr>
      <w:numPr>
        <w:numId w:val="2"/>
      </w:numPr>
      <w:spacing w:before="60" w:after="60"/>
      <w:ind w:left="714" w:hanging="357"/>
    </w:pPr>
  </w:style>
  <w:style w:type="character" w:customStyle="1" w:styleId="5selnodrkyChar">
    <w:name w:val="5 číselné odrážky Char"/>
    <w:link w:val="5selnodrky"/>
    <w:rsid w:val="00403F64"/>
    <w:rPr>
      <w:rFonts w:ascii="Arial Narrow" w:eastAsia="Calibri" w:hAnsi="Arial Narrow"/>
      <w:sz w:val="24"/>
      <w:szCs w:val="32"/>
      <w:lang w:eastAsia="en-US"/>
    </w:rPr>
  </w:style>
  <w:style w:type="paragraph" w:customStyle="1" w:styleId="6odrky">
    <w:name w:val="6 odrážky"/>
    <w:basedOn w:val="2TEXT"/>
    <w:link w:val="6odrkyChar"/>
    <w:qFormat/>
    <w:rsid w:val="00403F64"/>
    <w:pPr>
      <w:numPr>
        <w:numId w:val="3"/>
      </w:numPr>
      <w:spacing w:before="60" w:after="60"/>
      <w:ind w:left="714" w:hanging="357"/>
    </w:pPr>
    <w:rPr>
      <w:szCs w:val="24"/>
    </w:rPr>
  </w:style>
  <w:style w:type="character" w:customStyle="1" w:styleId="6odrkyChar">
    <w:name w:val="6 odrážky Char"/>
    <w:link w:val="6odrky"/>
    <w:rsid w:val="00403F64"/>
    <w:rPr>
      <w:rFonts w:ascii="Arial Narrow" w:eastAsia="Calibri" w:hAnsi="Arial Narrow"/>
      <w:sz w:val="24"/>
      <w:szCs w:val="24"/>
      <w:lang w:eastAsia="en-US"/>
    </w:rPr>
  </w:style>
  <w:style w:type="paragraph" w:customStyle="1" w:styleId="4TABULKA">
    <w:name w:val="4 TABULKA"/>
    <w:basedOn w:val="3GRAF"/>
    <w:link w:val="4TABULKAChar"/>
    <w:qFormat/>
    <w:rsid w:val="00BC5EE4"/>
    <w:rPr>
      <w:b w:val="0"/>
      <w:bCs/>
    </w:rPr>
  </w:style>
  <w:style w:type="character" w:customStyle="1" w:styleId="4TABULKAChar">
    <w:name w:val="4 TABULKA Char"/>
    <w:link w:val="4TABULKA"/>
    <w:rsid w:val="00BC5EE4"/>
    <w:rPr>
      <w:rFonts w:ascii="Arial Narrow" w:hAnsi="Arial Narrow"/>
      <w:b/>
      <w:bCs/>
      <w:color w:val="00ADDC"/>
      <w:sz w:val="22"/>
      <w:szCs w:val="22"/>
      <w:lang w:eastAsia="ar-SA"/>
    </w:rPr>
  </w:style>
  <w:style w:type="paragraph" w:styleId="Obsah1">
    <w:name w:val="toc 1"/>
    <w:basedOn w:val="Normln"/>
    <w:next w:val="Normln"/>
    <w:autoRedefine/>
    <w:uiPriority w:val="39"/>
    <w:unhideWhenUsed/>
    <w:rsid w:val="00BA412B"/>
    <w:pPr>
      <w:tabs>
        <w:tab w:val="left" w:pos="340"/>
        <w:tab w:val="left" w:pos="567"/>
        <w:tab w:val="right" w:leader="dot" w:pos="9062"/>
      </w:tabs>
      <w:spacing w:after="100"/>
    </w:pPr>
    <w:rPr>
      <w:rFonts w:ascii="Arial Narrow" w:hAnsi="Arial Narrow"/>
    </w:rPr>
  </w:style>
  <w:style w:type="paragraph" w:styleId="Obsah2">
    <w:name w:val="toc 2"/>
    <w:basedOn w:val="Normln"/>
    <w:next w:val="Normln"/>
    <w:autoRedefine/>
    <w:uiPriority w:val="39"/>
    <w:unhideWhenUsed/>
    <w:rsid w:val="00BA412B"/>
    <w:pPr>
      <w:tabs>
        <w:tab w:val="left" w:pos="567"/>
        <w:tab w:val="left" w:pos="851"/>
        <w:tab w:val="right" w:leader="dot" w:pos="9062"/>
      </w:tabs>
      <w:spacing w:after="100"/>
      <w:ind w:left="1219" w:hanging="879"/>
    </w:pPr>
    <w:rPr>
      <w:rFonts w:ascii="Arial Narrow" w:hAnsi="Arial Narrow"/>
    </w:rPr>
  </w:style>
  <w:style w:type="paragraph" w:styleId="Obsah3">
    <w:name w:val="toc 3"/>
    <w:basedOn w:val="Normln"/>
    <w:next w:val="Normln"/>
    <w:autoRedefine/>
    <w:uiPriority w:val="39"/>
    <w:unhideWhenUsed/>
    <w:rsid w:val="00BA412B"/>
    <w:pPr>
      <w:tabs>
        <w:tab w:val="left" w:pos="1588"/>
      </w:tabs>
      <w:spacing w:after="100"/>
      <w:ind w:left="851"/>
    </w:pPr>
    <w:rPr>
      <w:rFonts w:ascii="Arial Narrow" w:hAnsi="Arial Narrow"/>
    </w:rPr>
  </w:style>
  <w:style w:type="paragraph" w:customStyle="1" w:styleId="7Obsahvod">
    <w:name w:val="7 Obsah+úvod"/>
    <w:basedOn w:val="1Nadpis"/>
    <w:link w:val="7ObsahvodChar"/>
    <w:qFormat/>
    <w:rsid w:val="00B710A8"/>
    <w:pPr>
      <w:ind w:left="432" w:hanging="432"/>
    </w:pPr>
    <w:rPr>
      <w:b w:val="0"/>
      <w:bCs w:val="0"/>
    </w:rPr>
  </w:style>
  <w:style w:type="character" w:customStyle="1" w:styleId="7ObsahvodChar">
    <w:name w:val="7 Obsah+úvod Char"/>
    <w:link w:val="7Obsahvod"/>
    <w:rsid w:val="00B710A8"/>
    <w:rPr>
      <w:rFonts w:ascii="Arial Narrow" w:hAnsi="Arial Narrow"/>
      <w:b w:val="0"/>
      <w:bCs w:val="0"/>
      <w:sz w:val="40"/>
      <w:szCs w:val="22"/>
      <w:lang w:eastAsia="ar-SA"/>
    </w:rPr>
  </w:style>
  <w:style w:type="paragraph" w:customStyle="1" w:styleId="8aodrky">
    <w:name w:val="8 a) odrážky"/>
    <w:basedOn w:val="Odstavecseseznamem"/>
    <w:link w:val="8aodrkyChar"/>
    <w:qFormat/>
    <w:rsid w:val="00321B9F"/>
    <w:pPr>
      <w:numPr>
        <w:numId w:val="1"/>
      </w:numPr>
      <w:spacing w:after="120" w:line="288" w:lineRule="auto"/>
      <w:ind w:left="567" w:hanging="357"/>
    </w:pPr>
    <w:rPr>
      <w:rFonts w:ascii="Arial Narrow" w:hAnsi="Arial Narrow"/>
      <w:b/>
      <w:sz w:val="24"/>
      <w:szCs w:val="24"/>
    </w:rPr>
  </w:style>
  <w:style w:type="character" w:customStyle="1" w:styleId="8aodrkyChar">
    <w:name w:val="8 a) odrážky Char"/>
    <w:link w:val="8aodrky"/>
    <w:rsid w:val="00321B9F"/>
    <w:rPr>
      <w:rFonts w:ascii="Arial Narrow" w:hAnsi="Arial Narrow"/>
      <w:b/>
      <w:sz w:val="24"/>
      <w:szCs w:val="24"/>
      <w:lang w:eastAsia="ar-SA"/>
    </w:rPr>
  </w:style>
  <w:style w:type="table" w:customStyle="1" w:styleId="Stednstnovn1zvraznn11">
    <w:name w:val="Střední stínování 1 – zvýraznění 11"/>
    <w:basedOn w:val="Normlntabulka"/>
    <w:uiPriority w:val="63"/>
    <w:rsid w:val="009B1596"/>
    <w:tblPr>
      <w:tblStyleRowBandSize w:val="1"/>
      <w:tblStyleColBandSize w:val="1"/>
      <w:tblBorders>
        <w:top w:val="single" w:sz="8" w:space="0" w:color="25D0FF"/>
        <w:left w:val="single" w:sz="8" w:space="0" w:color="25D0FF"/>
        <w:bottom w:val="single" w:sz="8" w:space="0" w:color="25D0FF"/>
        <w:right w:val="single" w:sz="8" w:space="0" w:color="25D0FF"/>
        <w:insideH w:val="single" w:sz="8" w:space="0" w:color="25D0FF"/>
      </w:tblBorders>
    </w:tblPr>
    <w:tblStylePr w:type="firstRow">
      <w:pPr>
        <w:spacing w:before="0" w:after="0" w:line="240" w:lineRule="auto"/>
      </w:pPr>
      <w:rPr>
        <w:b/>
        <w:bCs/>
        <w:color w:val="FFFFFF"/>
      </w:rPr>
      <w:tblPr/>
      <w:tcPr>
        <w:tcBorders>
          <w:top w:val="single" w:sz="8" w:space="0" w:color="25D0FF"/>
          <w:left w:val="single" w:sz="8" w:space="0" w:color="25D0FF"/>
          <w:bottom w:val="single" w:sz="8" w:space="0" w:color="25D0FF"/>
          <w:right w:val="single" w:sz="8" w:space="0" w:color="25D0FF"/>
          <w:insideH w:val="nil"/>
          <w:insideV w:val="nil"/>
        </w:tcBorders>
        <w:shd w:val="clear" w:color="auto" w:fill="00ADDC"/>
      </w:tcPr>
    </w:tblStylePr>
    <w:tblStylePr w:type="lastRow">
      <w:pPr>
        <w:spacing w:before="0" w:after="0" w:line="240" w:lineRule="auto"/>
      </w:pPr>
      <w:rPr>
        <w:b/>
        <w:bCs/>
      </w:rPr>
      <w:tblPr/>
      <w:tcPr>
        <w:tcBorders>
          <w:top w:val="double" w:sz="6" w:space="0" w:color="25D0FF"/>
          <w:left w:val="single" w:sz="8" w:space="0" w:color="25D0FF"/>
          <w:bottom w:val="single" w:sz="8" w:space="0" w:color="25D0FF"/>
          <w:right w:val="single" w:sz="8" w:space="0" w:color="25D0FF"/>
          <w:insideH w:val="nil"/>
          <w:insideV w:val="nil"/>
        </w:tcBorders>
      </w:tcPr>
    </w:tblStylePr>
    <w:tblStylePr w:type="firstCol">
      <w:rPr>
        <w:b/>
        <w:bCs/>
      </w:rPr>
    </w:tblStylePr>
    <w:tblStylePr w:type="lastCol">
      <w:rPr>
        <w:b/>
        <w:bCs/>
      </w:rPr>
    </w:tblStylePr>
    <w:tblStylePr w:type="band1Vert">
      <w:tblPr/>
      <w:tcPr>
        <w:shd w:val="clear" w:color="auto" w:fill="B7EFFF"/>
      </w:tcPr>
    </w:tblStylePr>
    <w:tblStylePr w:type="band1Horz">
      <w:tblPr/>
      <w:tcPr>
        <w:tcBorders>
          <w:insideH w:val="nil"/>
          <w:insideV w:val="nil"/>
        </w:tcBorders>
        <w:shd w:val="clear" w:color="auto" w:fill="B7EFFF"/>
      </w:tcPr>
    </w:tblStylePr>
    <w:tblStylePr w:type="band2Horz">
      <w:tblPr/>
      <w:tcPr>
        <w:tcBorders>
          <w:insideH w:val="nil"/>
          <w:insideV w:val="nil"/>
        </w:tcBorders>
      </w:tcPr>
    </w:tblStylePr>
  </w:style>
  <w:style w:type="table" w:styleId="Stednstnovn2zvraznn2">
    <w:name w:val="Medium Shading 2 Accent 2"/>
    <w:basedOn w:val="Normlntabulka"/>
    <w:uiPriority w:val="64"/>
    <w:rsid w:val="006108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BD74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BD745"/>
      </w:tcPr>
    </w:tblStylePr>
    <w:tblStylePr w:type="lastCol">
      <w:rPr>
        <w:b/>
        <w:bCs/>
        <w:color w:val="FFFFFF"/>
      </w:rPr>
      <w:tblPr/>
      <w:tcPr>
        <w:tcBorders>
          <w:left w:val="nil"/>
          <w:right w:val="nil"/>
          <w:insideH w:val="nil"/>
          <w:insideV w:val="nil"/>
        </w:tcBorders>
        <w:shd w:val="clear" w:color="auto" w:fill="8BD74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tednmka3zvraznn2">
    <w:name w:val="Medium Grid 3 Accent 2"/>
    <w:basedOn w:val="Normlntabulka"/>
    <w:uiPriority w:val="69"/>
    <w:rsid w:val="006108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2F5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BD74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BD74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BD74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BD74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5EB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5EBA2"/>
      </w:tcPr>
    </w:tblStylePr>
  </w:style>
  <w:style w:type="table" w:styleId="Tmavseznamzvraznn2">
    <w:name w:val="Dark List Accent 2"/>
    <w:basedOn w:val="Normlntabulka"/>
    <w:uiPriority w:val="70"/>
    <w:rsid w:val="006108B9"/>
    <w:rPr>
      <w:color w:val="FFFFFF"/>
    </w:rPr>
    <w:tblPr>
      <w:tblStyleRowBandSize w:val="1"/>
      <w:tblStyleColBandSize w:val="1"/>
    </w:tblPr>
    <w:tcPr>
      <w:shd w:val="clear" w:color="auto" w:fill="8BD74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47419"/>
      </w:tcPr>
    </w:tblStylePr>
    <w:tblStylePr w:type="firstCol">
      <w:tblPr/>
      <w:tcPr>
        <w:tcBorders>
          <w:top w:val="nil"/>
          <w:left w:val="nil"/>
          <w:bottom w:val="nil"/>
          <w:right w:val="single" w:sz="18" w:space="0" w:color="FFFFFF"/>
          <w:insideH w:val="nil"/>
          <w:insideV w:val="nil"/>
        </w:tcBorders>
        <w:shd w:val="clear" w:color="auto" w:fill="67AE25"/>
      </w:tcPr>
    </w:tblStylePr>
    <w:tblStylePr w:type="lastCol">
      <w:tblPr/>
      <w:tcPr>
        <w:tcBorders>
          <w:top w:val="nil"/>
          <w:left w:val="single" w:sz="18" w:space="0" w:color="FFFFFF"/>
          <w:bottom w:val="nil"/>
          <w:right w:val="nil"/>
          <w:insideH w:val="nil"/>
          <w:insideV w:val="nil"/>
        </w:tcBorders>
        <w:shd w:val="clear" w:color="auto" w:fill="67AE25"/>
      </w:tcPr>
    </w:tblStylePr>
    <w:tblStylePr w:type="band1Vert">
      <w:tblPr/>
      <w:tcPr>
        <w:tcBorders>
          <w:top w:val="nil"/>
          <w:left w:val="nil"/>
          <w:bottom w:val="nil"/>
          <w:right w:val="nil"/>
          <w:insideH w:val="nil"/>
          <w:insideV w:val="nil"/>
        </w:tcBorders>
        <w:shd w:val="clear" w:color="auto" w:fill="67AE25"/>
      </w:tcPr>
    </w:tblStylePr>
    <w:tblStylePr w:type="band1Horz">
      <w:tblPr/>
      <w:tcPr>
        <w:tcBorders>
          <w:top w:val="nil"/>
          <w:left w:val="nil"/>
          <w:bottom w:val="nil"/>
          <w:right w:val="nil"/>
          <w:insideH w:val="nil"/>
          <w:insideV w:val="nil"/>
        </w:tcBorders>
        <w:shd w:val="clear" w:color="auto" w:fill="67AE25"/>
      </w:tcPr>
    </w:tblStylePr>
  </w:style>
  <w:style w:type="table" w:styleId="Stednstnovn1zvraznn2">
    <w:name w:val="Medium Shading 1 Accent 2"/>
    <w:basedOn w:val="Normlntabulka"/>
    <w:uiPriority w:val="63"/>
    <w:rsid w:val="006108B9"/>
    <w:tblPr>
      <w:tblStyleRowBandSize w:val="1"/>
      <w:tblStyleColBandSize w:val="1"/>
      <w:tblBorders>
        <w:top w:val="single" w:sz="8" w:space="0" w:color="A7E173"/>
        <w:left w:val="single" w:sz="8" w:space="0" w:color="A7E173"/>
        <w:bottom w:val="single" w:sz="8" w:space="0" w:color="A7E173"/>
        <w:right w:val="single" w:sz="8" w:space="0" w:color="A7E173"/>
        <w:insideH w:val="single" w:sz="8" w:space="0" w:color="A7E173"/>
      </w:tblBorders>
    </w:tblPr>
    <w:tblStylePr w:type="firstRow">
      <w:pPr>
        <w:spacing w:before="0" w:after="0" w:line="240" w:lineRule="auto"/>
      </w:pPr>
      <w:rPr>
        <w:b/>
        <w:bCs/>
        <w:color w:val="FFFFFF"/>
      </w:rPr>
      <w:tblPr/>
      <w:tcPr>
        <w:tcBorders>
          <w:top w:val="single" w:sz="8" w:space="0" w:color="A7E173"/>
          <w:left w:val="single" w:sz="8" w:space="0" w:color="A7E173"/>
          <w:bottom w:val="single" w:sz="8" w:space="0" w:color="A7E173"/>
          <w:right w:val="single" w:sz="8" w:space="0" w:color="A7E173"/>
          <w:insideH w:val="nil"/>
          <w:insideV w:val="nil"/>
        </w:tcBorders>
        <w:shd w:val="clear" w:color="auto" w:fill="8BD745"/>
      </w:tcPr>
    </w:tblStylePr>
    <w:tblStylePr w:type="lastRow">
      <w:pPr>
        <w:spacing w:before="0" w:after="0" w:line="240" w:lineRule="auto"/>
      </w:pPr>
      <w:rPr>
        <w:b/>
        <w:bCs/>
      </w:rPr>
      <w:tblPr/>
      <w:tcPr>
        <w:tcBorders>
          <w:top w:val="double" w:sz="6" w:space="0" w:color="A7E173"/>
          <w:left w:val="single" w:sz="8" w:space="0" w:color="A7E173"/>
          <w:bottom w:val="single" w:sz="8" w:space="0" w:color="A7E173"/>
          <w:right w:val="single" w:sz="8" w:space="0" w:color="A7E173"/>
          <w:insideH w:val="nil"/>
          <w:insideV w:val="nil"/>
        </w:tcBorders>
      </w:tcPr>
    </w:tblStylePr>
    <w:tblStylePr w:type="firstCol">
      <w:rPr>
        <w:b/>
        <w:bCs/>
      </w:rPr>
    </w:tblStylePr>
    <w:tblStylePr w:type="lastCol">
      <w:rPr>
        <w:b/>
        <w:bCs/>
      </w:rPr>
    </w:tblStylePr>
    <w:tblStylePr w:type="band1Vert">
      <w:tblPr/>
      <w:tcPr>
        <w:shd w:val="clear" w:color="auto" w:fill="E2F5D0"/>
      </w:tcPr>
    </w:tblStylePr>
    <w:tblStylePr w:type="band1Horz">
      <w:tblPr/>
      <w:tcPr>
        <w:tcBorders>
          <w:insideH w:val="nil"/>
          <w:insideV w:val="nil"/>
        </w:tcBorders>
        <w:shd w:val="clear" w:color="auto" w:fill="E2F5D0"/>
      </w:tcPr>
    </w:tblStylePr>
    <w:tblStylePr w:type="band2Horz">
      <w:tblPr/>
      <w:tcPr>
        <w:tcBorders>
          <w:insideH w:val="nil"/>
          <w:insideV w:val="nil"/>
        </w:tcBorders>
      </w:tcPr>
    </w:tblStylePr>
  </w:style>
  <w:style w:type="table" w:styleId="Stednmka3zvraznn1">
    <w:name w:val="Medium Grid 3 Accent 1"/>
    <w:basedOn w:val="Normlntabulka"/>
    <w:uiPriority w:val="69"/>
    <w:rsid w:val="006108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7EF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ADD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ADD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ADD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ADD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EDF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EDFFF"/>
      </w:tcPr>
    </w:tblStylePr>
  </w:style>
  <w:style w:type="table" w:customStyle="1" w:styleId="Stednstnovn2zvraznn11">
    <w:name w:val="Střední stínování 2 – zvýraznění 11"/>
    <w:basedOn w:val="Normlntabulka"/>
    <w:uiPriority w:val="64"/>
    <w:rsid w:val="006108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ADD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ADDC"/>
      </w:tcPr>
    </w:tblStylePr>
    <w:tblStylePr w:type="lastCol">
      <w:rPr>
        <w:b/>
        <w:bCs/>
        <w:color w:val="FFFFFF"/>
      </w:rPr>
      <w:tblPr/>
      <w:tcPr>
        <w:tcBorders>
          <w:left w:val="nil"/>
          <w:right w:val="nil"/>
          <w:insideH w:val="nil"/>
          <w:insideV w:val="nil"/>
        </w:tcBorders>
        <w:shd w:val="clear" w:color="auto" w:fill="00ADD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Text0">
    <w:name w:val="2 Text"/>
    <w:basedOn w:val="Normln"/>
    <w:link w:val="2TextChar0"/>
    <w:qFormat/>
    <w:rsid w:val="00532DF3"/>
    <w:pPr>
      <w:spacing w:before="120" w:after="120" w:line="288" w:lineRule="auto"/>
      <w:jc w:val="both"/>
    </w:pPr>
    <w:rPr>
      <w:rFonts w:ascii="Arial Narrow" w:hAnsi="Arial Narrow"/>
      <w:sz w:val="24"/>
      <w:szCs w:val="32"/>
      <w:lang w:val="x-none"/>
    </w:rPr>
  </w:style>
  <w:style w:type="character" w:customStyle="1" w:styleId="2TextChar0">
    <w:name w:val="2 Text Char"/>
    <w:link w:val="2Text0"/>
    <w:locked/>
    <w:rsid w:val="00532DF3"/>
    <w:rPr>
      <w:rFonts w:ascii="Arial Narrow" w:eastAsia="Calibri" w:hAnsi="Arial Narrow"/>
      <w:sz w:val="24"/>
      <w:szCs w:val="32"/>
      <w:lang w:eastAsia="en-US"/>
    </w:rPr>
  </w:style>
  <w:style w:type="character" w:styleId="Odkaznakoment">
    <w:name w:val="annotation reference"/>
    <w:uiPriority w:val="99"/>
    <w:semiHidden/>
    <w:unhideWhenUsed/>
    <w:rsid w:val="00532DF3"/>
    <w:rPr>
      <w:sz w:val="16"/>
      <w:szCs w:val="16"/>
    </w:rPr>
  </w:style>
  <w:style w:type="character" w:customStyle="1" w:styleId="Nadpis1Char">
    <w:name w:val="Nadpis 1 Char"/>
    <w:aliases w:val="1 Nadpis 1 Char1"/>
    <w:link w:val="Nadpis1"/>
    <w:rsid w:val="00FE4A4D"/>
    <w:rPr>
      <w:rFonts w:ascii="Arial Narrow" w:eastAsia="Calibri" w:hAnsi="Arial Narrow" w:cs="Arial"/>
      <w:b/>
      <w:bCs/>
      <w:kern w:val="32"/>
      <w:sz w:val="40"/>
      <w:szCs w:val="32"/>
      <w:lang w:eastAsia="en-US"/>
    </w:rPr>
  </w:style>
  <w:style w:type="character" w:styleId="Sledovanodkaz">
    <w:name w:val="FollowedHyperlink"/>
    <w:uiPriority w:val="99"/>
    <w:semiHidden/>
    <w:unhideWhenUsed/>
    <w:rsid w:val="00532DF3"/>
    <w:rPr>
      <w:color w:val="5F7791"/>
      <w:u w:val="single"/>
    </w:rPr>
  </w:style>
  <w:style w:type="character" w:customStyle="1" w:styleId="Nadpis1Char1">
    <w:name w:val="Nadpis 1 Char1"/>
    <w:aliases w:val="1 Nadpis 1 Char"/>
    <w:rsid w:val="00532DF3"/>
    <w:rPr>
      <w:rFonts w:ascii="Cambria" w:eastAsia="Times New Roman" w:hAnsi="Cambria" w:cs="Times New Roman"/>
      <w:b/>
      <w:bCs/>
      <w:color w:val="0081A4"/>
      <w:sz w:val="28"/>
      <w:szCs w:val="28"/>
      <w:lang w:eastAsia="en-US"/>
    </w:rPr>
  </w:style>
  <w:style w:type="character" w:customStyle="1" w:styleId="ZhlavChar">
    <w:name w:val="Záhlaví Char"/>
    <w:link w:val="Zhlav"/>
    <w:uiPriority w:val="99"/>
    <w:rsid w:val="00532DF3"/>
    <w:rPr>
      <w:rFonts w:ascii="Calibri" w:eastAsia="Calibri" w:hAnsi="Calibri" w:cs="Times New Roman"/>
      <w:sz w:val="22"/>
      <w:szCs w:val="22"/>
      <w:lang w:eastAsia="en-US"/>
    </w:rPr>
  </w:style>
  <w:style w:type="character" w:customStyle="1" w:styleId="ZpatChar">
    <w:name w:val="Zápatí Char"/>
    <w:link w:val="Zpat"/>
    <w:semiHidden/>
    <w:rsid w:val="00532DF3"/>
    <w:rPr>
      <w:rFonts w:ascii="Calibri" w:eastAsia="Calibri" w:hAnsi="Calibri" w:cs="Times New Roman"/>
      <w:sz w:val="22"/>
      <w:szCs w:val="22"/>
      <w:lang w:eastAsia="en-US"/>
    </w:rPr>
  </w:style>
  <w:style w:type="paragraph" w:styleId="Seznamobrzk">
    <w:name w:val="table of figures"/>
    <w:basedOn w:val="Normln"/>
    <w:next w:val="Normln"/>
    <w:uiPriority w:val="99"/>
    <w:unhideWhenUsed/>
    <w:rsid w:val="00532DF3"/>
    <w:pPr>
      <w:spacing w:after="0"/>
    </w:pPr>
  </w:style>
  <w:style w:type="paragraph" w:styleId="Pedmtkomente">
    <w:name w:val="annotation subject"/>
    <w:basedOn w:val="Textkomente"/>
    <w:next w:val="Textkomente"/>
    <w:link w:val="PedmtkomenteChar"/>
    <w:uiPriority w:val="99"/>
    <w:semiHidden/>
    <w:unhideWhenUsed/>
    <w:rsid w:val="00532DF3"/>
    <w:rPr>
      <w:b/>
      <w:bCs/>
    </w:rPr>
  </w:style>
  <w:style w:type="character" w:customStyle="1" w:styleId="PedmtkomenteChar">
    <w:name w:val="Předmět komentáře Char"/>
    <w:link w:val="Pedmtkomente"/>
    <w:uiPriority w:val="99"/>
    <w:semiHidden/>
    <w:rsid w:val="00532DF3"/>
    <w:rPr>
      <w:rFonts w:ascii="Calibri" w:eastAsia="Calibri" w:hAnsi="Calibri" w:cs="Times New Roman"/>
      <w:b/>
      <w:bCs/>
      <w:lang w:eastAsia="en-US"/>
    </w:rPr>
  </w:style>
  <w:style w:type="paragraph" w:styleId="Revize">
    <w:name w:val="Revision"/>
    <w:uiPriority w:val="99"/>
    <w:semiHidden/>
    <w:rsid w:val="00532DF3"/>
    <w:rPr>
      <w:rFonts w:ascii="Calibri" w:eastAsia="Calibri" w:hAnsi="Calibri"/>
      <w:sz w:val="22"/>
      <w:szCs w:val="22"/>
      <w:lang w:eastAsia="en-US"/>
    </w:rPr>
  </w:style>
  <w:style w:type="table" w:customStyle="1" w:styleId="Tmavtabulkasmkou5zvraznn11">
    <w:name w:val="Tmavá tabulka s mřížkou 5 – zvýraznění 11"/>
    <w:basedOn w:val="Normlntabulka"/>
    <w:uiPriority w:val="50"/>
    <w:rsid w:val="00532DF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5F2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ADD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ADD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ADD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ADDC"/>
      </w:tcPr>
    </w:tblStylePr>
    <w:tblStylePr w:type="band1Vert">
      <w:tblPr/>
      <w:tcPr>
        <w:shd w:val="clear" w:color="auto" w:fill="8BE5FF"/>
      </w:tcPr>
    </w:tblStylePr>
    <w:tblStylePr w:type="band1Horz">
      <w:tblPr/>
      <w:tcPr>
        <w:shd w:val="clear" w:color="auto" w:fill="8BE5FF"/>
      </w:tcPr>
    </w:tblStylePr>
  </w:style>
  <w:style w:type="table" w:customStyle="1" w:styleId="Tabulkasmkou4zvraznn11">
    <w:name w:val="Tabulka s mřížkou 4 – zvýraznění 11"/>
    <w:basedOn w:val="Normlntabulka"/>
    <w:uiPriority w:val="49"/>
    <w:rsid w:val="00532DF3"/>
    <w:tblPr>
      <w:tblStyleRowBandSize w:val="1"/>
      <w:tblStyleColBandSize w:val="1"/>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Pr>
    <w:tblStylePr w:type="firstRow">
      <w:rPr>
        <w:b/>
        <w:bCs/>
        <w:color w:val="FFFFFF"/>
      </w:rPr>
      <w:tblPr/>
      <w:tcPr>
        <w:tcBorders>
          <w:top w:val="single" w:sz="4" w:space="0" w:color="00ADDC"/>
          <w:left w:val="single" w:sz="4" w:space="0" w:color="00ADDC"/>
          <w:bottom w:val="single" w:sz="4" w:space="0" w:color="00ADDC"/>
          <w:right w:val="single" w:sz="4" w:space="0" w:color="00ADDC"/>
          <w:insideH w:val="nil"/>
          <w:insideV w:val="nil"/>
        </w:tcBorders>
        <w:shd w:val="clear" w:color="auto" w:fill="00ADDC"/>
      </w:tcPr>
    </w:tblStylePr>
    <w:tblStylePr w:type="lastRow">
      <w:rPr>
        <w:b/>
        <w:bCs/>
      </w:rPr>
      <w:tblPr/>
      <w:tcPr>
        <w:tcBorders>
          <w:top w:val="double" w:sz="4" w:space="0" w:color="00ADDC"/>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paragraph" w:customStyle="1" w:styleId="1Podnadpis11">
    <w:name w:val="1 Podnadpis 1.1"/>
    <w:basedOn w:val="Nadpis2"/>
    <w:link w:val="1Podnadpis11Char"/>
    <w:qFormat/>
    <w:rsid w:val="000252FF"/>
    <w:pPr>
      <w:spacing w:before="360" w:after="360" w:line="240" w:lineRule="auto"/>
    </w:pPr>
    <w:rPr>
      <w:rFonts w:ascii="Arial Narrow" w:hAnsi="Arial Narrow"/>
      <w:b w:val="0"/>
      <w:bCs w:val="0"/>
      <w:sz w:val="36"/>
    </w:rPr>
  </w:style>
  <w:style w:type="paragraph" w:customStyle="1" w:styleId="1Podpodnadpis111">
    <w:name w:val="1 Podpodnadpis 1.1.1"/>
    <w:basedOn w:val="Nadpis3"/>
    <w:link w:val="1Podpodnadpis111Char"/>
    <w:qFormat/>
    <w:rsid w:val="000252FF"/>
    <w:pPr>
      <w:spacing w:before="240" w:after="240" w:line="240" w:lineRule="auto"/>
    </w:pPr>
    <w:rPr>
      <w:rFonts w:ascii="Arial Narrow" w:hAnsi="Arial Narrow"/>
      <w:b w:val="0"/>
      <w:bCs w:val="0"/>
      <w:sz w:val="28"/>
    </w:rPr>
  </w:style>
  <w:style w:type="character" w:customStyle="1" w:styleId="1Podnadpis11Char">
    <w:name w:val="1 Podnadpis 1.1 Char"/>
    <w:link w:val="1Podnadpis11"/>
    <w:rsid w:val="000252FF"/>
    <w:rPr>
      <w:rFonts w:ascii="Arial Narrow" w:eastAsia="Times New Roman" w:hAnsi="Arial Narrow" w:cs="Times New Roman"/>
      <w:b w:val="0"/>
      <w:bCs w:val="0"/>
      <w:color w:val="00ADDC"/>
      <w:sz w:val="36"/>
      <w:szCs w:val="26"/>
      <w:lang w:eastAsia="en-US"/>
    </w:rPr>
  </w:style>
  <w:style w:type="character" w:customStyle="1" w:styleId="1Podpodnadpis111Char">
    <w:name w:val="1 Podpodnadpis 1.1.1 Char"/>
    <w:link w:val="1Podpodnadpis111"/>
    <w:rsid w:val="000252FF"/>
    <w:rPr>
      <w:rFonts w:ascii="Arial Narrow" w:eastAsia="Times New Roman" w:hAnsi="Arial Narrow" w:cs="Times New Roman"/>
      <w:b w:val="0"/>
      <w:bCs w:val="0"/>
      <w:color w:val="00ADDC"/>
      <w:sz w:val="28"/>
      <w:szCs w:val="22"/>
      <w:lang w:eastAsia="en-US"/>
    </w:rPr>
  </w:style>
  <w:style w:type="paragraph" w:styleId="Podnadpis">
    <w:name w:val="Subtitle"/>
    <w:basedOn w:val="Normln"/>
    <w:next w:val="Normln"/>
    <w:link w:val="PodnadpisChar"/>
    <w:uiPriority w:val="11"/>
    <w:qFormat/>
    <w:rsid w:val="00DC2316"/>
    <w:rPr>
      <w:rFonts w:ascii="Cambria" w:eastAsia="Times New Roman" w:hAnsi="Cambria"/>
      <w:i/>
      <w:iCs/>
      <w:color w:val="00ADDC"/>
      <w:spacing w:val="15"/>
      <w:sz w:val="24"/>
      <w:szCs w:val="24"/>
      <w:lang w:val="x-none"/>
    </w:rPr>
  </w:style>
  <w:style w:type="character" w:customStyle="1" w:styleId="PodnadpisChar">
    <w:name w:val="Podnadpis Char"/>
    <w:link w:val="Podnadpis"/>
    <w:uiPriority w:val="11"/>
    <w:rsid w:val="00DC2316"/>
    <w:rPr>
      <w:rFonts w:ascii="Cambria" w:eastAsia="Times New Roman" w:hAnsi="Cambria" w:cs="Times New Roman"/>
      <w:i/>
      <w:iCs/>
      <w:color w:val="00ADDC"/>
      <w:spacing w:val="15"/>
      <w:sz w:val="24"/>
      <w:szCs w:val="24"/>
      <w:lang w:eastAsia="en-US"/>
    </w:rPr>
  </w:style>
  <w:style w:type="paragraph" w:customStyle="1" w:styleId="11Podnadpis0">
    <w:name w:val="1.1 Podnadpis"/>
    <w:basedOn w:val="1Nadpis"/>
    <w:qFormat/>
    <w:rsid w:val="009E7CB2"/>
    <w:pPr>
      <w:pBdr>
        <w:bottom w:val="none" w:sz="0" w:space="0" w:color="auto"/>
      </w:pBdr>
      <w:spacing w:before="360" w:after="360"/>
      <w:ind w:left="576" w:hanging="576"/>
    </w:pPr>
    <w:rPr>
      <w:sz w:val="36"/>
      <w:szCs w:val="36"/>
    </w:rPr>
  </w:style>
  <w:style w:type="paragraph" w:customStyle="1" w:styleId="111Podpodnadpis0">
    <w:name w:val="1.1.1 Podpodnadpis"/>
    <w:basedOn w:val="11Podnadpis0"/>
    <w:link w:val="111PodpodnadpisChar0"/>
    <w:qFormat/>
    <w:rsid w:val="009E7CB2"/>
    <w:pPr>
      <w:spacing w:before="240" w:after="240"/>
      <w:ind w:left="720" w:hanging="720"/>
    </w:pPr>
    <w:rPr>
      <w:sz w:val="28"/>
    </w:rPr>
  </w:style>
  <w:style w:type="character" w:customStyle="1" w:styleId="111PodpodnadpisChar0">
    <w:name w:val="1.1.1 Podpodnadpis Char"/>
    <w:link w:val="111Podpodnadpis0"/>
    <w:rsid w:val="009E7CB2"/>
    <w:rPr>
      <w:rFonts w:ascii="Arial Narrow" w:hAnsi="Arial Narrow"/>
      <w:b/>
      <w:bCs/>
      <w:sz w:val="28"/>
      <w:szCs w:val="36"/>
      <w:lang w:eastAsia="ar-SA"/>
    </w:rPr>
  </w:style>
  <w:style w:type="table" w:customStyle="1" w:styleId="Tabulkasmkou4zvraznn21">
    <w:name w:val="Tabulka s mřížkou 4 – zvýraznění 21"/>
    <w:basedOn w:val="Normlntabulka"/>
    <w:uiPriority w:val="49"/>
    <w:rsid w:val="00D0791F"/>
    <w:rPr>
      <w:rFonts w:ascii="Calibri" w:eastAsia="Calibri" w:hAnsi="Calibri"/>
      <w:sz w:val="22"/>
      <w:szCs w:val="22"/>
      <w:lang w:eastAsia="en-US"/>
    </w:rPr>
    <w:tblPr>
      <w:tblStyleRowBandSize w:val="1"/>
      <w:tblStyleColBandSize w:val="1"/>
      <w:tblBorders>
        <w:top w:val="single" w:sz="4" w:space="0" w:color="B9E78F"/>
        <w:left w:val="single" w:sz="4" w:space="0" w:color="B9E78F"/>
        <w:bottom w:val="single" w:sz="4" w:space="0" w:color="B9E78F"/>
        <w:right w:val="single" w:sz="4" w:space="0" w:color="B9E78F"/>
        <w:insideH w:val="single" w:sz="4" w:space="0" w:color="B9E78F"/>
        <w:insideV w:val="single" w:sz="4" w:space="0" w:color="B9E78F"/>
      </w:tblBorders>
    </w:tblPr>
    <w:tblStylePr w:type="firstRow">
      <w:rPr>
        <w:b/>
        <w:bCs/>
        <w:color w:val="FFFFFF"/>
      </w:rPr>
      <w:tblPr/>
      <w:tcPr>
        <w:tcBorders>
          <w:top w:val="single" w:sz="4" w:space="0" w:color="8BD745"/>
          <w:left w:val="single" w:sz="4" w:space="0" w:color="8BD745"/>
          <w:bottom w:val="single" w:sz="4" w:space="0" w:color="8BD745"/>
          <w:right w:val="single" w:sz="4" w:space="0" w:color="8BD745"/>
          <w:insideH w:val="nil"/>
          <w:insideV w:val="nil"/>
        </w:tcBorders>
        <w:shd w:val="clear" w:color="auto" w:fill="8BD745"/>
      </w:tcPr>
    </w:tblStylePr>
    <w:tblStylePr w:type="lastRow">
      <w:rPr>
        <w:b/>
        <w:bCs/>
      </w:rPr>
      <w:tblPr/>
      <w:tcPr>
        <w:tcBorders>
          <w:top w:val="double" w:sz="4" w:space="0" w:color="8BD745"/>
        </w:tcBorders>
      </w:tcPr>
    </w:tblStylePr>
    <w:tblStylePr w:type="firstCol">
      <w:rPr>
        <w:b/>
        <w:bCs/>
      </w:rPr>
    </w:tblStylePr>
    <w:tblStylePr w:type="lastCol">
      <w:rPr>
        <w:b/>
        <w:bCs/>
      </w:rPr>
    </w:tblStylePr>
    <w:tblStylePr w:type="band1Vert">
      <w:tblPr/>
      <w:tcPr>
        <w:shd w:val="clear" w:color="auto" w:fill="E7F7D9"/>
      </w:tcPr>
    </w:tblStylePr>
    <w:tblStylePr w:type="band1Horz">
      <w:tblPr/>
      <w:tcPr>
        <w:shd w:val="clear" w:color="auto" w:fill="E7F7D9"/>
      </w:tcPr>
    </w:tblStylePr>
  </w:style>
  <w:style w:type="table" w:styleId="Mkatabulky">
    <w:name w:val="Table Grid"/>
    <w:basedOn w:val="Normlntabulka"/>
    <w:uiPriority w:val="59"/>
    <w:rsid w:val="00D07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2D52AA"/>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itgraf">
    <w:name w:val="Tit. graf"/>
    <w:qFormat/>
    <w:rsid w:val="00CF6CD0"/>
    <w:pPr>
      <w:spacing w:after="40" w:line="276" w:lineRule="auto"/>
    </w:pPr>
    <w:rPr>
      <w:rFonts w:ascii="Arial" w:hAnsi="Arial"/>
      <w:b/>
    </w:rPr>
  </w:style>
  <w:style w:type="table" w:customStyle="1" w:styleId="Kalend2">
    <w:name w:val="Kalendář 2"/>
    <w:basedOn w:val="Normlntabulka"/>
    <w:uiPriority w:val="99"/>
    <w:qFormat/>
    <w:rsid w:val="007B7E66"/>
    <w:pPr>
      <w:jc w:val="center"/>
    </w:pPr>
    <w:rPr>
      <w:rFonts w:asciiTheme="minorHAnsi" w:eastAsiaTheme="minorEastAsia" w:hAnsiTheme="minorHAnsi" w:cstheme="minorBidi"/>
      <w:sz w:val="28"/>
      <w:szCs w:val="28"/>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table" w:customStyle="1" w:styleId="Tabulkasmkou2zvraznn11">
    <w:name w:val="Tabulka s mřížkou 2 – zvýraznění 11"/>
    <w:basedOn w:val="Normlntabulka"/>
    <w:uiPriority w:val="47"/>
    <w:rsid w:val="00FB001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2138E1"/>
    <w:pPr>
      <w:autoSpaceDE w:val="0"/>
      <w:autoSpaceDN w:val="0"/>
      <w:adjustRightInd w:val="0"/>
    </w:pPr>
    <w:rPr>
      <w:rFonts w:ascii="Arial" w:hAnsi="Arial" w:cs="Arial"/>
      <w:color w:val="000000"/>
      <w:sz w:val="24"/>
      <w:szCs w:val="24"/>
    </w:rPr>
  </w:style>
  <w:style w:type="paragraph" w:styleId="Zkladntext">
    <w:name w:val="Body Text"/>
    <w:basedOn w:val="Normln"/>
    <w:link w:val="ZkladntextChar"/>
    <w:uiPriority w:val="99"/>
    <w:unhideWhenUsed/>
    <w:rsid w:val="00255FEA"/>
    <w:pPr>
      <w:spacing w:after="120" w:line="240" w:lineRule="auto"/>
    </w:pPr>
    <w:rPr>
      <w:rFonts w:ascii="Times New Roman" w:eastAsia="Times New Roman" w:hAnsi="Times New Roman"/>
      <w:sz w:val="24"/>
      <w:szCs w:val="24"/>
      <w:lang w:eastAsia="cs-CZ"/>
    </w:rPr>
  </w:style>
  <w:style w:type="character" w:customStyle="1" w:styleId="ZkladntextChar">
    <w:name w:val="Základní text Char"/>
    <w:basedOn w:val="Standardnpsmoodstavce"/>
    <w:link w:val="Zkladntext"/>
    <w:uiPriority w:val="99"/>
    <w:rsid w:val="00255FEA"/>
    <w:rPr>
      <w:sz w:val="24"/>
      <w:szCs w:val="24"/>
    </w:rPr>
  </w:style>
  <w:style w:type="table" w:styleId="Tabulkasmkou2zvraznn1">
    <w:name w:val="Grid Table 2 Accent 1"/>
    <w:basedOn w:val="Normlntabulka"/>
    <w:uiPriority w:val="47"/>
    <w:rsid w:val="00A85ABC"/>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Barevntabulkasmkou6zvraznn1">
    <w:name w:val="Grid Table 6 Colorful Accent 1"/>
    <w:basedOn w:val="Normlntabulka"/>
    <w:uiPriority w:val="51"/>
    <w:rsid w:val="00A85AB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normaltextrun">
    <w:name w:val="normaltextrun"/>
    <w:basedOn w:val="Standardnpsmoodstavce"/>
    <w:rsid w:val="00E31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69425">
      <w:bodyDiv w:val="1"/>
      <w:marLeft w:val="0"/>
      <w:marRight w:val="0"/>
      <w:marTop w:val="0"/>
      <w:marBottom w:val="0"/>
      <w:divBdr>
        <w:top w:val="none" w:sz="0" w:space="0" w:color="auto"/>
        <w:left w:val="none" w:sz="0" w:space="0" w:color="auto"/>
        <w:bottom w:val="none" w:sz="0" w:space="0" w:color="auto"/>
        <w:right w:val="none" w:sz="0" w:space="0" w:color="auto"/>
      </w:divBdr>
    </w:div>
    <w:div w:id="53740955">
      <w:bodyDiv w:val="1"/>
      <w:marLeft w:val="0"/>
      <w:marRight w:val="0"/>
      <w:marTop w:val="0"/>
      <w:marBottom w:val="0"/>
      <w:divBdr>
        <w:top w:val="none" w:sz="0" w:space="0" w:color="auto"/>
        <w:left w:val="none" w:sz="0" w:space="0" w:color="auto"/>
        <w:bottom w:val="none" w:sz="0" w:space="0" w:color="auto"/>
        <w:right w:val="none" w:sz="0" w:space="0" w:color="auto"/>
      </w:divBdr>
      <w:divsChild>
        <w:div w:id="662897454">
          <w:marLeft w:val="0"/>
          <w:marRight w:val="0"/>
          <w:marTop w:val="0"/>
          <w:marBottom w:val="0"/>
          <w:divBdr>
            <w:top w:val="none" w:sz="0" w:space="0" w:color="auto"/>
            <w:left w:val="none" w:sz="0" w:space="0" w:color="auto"/>
            <w:bottom w:val="none" w:sz="0" w:space="0" w:color="auto"/>
            <w:right w:val="none" w:sz="0" w:space="0" w:color="auto"/>
          </w:divBdr>
        </w:div>
      </w:divsChild>
    </w:div>
    <w:div w:id="59834888">
      <w:bodyDiv w:val="1"/>
      <w:marLeft w:val="240"/>
      <w:marRight w:val="240"/>
      <w:marTop w:val="240"/>
      <w:marBottom w:val="60"/>
      <w:divBdr>
        <w:top w:val="none" w:sz="0" w:space="0" w:color="auto"/>
        <w:left w:val="none" w:sz="0" w:space="0" w:color="auto"/>
        <w:bottom w:val="none" w:sz="0" w:space="0" w:color="auto"/>
        <w:right w:val="none" w:sz="0" w:space="0" w:color="auto"/>
      </w:divBdr>
      <w:divsChild>
        <w:div w:id="639918787">
          <w:marLeft w:val="0"/>
          <w:marRight w:val="0"/>
          <w:marTop w:val="0"/>
          <w:marBottom w:val="0"/>
          <w:divBdr>
            <w:top w:val="none" w:sz="0" w:space="0" w:color="auto"/>
            <w:left w:val="none" w:sz="0" w:space="0" w:color="auto"/>
            <w:bottom w:val="single" w:sz="6" w:space="9" w:color="C8C8C8"/>
            <w:right w:val="none" w:sz="0" w:space="0" w:color="auto"/>
          </w:divBdr>
          <w:divsChild>
            <w:div w:id="26297528">
              <w:marLeft w:val="0"/>
              <w:marRight w:val="0"/>
              <w:marTop w:val="0"/>
              <w:marBottom w:val="0"/>
              <w:divBdr>
                <w:top w:val="none" w:sz="0" w:space="0" w:color="auto"/>
                <w:left w:val="none" w:sz="0" w:space="0" w:color="auto"/>
                <w:bottom w:val="none" w:sz="0" w:space="0" w:color="auto"/>
                <w:right w:val="none" w:sz="0" w:space="0" w:color="auto"/>
              </w:divBdr>
            </w:div>
            <w:div w:id="209077662">
              <w:marLeft w:val="0"/>
              <w:marRight w:val="0"/>
              <w:marTop w:val="0"/>
              <w:marBottom w:val="0"/>
              <w:divBdr>
                <w:top w:val="none" w:sz="0" w:space="0" w:color="auto"/>
                <w:left w:val="none" w:sz="0" w:space="0" w:color="auto"/>
                <w:bottom w:val="none" w:sz="0" w:space="0" w:color="auto"/>
                <w:right w:val="none" w:sz="0" w:space="0" w:color="auto"/>
              </w:divBdr>
            </w:div>
            <w:div w:id="245310108">
              <w:marLeft w:val="0"/>
              <w:marRight w:val="0"/>
              <w:marTop w:val="0"/>
              <w:marBottom w:val="0"/>
              <w:divBdr>
                <w:top w:val="none" w:sz="0" w:space="0" w:color="auto"/>
                <w:left w:val="none" w:sz="0" w:space="0" w:color="auto"/>
                <w:bottom w:val="none" w:sz="0" w:space="0" w:color="auto"/>
                <w:right w:val="none" w:sz="0" w:space="0" w:color="auto"/>
              </w:divBdr>
            </w:div>
            <w:div w:id="731004649">
              <w:marLeft w:val="0"/>
              <w:marRight w:val="0"/>
              <w:marTop w:val="0"/>
              <w:marBottom w:val="0"/>
              <w:divBdr>
                <w:top w:val="none" w:sz="0" w:space="0" w:color="auto"/>
                <w:left w:val="none" w:sz="0" w:space="0" w:color="auto"/>
                <w:bottom w:val="none" w:sz="0" w:space="0" w:color="auto"/>
                <w:right w:val="none" w:sz="0" w:space="0" w:color="auto"/>
              </w:divBdr>
            </w:div>
            <w:div w:id="970789811">
              <w:marLeft w:val="0"/>
              <w:marRight w:val="0"/>
              <w:marTop w:val="0"/>
              <w:marBottom w:val="0"/>
              <w:divBdr>
                <w:top w:val="none" w:sz="0" w:space="0" w:color="auto"/>
                <w:left w:val="none" w:sz="0" w:space="0" w:color="auto"/>
                <w:bottom w:val="none" w:sz="0" w:space="0" w:color="auto"/>
                <w:right w:val="none" w:sz="0" w:space="0" w:color="auto"/>
              </w:divBdr>
            </w:div>
            <w:div w:id="1012537029">
              <w:marLeft w:val="0"/>
              <w:marRight w:val="0"/>
              <w:marTop w:val="0"/>
              <w:marBottom w:val="0"/>
              <w:divBdr>
                <w:top w:val="none" w:sz="0" w:space="0" w:color="auto"/>
                <w:left w:val="none" w:sz="0" w:space="0" w:color="auto"/>
                <w:bottom w:val="none" w:sz="0" w:space="0" w:color="auto"/>
                <w:right w:val="none" w:sz="0" w:space="0" w:color="auto"/>
              </w:divBdr>
            </w:div>
            <w:div w:id="1270045020">
              <w:marLeft w:val="0"/>
              <w:marRight w:val="0"/>
              <w:marTop w:val="0"/>
              <w:marBottom w:val="0"/>
              <w:divBdr>
                <w:top w:val="none" w:sz="0" w:space="0" w:color="auto"/>
                <w:left w:val="none" w:sz="0" w:space="0" w:color="auto"/>
                <w:bottom w:val="none" w:sz="0" w:space="0" w:color="auto"/>
                <w:right w:val="none" w:sz="0" w:space="0" w:color="auto"/>
              </w:divBdr>
            </w:div>
            <w:div w:id="1365860873">
              <w:marLeft w:val="0"/>
              <w:marRight w:val="0"/>
              <w:marTop w:val="0"/>
              <w:marBottom w:val="0"/>
              <w:divBdr>
                <w:top w:val="none" w:sz="0" w:space="0" w:color="auto"/>
                <w:left w:val="none" w:sz="0" w:space="0" w:color="auto"/>
                <w:bottom w:val="none" w:sz="0" w:space="0" w:color="auto"/>
                <w:right w:val="none" w:sz="0" w:space="0" w:color="auto"/>
              </w:divBdr>
            </w:div>
            <w:div w:id="1742411595">
              <w:marLeft w:val="0"/>
              <w:marRight w:val="0"/>
              <w:marTop w:val="0"/>
              <w:marBottom w:val="0"/>
              <w:divBdr>
                <w:top w:val="none" w:sz="0" w:space="0" w:color="auto"/>
                <w:left w:val="none" w:sz="0" w:space="0" w:color="auto"/>
                <w:bottom w:val="none" w:sz="0" w:space="0" w:color="auto"/>
                <w:right w:val="none" w:sz="0" w:space="0" w:color="auto"/>
              </w:divBdr>
            </w:div>
            <w:div w:id="20979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3968">
      <w:bodyDiv w:val="1"/>
      <w:marLeft w:val="0"/>
      <w:marRight w:val="0"/>
      <w:marTop w:val="0"/>
      <w:marBottom w:val="0"/>
      <w:divBdr>
        <w:top w:val="none" w:sz="0" w:space="0" w:color="auto"/>
        <w:left w:val="none" w:sz="0" w:space="0" w:color="auto"/>
        <w:bottom w:val="none" w:sz="0" w:space="0" w:color="auto"/>
        <w:right w:val="none" w:sz="0" w:space="0" w:color="auto"/>
      </w:divBdr>
      <w:divsChild>
        <w:div w:id="161287191">
          <w:marLeft w:val="446"/>
          <w:marRight w:val="0"/>
          <w:marTop w:val="0"/>
          <w:marBottom w:val="0"/>
          <w:divBdr>
            <w:top w:val="none" w:sz="0" w:space="0" w:color="auto"/>
            <w:left w:val="none" w:sz="0" w:space="0" w:color="auto"/>
            <w:bottom w:val="none" w:sz="0" w:space="0" w:color="auto"/>
            <w:right w:val="none" w:sz="0" w:space="0" w:color="auto"/>
          </w:divBdr>
        </w:div>
        <w:div w:id="259873365">
          <w:marLeft w:val="446"/>
          <w:marRight w:val="0"/>
          <w:marTop w:val="0"/>
          <w:marBottom w:val="0"/>
          <w:divBdr>
            <w:top w:val="none" w:sz="0" w:space="0" w:color="auto"/>
            <w:left w:val="none" w:sz="0" w:space="0" w:color="auto"/>
            <w:bottom w:val="none" w:sz="0" w:space="0" w:color="auto"/>
            <w:right w:val="none" w:sz="0" w:space="0" w:color="auto"/>
          </w:divBdr>
        </w:div>
        <w:div w:id="1864200280">
          <w:marLeft w:val="1584"/>
          <w:marRight w:val="0"/>
          <w:marTop w:val="0"/>
          <w:marBottom w:val="0"/>
          <w:divBdr>
            <w:top w:val="none" w:sz="0" w:space="0" w:color="auto"/>
            <w:left w:val="none" w:sz="0" w:space="0" w:color="auto"/>
            <w:bottom w:val="none" w:sz="0" w:space="0" w:color="auto"/>
            <w:right w:val="none" w:sz="0" w:space="0" w:color="auto"/>
          </w:divBdr>
        </w:div>
        <w:div w:id="1898513414">
          <w:marLeft w:val="1584"/>
          <w:marRight w:val="0"/>
          <w:marTop w:val="0"/>
          <w:marBottom w:val="0"/>
          <w:divBdr>
            <w:top w:val="none" w:sz="0" w:space="0" w:color="auto"/>
            <w:left w:val="none" w:sz="0" w:space="0" w:color="auto"/>
            <w:bottom w:val="none" w:sz="0" w:space="0" w:color="auto"/>
            <w:right w:val="none" w:sz="0" w:space="0" w:color="auto"/>
          </w:divBdr>
        </w:div>
      </w:divsChild>
    </w:div>
    <w:div w:id="78214620">
      <w:bodyDiv w:val="1"/>
      <w:marLeft w:val="0"/>
      <w:marRight w:val="0"/>
      <w:marTop w:val="0"/>
      <w:marBottom w:val="0"/>
      <w:divBdr>
        <w:top w:val="none" w:sz="0" w:space="0" w:color="auto"/>
        <w:left w:val="none" w:sz="0" w:space="0" w:color="auto"/>
        <w:bottom w:val="none" w:sz="0" w:space="0" w:color="auto"/>
        <w:right w:val="none" w:sz="0" w:space="0" w:color="auto"/>
      </w:divBdr>
    </w:div>
    <w:div w:id="82531937">
      <w:bodyDiv w:val="1"/>
      <w:marLeft w:val="0"/>
      <w:marRight w:val="0"/>
      <w:marTop w:val="0"/>
      <w:marBottom w:val="0"/>
      <w:divBdr>
        <w:top w:val="none" w:sz="0" w:space="0" w:color="auto"/>
        <w:left w:val="none" w:sz="0" w:space="0" w:color="auto"/>
        <w:bottom w:val="none" w:sz="0" w:space="0" w:color="auto"/>
        <w:right w:val="none" w:sz="0" w:space="0" w:color="auto"/>
      </w:divBdr>
    </w:div>
    <w:div w:id="101801329">
      <w:bodyDiv w:val="1"/>
      <w:marLeft w:val="0"/>
      <w:marRight w:val="0"/>
      <w:marTop w:val="0"/>
      <w:marBottom w:val="0"/>
      <w:divBdr>
        <w:top w:val="none" w:sz="0" w:space="0" w:color="auto"/>
        <w:left w:val="none" w:sz="0" w:space="0" w:color="auto"/>
        <w:bottom w:val="none" w:sz="0" w:space="0" w:color="auto"/>
        <w:right w:val="none" w:sz="0" w:space="0" w:color="auto"/>
      </w:divBdr>
    </w:div>
    <w:div w:id="102502094">
      <w:bodyDiv w:val="1"/>
      <w:marLeft w:val="0"/>
      <w:marRight w:val="0"/>
      <w:marTop w:val="0"/>
      <w:marBottom w:val="0"/>
      <w:divBdr>
        <w:top w:val="none" w:sz="0" w:space="0" w:color="auto"/>
        <w:left w:val="none" w:sz="0" w:space="0" w:color="auto"/>
        <w:bottom w:val="none" w:sz="0" w:space="0" w:color="auto"/>
        <w:right w:val="none" w:sz="0" w:space="0" w:color="auto"/>
      </w:divBdr>
    </w:div>
    <w:div w:id="112555617">
      <w:bodyDiv w:val="1"/>
      <w:marLeft w:val="0"/>
      <w:marRight w:val="0"/>
      <w:marTop w:val="0"/>
      <w:marBottom w:val="0"/>
      <w:divBdr>
        <w:top w:val="none" w:sz="0" w:space="0" w:color="auto"/>
        <w:left w:val="none" w:sz="0" w:space="0" w:color="auto"/>
        <w:bottom w:val="none" w:sz="0" w:space="0" w:color="auto"/>
        <w:right w:val="none" w:sz="0" w:space="0" w:color="auto"/>
      </w:divBdr>
    </w:div>
    <w:div w:id="121311197">
      <w:bodyDiv w:val="1"/>
      <w:marLeft w:val="0"/>
      <w:marRight w:val="0"/>
      <w:marTop w:val="0"/>
      <w:marBottom w:val="0"/>
      <w:divBdr>
        <w:top w:val="none" w:sz="0" w:space="0" w:color="auto"/>
        <w:left w:val="none" w:sz="0" w:space="0" w:color="auto"/>
        <w:bottom w:val="none" w:sz="0" w:space="0" w:color="auto"/>
        <w:right w:val="none" w:sz="0" w:space="0" w:color="auto"/>
      </w:divBdr>
    </w:div>
    <w:div w:id="125852843">
      <w:bodyDiv w:val="1"/>
      <w:marLeft w:val="0"/>
      <w:marRight w:val="0"/>
      <w:marTop w:val="0"/>
      <w:marBottom w:val="0"/>
      <w:divBdr>
        <w:top w:val="none" w:sz="0" w:space="0" w:color="auto"/>
        <w:left w:val="none" w:sz="0" w:space="0" w:color="auto"/>
        <w:bottom w:val="none" w:sz="0" w:space="0" w:color="auto"/>
        <w:right w:val="none" w:sz="0" w:space="0" w:color="auto"/>
      </w:divBdr>
      <w:divsChild>
        <w:div w:id="388380509">
          <w:marLeft w:val="0"/>
          <w:marRight w:val="0"/>
          <w:marTop w:val="86"/>
          <w:marBottom w:val="0"/>
          <w:divBdr>
            <w:top w:val="none" w:sz="0" w:space="0" w:color="auto"/>
            <w:left w:val="none" w:sz="0" w:space="0" w:color="auto"/>
            <w:bottom w:val="none" w:sz="0" w:space="0" w:color="auto"/>
            <w:right w:val="none" w:sz="0" w:space="0" w:color="auto"/>
          </w:divBdr>
        </w:div>
        <w:div w:id="684984384">
          <w:marLeft w:val="0"/>
          <w:marRight w:val="0"/>
          <w:marTop w:val="86"/>
          <w:marBottom w:val="0"/>
          <w:divBdr>
            <w:top w:val="none" w:sz="0" w:space="0" w:color="auto"/>
            <w:left w:val="none" w:sz="0" w:space="0" w:color="auto"/>
            <w:bottom w:val="none" w:sz="0" w:space="0" w:color="auto"/>
            <w:right w:val="none" w:sz="0" w:space="0" w:color="auto"/>
          </w:divBdr>
        </w:div>
        <w:div w:id="705909894">
          <w:marLeft w:val="0"/>
          <w:marRight w:val="0"/>
          <w:marTop w:val="96"/>
          <w:marBottom w:val="0"/>
          <w:divBdr>
            <w:top w:val="none" w:sz="0" w:space="0" w:color="auto"/>
            <w:left w:val="none" w:sz="0" w:space="0" w:color="auto"/>
            <w:bottom w:val="none" w:sz="0" w:space="0" w:color="auto"/>
            <w:right w:val="none" w:sz="0" w:space="0" w:color="auto"/>
          </w:divBdr>
        </w:div>
      </w:divsChild>
    </w:div>
    <w:div w:id="168905975">
      <w:bodyDiv w:val="1"/>
      <w:marLeft w:val="0"/>
      <w:marRight w:val="0"/>
      <w:marTop w:val="0"/>
      <w:marBottom w:val="0"/>
      <w:divBdr>
        <w:top w:val="none" w:sz="0" w:space="0" w:color="auto"/>
        <w:left w:val="none" w:sz="0" w:space="0" w:color="auto"/>
        <w:bottom w:val="none" w:sz="0" w:space="0" w:color="auto"/>
        <w:right w:val="none" w:sz="0" w:space="0" w:color="auto"/>
      </w:divBdr>
    </w:div>
    <w:div w:id="176626566">
      <w:bodyDiv w:val="1"/>
      <w:marLeft w:val="0"/>
      <w:marRight w:val="0"/>
      <w:marTop w:val="0"/>
      <w:marBottom w:val="0"/>
      <w:divBdr>
        <w:top w:val="none" w:sz="0" w:space="0" w:color="auto"/>
        <w:left w:val="none" w:sz="0" w:space="0" w:color="auto"/>
        <w:bottom w:val="none" w:sz="0" w:space="0" w:color="auto"/>
        <w:right w:val="none" w:sz="0" w:space="0" w:color="auto"/>
      </w:divBdr>
    </w:div>
    <w:div w:id="204106032">
      <w:bodyDiv w:val="1"/>
      <w:marLeft w:val="0"/>
      <w:marRight w:val="0"/>
      <w:marTop w:val="0"/>
      <w:marBottom w:val="0"/>
      <w:divBdr>
        <w:top w:val="none" w:sz="0" w:space="0" w:color="auto"/>
        <w:left w:val="none" w:sz="0" w:space="0" w:color="auto"/>
        <w:bottom w:val="none" w:sz="0" w:space="0" w:color="auto"/>
        <w:right w:val="none" w:sz="0" w:space="0" w:color="auto"/>
      </w:divBdr>
    </w:div>
    <w:div w:id="219942626">
      <w:bodyDiv w:val="1"/>
      <w:marLeft w:val="0"/>
      <w:marRight w:val="0"/>
      <w:marTop w:val="0"/>
      <w:marBottom w:val="0"/>
      <w:divBdr>
        <w:top w:val="none" w:sz="0" w:space="0" w:color="auto"/>
        <w:left w:val="none" w:sz="0" w:space="0" w:color="auto"/>
        <w:bottom w:val="none" w:sz="0" w:space="0" w:color="auto"/>
        <w:right w:val="none" w:sz="0" w:space="0" w:color="auto"/>
      </w:divBdr>
    </w:div>
    <w:div w:id="249387125">
      <w:bodyDiv w:val="1"/>
      <w:marLeft w:val="0"/>
      <w:marRight w:val="0"/>
      <w:marTop w:val="0"/>
      <w:marBottom w:val="0"/>
      <w:divBdr>
        <w:top w:val="none" w:sz="0" w:space="0" w:color="auto"/>
        <w:left w:val="none" w:sz="0" w:space="0" w:color="auto"/>
        <w:bottom w:val="none" w:sz="0" w:space="0" w:color="auto"/>
        <w:right w:val="none" w:sz="0" w:space="0" w:color="auto"/>
      </w:divBdr>
    </w:div>
    <w:div w:id="261958616">
      <w:bodyDiv w:val="1"/>
      <w:marLeft w:val="0"/>
      <w:marRight w:val="0"/>
      <w:marTop w:val="0"/>
      <w:marBottom w:val="0"/>
      <w:divBdr>
        <w:top w:val="none" w:sz="0" w:space="0" w:color="auto"/>
        <w:left w:val="none" w:sz="0" w:space="0" w:color="auto"/>
        <w:bottom w:val="none" w:sz="0" w:space="0" w:color="auto"/>
        <w:right w:val="none" w:sz="0" w:space="0" w:color="auto"/>
      </w:divBdr>
    </w:div>
    <w:div w:id="276183237">
      <w:bodyDiv w:val="1"/>
      <w:marLeft w:val="0"/>
      <w:marRight w:val="0"/>
      <w:marTop w:val="0"/>
      <w:marBottom w:val="0"/>
      <w:divBdr>
        <w:top w:val="none" w:sz="0" w:space="0" w:color="auto"/>
        <w:left w:val="none" w:sz="0" w:space="0" w:color="auto"/>
        <w:bottom w:val="none" w:sz="0" w:space="0" w:color="auto"/>
        <w:right w:val="none" w:sz="0" w:space="0" w:color="auto"/>
      </w:divBdr>
    </w:div>
    <w:div w:id="280263160">
      <w:bodyDiv w:val="1"/>
      <w:marLeft w:val="0"/>
      <w:marRight w:val="0"/>
      <w:marTop w:val="0"/>
      <w:marBottom w:val="0"/>
      <w:divBdr>
        <w:top w:val="none" w:sz="0" w:space="0" w:color="auto"/>
        <w:left w:val="none" w:sz="0" w:space="0" w:color="auto"/>
        <w:bottom w:val="none" w:sz="0" w:space="0" w:color="auto"/>
        <w:right w:val="none" w:sz="0" w:space="0" w:color="auto"/>
      </w:divBdr>
    </w:div>
    <w:div w:id="286133036">
      <w:bodyDiv w:val="1"/>
      <w:marLeft w:val="0"/>
      <w:marRight w:val="0"/>
      <w:marTop w:val="0"/>
      <w:marBottom w:val="0"/>
      <w:divBdr>
        <w:top w:val="none" w:sz="0" w:space="0" w:color="auto"/>
        <w:left w:val="none" w:sz="0" w:space="0" w:color="auto"/>
        <w:bottom w:val="none" w:sz="0" w:space="0" w:color="auto"/>
        <w:right w:val="none" w:sz="0" w:space="0" w:color="auto"/>
      </w:divBdr>
    </w:div>
    <w:div w:id="287785832">
      <w:bodyDiv w:val="1"/>
      <w:marLeft w:val="0"/>
      <w:marRight w:val="0"/>
      <w:marTop w:val="0"/>
      <w:marBottom w:val="0"/>
      <w:divBdr>
        <w:top w:val="none" w:sz="0" w:space="0" w:color="auto"/>
        <w:left w:val="none" w:sz="0" w:space="0" w:color="auto"/>
        <w:bottom w:val="none" w:sz="0" w:space="0" w:color="auto"/>
        <w:right w:val="none" w:sz="0" w:space="0" w:color="auto"/>
      </w:divBdr>
    </w:div>
    <w:div w:id="294263389">
      <w:bodyDiv w:val="1"/>
      <w:marLeft w:val="0"/>
      <w:marRight w:val="0"/>
      <w:marTop w:val="0"/>
      <w:marBottom w:val="0"/>
      <w:divBdr>
        <w:top w:val="none" w:sz="0" w:space="0" w:color="auto"/>
        <w:left w:val="none" w:sz="0" w:space="0" w:color="auto"/>
        <w:bottom w:val="none" w:sz="0" w:space="0" w:color="auto"/>
        <w:right w:val="none" w:sz="0" w:space="0" w:color="auto"/>
      </w:divBdr>
    </w:div>
    <w:div w:id="312174668">
      <w:bodyDiv w:val="1"/>
      <w:marLeft w:val="0"/>
      <w:marRight w:val="0"/>
      <w:marTop w:val="0"/>
      <w:marBottom w:val="0"/>
      <w:divBdr>
        <w:top w:val="none" w:sz="0" w:space="0" w:color="auto"/>
        <w:left w:val="none" w:sz="0" w:space="0" w:color="auto"/>
        <w:bottom w:val="none" w:sz="0" w:space="0" w:color="auto"/>
        <w:right w:val="none" w:sz="0" w:space="0" w:color="auto"/>
      </w:divBdr>
    </w:div>
    <w:div w:id="312218175">
      <w:bodyDiv w:val="1"/>
      <w:marLeft w:val="0"/>
      <w:marRight w:val="0"/>
      <w:marTop w:val="0"/>
      <w:marBottom w:val="0"/>
      <w:divBdr>
        <w:top w:val="none" w:sz="0" w:space="0" w:color="auto"/>
        <w:left w:val="none" w:sz="0" w:space="0" w:color="auto"/>
        <w:bottom w:val="none" w:sz="0" w:space="0" w:color="auto"/>
        <w:right w:val="none" w:sz="0" w:space="0" w:color="auto"/>
      </w:divBdr>
    </w:div>
    <w:div w:id="376319613">
      <w:bodyDiv w:val="1"/>
      <w:marLeft w:val="0"/>
      <w:marRight w:val="0"/>
      <w:marTop w:val="0"/>
      <w:marBottom w:val="0"/>
      <w:divBdr>
        <w:top w:val="none" w:sz="0" w:space="0" w:color="auto"/>
        <w:left w:val="none" w:sz="0" w:space="0" w:color="auto"/>
        <w:bottom w:val="none" w:sz="0" w:space="0" w:color="auto"/>
        <w:right w:val="none" w:sz="0" w:space="0" w:color="auto"/>
      </w:divBdr>
    </w:div>
    <w:div w:id="404843422">
      <w:bodyDiv w:val="1"/>
      <w:marLeft w:val="60"/>
      <w:marRight w:val="60"/>
      <w:marTop w:val="60"/>
      <w:marBottom w:val="15"/>
      <w:divBdr>
        <w:top w:val="none" w:sz="0" w:space="0" w:color="auto"/>
        <w:left w:val="none" w:sz="0" w:space="0" w:color="auto"/>
        <w:bottom w:val="none" w:sz="0" w:space="0" w:color="auto"/>
        <w:right w:val="none" w:sz="0" w:space="0" w:color="auto"/>
      </w:divBdr>
      <w:divsChild>
        <w:div w:id="1684627757">
          <w:marLeft w:val="0"/>
          <w:marRight w:val="0"/>
          <w:marTop w:val="0"/>
          <w:marBottom w:val="0"/>
          <w:divBdr>
            <w:top w:val="none" w:sz="0" w:space="0" w:color="auto"/>
            <w:left w:val="none" w:sz="0" w:space="0" w:color="auto"/>
            <w:bottom w:val="none" w:sz="0" w:space="0" w:color="auto"/>
            <w:right w:val="none" w:sz="0" w:space="0" w:color="auto"/>
          </w:divBdr>
        </w:div>
      </w:divsChild>
    </w:div>
    <w:div w:id="410002672">
      <w:bodyDiv w:val="1"/>
      <w:marLeft w:val="0"/>
      <w:marRight w:val="0"/>
      <w:marTop w:val="0"/>
      <w:marBottom w:val="0"/>
      <w:divBdr>
        <w:top w:val="none" w:sz="0" w:space="0" w:color="auto"/>
        <w:left w:val="none" w:sz="0" w:space="0" w:color="auto"/>
        <w:bottom w:val="none" w:sz="0" w:space="0" w:color="auto"/>
        <w:right w:val="none" w:sz="0" w:space="0" w:color="auto"/>
      </w:divBdr>
    </w:div>
    <w:div w:id="437143792">
      <w:bodyDiv w:val="1"/>
      <w:marLeft w:val="0"/>
      <w:marRight w:val="0"/>
      <w:marTop w:val="0"/>
      <w:marBottom w:val="0"/>
      <w:divBdr>
        <w:top w:val="none" w:sz="0" w:space="0" w:color="auto"/>
        <w:left w:val="none" w:sz="0" w:space="0" w:color="auto"/>
        <w:bottom w:val="none" w:sz="0" w:space="0" w:color="auto"/>
        <w:right w:val="none" w:sz="0" w:space="0" w:color="auto"/>
      </w:divBdr>
    </w:div>
    <w:div w:id="449007578">
      <w:bodyDiv w:val="1"/>
      <w:marLeft w:val="0"/>
      <w:marRight w:val="0"/>
      <w:marTop w:val="0"/>
      <w:marBottom w:val="0"/>
      <w:divBdr>
        <w:top w:val="none" w:sz="0" w:space="0" w:color="auto"/>
        <w:left w:val="none" w:sz="0" w:space="0" w:color="auto"/>
        <w:bottom w:val="none" w:sz="0" w:space="0" w:color="auto"/>
        <w:right w:val="none" w:sz="0" w:space="0" w:color="auto"/>
      </w:divBdr>
    </w:div>
    <w:div w:id="449663514">
      <w:bodyDiv w:val="1"/>
      <w:marLeft w:val="0"/>
      <w:marRight w:val="0"/>
      <w:marTop w:val="0"/>
      <w:marBottom w:val="0"/>
      <w:divBdr>
        <w:top w:val="none" w:sz="0" w:space="0" w:color="auto"/>
        <w:left w:val="none" w:sz="0" w:space="0" w:color="auto"/>
        <w:bottom w:val="none" w:sz="0" w:space="0" w:color="auto"/>
        <w:right w:val="none" w:sz="0" w:space="0" w:color="auto"/>
      </w:divBdr>
    </w:div>
    <w:div w:id="455835194">
      <w:bodyDiv w:val="1"/>
      <w:marLeft w:val="0"/>
      <w:marRight w:val="0"/>
      <w:marTop w:val="0"/>
      <w:marBottom w:val="0"/>
      <w:divBdr>
        <w:top w:val="none" w:sz="0" w:space="0" w:color="auto"/>
        <w:left w:val="none" w:sz="0" w:space="0" w:color="auto"/>
        <w:bottom w:val="none" w:sz="0" w:space="0" w:color="auto"/>
        <w:right w:val="none" w:sz="0" w:space="0" w:color="auto"/>
      </w:divBdr>
    </w:div>
    <w:div w:id="470287824">
      <w:bodyDiv w:val="1"/>
      <w:marLeft w:val="0"/>
      <w:marRight w:val="0"/>
      <w:marTop w:val="0"/>
      <w:marBottom w:val="0"/>
      <w:divBdr>
        <w:top w:val="none" w:sz="0" w:space="0" w:color="auto"/>
        <w:left w:val="none" w:sz="0" w:space="0" w:color="auto"/>
        <w:bottom w:val="none" w:sz="0" w:space="0" w:color="auto"/>
        <w:right w:val="none" w:sz="0" w:space="0" w:color="auto"/>
      </w:divBdr>
    </w:div>
    <w:div w:id="488444095">
      <w:bodyDiv w:val="1"/>
      <w:marLeft w:val="0"/>
      <w:marRight w:val="0"/>
      <w:marTop w:val="0"/>
      <w:marBottom w:val="0"/>
      <w:divBdr>
        <w:top w:val="none" w:sz="0" w:space="0" w:color="auto"/>
        <w:left w:val="none" w:sz="0" w:space="0" w:color="auto"/>
        <w:bottom w:val="none" w:sz="0" w:space="0" w:color="auto"/>
        <w:right w:val="none" w:sz="0" w:space="0" w:color="auto"/>
      </w:divBdr>
    </w:div>
    <w:div w:id="513225948">
      <w:bodyDiv w:val="1"/>
      <w:marLeft w:val="0"/>
      <w:marRight w:val="0"/>
      <w:marTop w:val="0"/>
      <w:marBottom w:val="0"/>
      <w:divBdr>
        <w:top w:val="none" w:sz="0" w:space="0" w:color="auto"/>
        <w:left w:val="none" w:sz="0" w:space="0" w:color="auto"/>
        <w:bottom w:val="none" w:sz="0" w:space="0" w:color="auto"/>
        <w:right w:val="none" w:sz="0" w:space="0" w:color="auto"/>
      </w:divBdr>
      <w:divsChild>
        <w:div w:id="12346059">
          <w:marLeft w:val="1584"/>
          <w:marRight w:val="0"/>
          <w:marTop w:val="0"/>
          <w:marBottom w:val="0"/>
          <w:divBdr>
            <w:top w:val="none" w:sz="0" w:space="0" w:color="auto"/>
            <w:left w:val="none" w:sz="0" w:space="0" w:color="auto"/>
            <w:bottom w:val="none" w:sz="0" w:space="0" w:color="auto"/>
            <w:right w:val="none" w:sz="0" w:space="0" w:color="auto"/>
          </w:divBdr>
        </w:div>
        <w:div w:id="726222639">
          <w:marLeft w:val="1584"/>
          <w:marRight w:val="0"/>
          <w:marTop w:val="0"/>
          <w:marBottom w:val="0"/>
          <w:divBdr>
            <w:top w:val="none" w:sz="0" w:space="0" w:color="auto"/>
            <w:left w:val="none" w:sz="0" w:space="0" w:color="auto"/>
            <w:bottom w:val="none" w:sz="0" w:space="0" w:color="auto"/>
            <w:right w:val="none" w:sz="0" w:space="0" w:color="auto"/>
          </w:divBdr>
        </w:div>
        <w:div w:id="1102065862">
          <w:marLeft w:val="446"/>
          <w:marRight w:val="0"/>
          <w:marTop w:val="0"/>
          <w:marBottom w:val="0"/>
          <w:divBdr>
            <w:top w:val="none" w:sz="0" w:space="0" w:color="auto"/>
            <w:left w:val="none" w:sz="0" w:space="0" w:color="auto"/>
            <w:bottom w:val="none" w:sz="0" w:space="0" w:color="auto"/>
            <w:right w:val="none" w:sz="0" w:space="0" w:color="auto"/>
          </w:divBdr>
        </w:div>
        <w:div w:id="1116605782">
          <w:marLeft w:val="446"/>
          <w:marRight w:val="0"/>
          <w:marTop w:val="0"/>
          <w:marBottom w:val="0"/>
          <w:divBdr>
            <w:top w:val="none" w:sz="0" w:space="0" w:color="auto"/>
            <w:left w:val="none" w:sz="0" w:space="0" w:color="auto"/>
            <w:bottom w:val="none" w:sz="0" w:space="0" w:color="auto"/>
            <w:right w:val="none" w:sz="0" w:space="0" w:color="auto"/>
          </w:divBdr>
        </w:div>
      </w:divsChild>
    </w:div>
    <w:div w:id="513419827">
      <w:bodyDiv w:val="1"/>
      <w:marLeft w:val="0"/>
      <w:marRight w:val="0"/>
      <w:marTop w:val="0"/>
      <w:marBottom w:val="0"/>
      <w:divBdr>
        <w:top w:val="none" w:sz="0" w:space="0" w:color="auto"/>
        <w:left w:val="none" w:sz="0" w:space="0" w:color="auto"/>
        <w:bottom w:val="none" w:sz="0" w:space="0" w:color="auto"/>
        <w:right w:val="none" w:sz="0" w:space="0" w:color="auto"/>
      </w:divBdr>
    </w:div>
    <w:div w:id="518080607">
      <w:bodyDiv w:val="1"/>
      <w:marLeft w:val="0"/>
      <w:marRight w:val="0"/>
      <w:marTop w:val="0"/>
      <w:marBottom w:val="0"/>
      <w:divBdr>
        <w:top w:val="none" w:sz="0" w:space="0" w:color="auto"/>
        <w:left w:val="none" w:sz="0" w:space="0" w:color="auto"/>
        <w:bottom w:val="none" w:sz="0" w:space="0" w:color="auto"/>
        <w:right w:val="none" w:sz="0" w:space="0" w:color="auto"/>
      </w:divBdr>
    </w:div>
    <w:div w:id="518469270">
      <w:bodyDiv w:val="1"/>
      <w:marLeft w:val="0"/>
      <w:marRight w:val="0"/>
      <w:marTop w:val="0"/>
      <w:marBottom w:val="0"/>
      <w:divBdr>
        <w:top w:val="none" w:sz="0" w:space="0" w:color="auto"/>
        <w:left w:val="none" w:sz="0" w:space="0" w:color="auto"/>
        <w:bottom w:val="none" w:sz="0" w:space="0" w:color="auto"/>
        <w:right w:val="none" w:sz="0" w:space="0" w:color="auto"/>
      </w:divBdr>
      <w:divsChild>
        <w:div w:id="1184132131">
          <w:marLeft w:val="547"/>
          <w:marRight w:val="0"/>
          <w:marTop w:val="120"/>
          <w:marBottom w:val="0"/>
          <w:divBdr>
            <w:top w:val="none" w:sz="0" w:space="0" w:color="auto"/>
            <w:left w:val="none" w:sz="0" w:space="0" w:color="auto"/>
            <w:bottom w:val="none" w:sz="0" w:space="0" w:color="auto"/>
            <w:right w:val="none" w:sz="0" w:space="0" w:color="auto"/>
          </w:divBdr>
        </w:div>
      </w:divsChild>
    </w:div>
    <w:div w:id="529757990">
      <w:bodyDiv w:val="1"/>
      <w:marLeft w:val="0"/>
      <w:marRight w:val="0"/>
      <w:marTop w:val="0"/>
      <w:marBottom w:val="0"/>
      <w:divBdr>
        <w:top w:val="none" w:sz="0" w:space="0" w:color="auto"/>
        <w:left w:val="none" w:sz="0" w:space="0" w:color="auto"/>
        <w:bottom w:val="none" w:sz="0" w:space="0" w:color="auto"/>
        <w:right w:val="none" w:sz="0" w:space="0" w:color="auto"/>
      </w:divBdr>
    </w:div>
    <w:div w:id="557935089">
      <w:bodyDiv w:val="1"/>
      <w:marLeft w:val="0"/>
      <w:marRight w:val="0"/>
      <w:marTop w:val="0"/>
      <w:marBottom w:val="0"/>
      <w:divBdr>
        <w:top w:val="none" w:sz="0" w:space="0" w:color="auto"/>
        <w:left w:val="none" w:sz="0" w:space="0" w:color="auto"/>
        <w:bottom w:val="none" w:sz="0" w:space="0" w:color="auto"/>
        <w:right w:val="none" w:sz="0" w:space="0" w:color="auto"/>
      </w:divBdr>
    </w:div>
    <w:div w:id="561063837">
      <w:bodyDiv w:val="1"/>
      <w:marLeft w:val="0"/>
      <w:marRight w:val="0"/>
      <w:marTop w:val="0"/>
      <w:marBottom w:val="0"/>
      <w:divBdr>
        <w:top w:val="none" w:sz="0" w:space="0" w:color="auto"/>
        <w:left w:val="none" w:sz="0" w:space="0" w:color="auto"/>
        <w:bottom w:val="none" w:sz="0" w:space="0" w:color="auto"/>
        <w:right w:val="none" w:sz="0" w:space="0" w:color="auto"/>
      </w:divBdr>
    </w:div>
    <w:div w:id="568347922">
      <w:bodyDiv w:val="1"/>
      <w:marLeft w:val="0"/>
      <w:marRight w:val="0"/>
      <w:marTop w:val="0"/>
      <w:marBottom w:val="0"/>
      <w:divBdr>
        <w:top w:val="none" w:sz="0" w:space="0" w:color="auto"/>
        <w:left w:val="none" w:sz="0" w:space="0" w:color="auto"/>
        <w:bottom w:val="none" w:sz="0" w:space="0" w:color="auto"/>
        <w:right w:val="none" w:sz="0" w:space="0" w:color="auto"/>
      </w:divBdr>
    </w:div>
    <w:div w:id="584000725">
      <w:bodyDiv w:val="1"/>
      <w:marLeft w:val="0"/>
      <w:marRight w:val="0"/>
      <w:marTop w:val="0"/>
      <w:marBottom w:val="0"/>
      <w:divBdr>
        <w:top w:val="none" w:sz="0" w:space="0" w:color="auto"/>
        <w:left w:val="none" w:sz="0" w:space="0" w:color="auto"/>
        <w:bottom w:val="none" w:sz="0" w:space="0" w:color="auto"/>
        <w:right w:val="none" w:sz="0" w:space="0" w:color="auto"/>
      </w:divBdr>
    </w:div>
    <w:div w:id="595210836">
      <w:bodyDiv w:val="1"/>
      <w:marLeft w:val="0"/>
      <w:marRight w:val="0"/>
      <w:marTop w:val="0"/>
      <w:marBottom w:val="0"/>
      <w:divBdr>
        <w:top w:val="none" w:sz="0" w:space="0" w:color="auto"/>
        <w:left w:val="none" w:sz="0" w:space="0" w:color="auto"/>
        <w:bottom w:val="none" w:sz="0" w:space="0" w:color="auto"/>
        <w:right w:val="none" w:sz="0" w:space="0" w:color="auto"/>
      </w:divBdr>
    </w:div>
    <w:div w:id="600138365">
      <w:bodyDiv w:val="1"/>
      <w:marLeft w:val="0"/>
      <w:marRight w:val="0"/>
      <w:marTop w:val="0"/>
      <w:marBottom w:val="0"/>
      <w:divBdr>
        <w:top w:val="none" w:sz="0" w:space="0" w:color="auto"/>
        <w:left w:val="none" w:sz="0" w:space="0" w:color="auto"/>
        <w:bottom w:val="none" w:sz="0" w:space="0" w:color="auto"/>
        <w:right w:val="none" w:sz="0" w:space="0" w:color="auto"/>
      </w:divBdr>
    </w:div>
    <w:div w:id="602759742">
      <w:bodyDiv w:val="1"/>
      <w:marLeft w:val="0"/>
      <w:marRight w:val="0"/>
      <w:marTop w:val="0"/>
      <w:marBottom w:val="0"/>
      <w:divBdr>
        <w:top w:val="none" w:sz="0" w:space="0" w:color="auto"/>
        <w:left w:val="none" w:sz="0" w:space="0" w:color="auto"/>
        <w:bottom w:val="none" w:sz="0" w:space="0" w:color="auto"/>
        <w:right w:val="none" w:sz="0" w:space="0" w:color="auto"/>
      </w:divBdr>
    </w:div>
    <w:div w:id="605384037">
      <w:bodyDiv w:val="1"/>
      <w:marLeft w:val="0"/>
      <w:marRight w:val="0"/>
      <w:marTop w:val="0"/>
      <w:marBottom w:val="0"/>
      <w:divBdr>
        <w:top w:val="none" w:sz="0" w:space="0" w:color="auto"/>
        <w:left w:val="none" w:sz="0" w:space="0" w:color="auto"/>
        <w:bottom w:val="none" w:sz="0" w:space="0" w:color="auto"/>
        <w:right w:val="none" w:sz="0" w:space="0" w:color="auto"/>
      </w:divBdr>
    </w:div>
    <w:div w:id="629938679">
      <w:bodyDiv w:val="1"/>
      <w:marLeft w:val="0"/>
      <w:marRight w:val="0"/>
      <w:marTop w:val="0"/>
      <w:marBottom w:val="0"/>
      <w:divBdr>
        <w:top w:val="none" w:sz="0" w:space="0" w:color="auto"/>
        <w:left w:val="none" w:sz="0" w:space="0" w:color="auto"/>
        <w:bottom w:val="none" w:sz="0" w:space="0" w:color="auto"/>
        <w:right w:val="none" w:sz="0" w:space="0" w:color="auto"/>
      </w:divBdr>
    </w:div>
    <w:div w:id="640429051">
      <w:bodyDiv w:val="1"/>
      <w:marLeft w:val="0"/>
      <w:marRight w:val="0"/>
      <w:marTop w:val="0"/>
      <w:marBottom w:val="0"/>
      <w:divBdr>
        <w:top w:val="none" w:sz="0" w:space="0" w:color="auto"/>
        <w:left w:val="none" w:sz="0" w:space="0" w:color="auto"/>
        <w:bottom w:val="none" w:sz="0" w:space="0" w:color="auto"/>
        <w:right w:val="none" w:sz="0" w:space="0" w:color="auto"/>
      </w:divBdr>
    </w:div>
    <w:div w:id="641084403">
      <w:bodyDiv w:val="1"/>
      <w:marLeft w:val="0"/>
      <w:marRight w:val="0"/>
      <w:marTop w:val="0"/>
      <w:marBottom w:val="0"/>
      <w:divBdr>
        <w:top w:val="none" w:sz="0" w:space="0" w:color="auto"/>
        <w:left w:val="none" w:sz="0" w:space="0" w:color="auto"/>
        <w:bottom w:val="none" w:sz="0" w:space="0" w:color="auto"/>
        <w:right w:val="none" w:sz="0" w:space="0" w:color="auto"/>
      </w:divBdr>
    </w:div>
    <w:div w:id="664824636">
      <w:bodyDiv w:val="1"/>
      <w:marLeft w:val="0"/>
      <w:marRight w:val="0"/>
      <w:marTop w:val="0"/>
      <w:marBottom w:val="0"/>
      <w:divBdr>
        <w:top w:val="none" w:sz="0" w:space="0" w:color="auto"/>
        <w:left w:val="none" w:sz="0" w:space="0" w:color="auto"/>
        <w:bottom w:val="none" w:sz="0" w:space="0" w:color="auto"/>
        <w:right w:val="none" w:sz="0" w:space="0" w:color="auto"/>
      </w:divBdr>
    </w:div>
    <w:div w:id="671107660">
      <w:bodyDiv w:val="1"/>
      <w:marLeft w:val="0"/>
      <w:marRight w:val="0"/>
      <w:marTop w:val="0"/>
      <w:marBottom w:val="0"/>
      <w:divBdr>
        <w:top w:val="none" w:sz="0" w:space="0" w:color="auto"/>
        <w:left w:val="none" w:sz="0" w:space="0" w:color="auto"/>
        <w:bottom w:val="none" w:sz="0" w:space="0" w:color="auto"/>
        <w:right w:val="none" w:sz="0" w:space="0" w:color="auto"/>
      </w:divBdr>
    </w:div>
    <w:div w:id="679358802">
      <w:bodyDiv w:val="1"/>
      <w:marLeft w:val="0"/>
      <w:marRight w:val="0"/>
      <w:marTop w:val="0"/>
      <w:marBottom w:val="0"/>
      <w:divBdr>
        <w:top w:val="none" w:sz="0" w:space="0" w:color="auto"/>
        <w:left w:val="none" w:sz="0" w:space="0" w:color="auto"/>
        <w:bottom w:val="none" w:sz="0" w:space="0" w:color="auto"/>
        <w:right w:val="none" w:sz="0" w:space="0" w:color="auto"/>
      </w:divBdr>
    </w:div>
    <w:div w:id="682976174">
      <w:bodyDiv w:val="1"/>
      <w:marLeft w:val="0"/>
      <w:marRight w:val="0"/>
      <w:marTop w:val="0"/>
      <w:marBottom w:val="0"/>
      <w:divBdr>
        <w:top w:val="none" w:sz="0" w:space="0" w:color="auto"/>
        <w:left w:val="none" w:sz="0" w:space="0" w:color="auto"/>
        <w:bottom w:val="none" w:sz="0" w:space="0" w:color="auto"/>
        <w:right w:val="none" w:sz="0" w:space="0" w:color="auto"/>
      </w:divBdr>
    </w:div>
    <w:div w:id="683938356">
      <w:bodyDiv w:val="1"/>
      <w:marLeft w:val="0"/>
      <w:marRight w:val="0"/>
      <w:marTop w:val="0"/>
      <w:marBottom w:val="0"/>
      <w:divBdr>
        <w:top w:val="none" w:sz="0" w:space="0" w:color="auto"/>
        <w:left w:val="none" w:sz="0" w:space="0" w:color="auto"/>
        <w:bottom w:val="none" w:sz="0" w:space="0" w:color="auto"/>
        <w:right w:val="none" w:sz="0" w:space="0" w:color="auto"/>
      </w:divBdr>
    </w:div>
    <w:div w:id="686635322">
      <w:bodyDiv w:val="1"/>
      <w:marLeft w:val="0"/>
      <w:marRight w:val="0"/>
      <w:marTop w:val="0"/>
      <w:marBottom w:val="0"/>
      <w:divBdr>
        <w:top w:val="none" w:sz="0" w:space="0" w:color="auto"/>
        <w:left w:val="none" w:sz="0" w:space="0" w:color="auto"/>
        <w:bottom w:val="none" w:sz="0" w:space="0" w:color="auto"/>
        <w:right w:val="none" w:sz="0" w:space="0" w:color="auto"/>
      </w:divBdr>
    </w:div>
    <w:div w:id="686951689">
      <w:bodyDiv w:val="1"/>
      <w:marLeft w:val="0"/>
      <w:marRight w:val="0"/>
      <w:marTop w:val="0"/>
      <w:marBottom w:val="0"/>
      <w:divBdr>
        <w:top w:val="none" w:sz="0" w:space="0" w:color="auto"/>
        <w:left w:val="none" w:sz="0" w:space="0" w:color="auto"/>
        <w:bottom w:val="none" w:sz="0" w:space="0" w:color="auto"/>
        <w:right w:val="none" w:sz="0" w:space="0" w:color="auto"/>
      </w:divBdr>
    </w:div>
    <w:div w:id="698092936">
      <w:bodyDiv w:val="1"/>
      <w:marLeft w:val="0"/>
      <w:marRight w:val="0"/>
      <w:marTop w:val="0"/>
      <w:marBottom w:val="0"/>
      <w:divBdr>
        <w:top w:val="none" w:sz="0" w:space="0" w:color="auto"/>
        <w:left w:val="none" w:sz="0" w:space="0" w:color="auto"/>
        <w:bottom w:val="none" w:sz="0" w:space="0" w:color="auto"/>
        <w:right w:val="none" w:sz="0" w:space="0" w:color="auto"/>
      </w:divBdr>
    </w:div>
    <w:div w:id="704212932">
      <w:bodyDiv w:val="1"/>
      <w:marLeft w:val="0"/>
      <w:marRight w:val="0"/>
      <w:marTop w:val="0"/>
      <w:marBottom w:val="0"/>
      <w:divBdr>
        <w:top w:val="none" w:sz="0" w:space="0" w:color="auto"/>
        <w:left w:val="none" w:sz="0" w:space="0" w:color="auto"/>
        <w:bottom w:val="none" w:sz="0" w:space="0" w:color="auto"/>
        <w:right w:val="none" w:sz="0" w:space="0" w:color="auto"/>
      </w:divBdr>
    </w:div>
    <w:div w:id="715004349">
      <w:bodyDiv w:val="1"/>
      <w:marLeft w:val="0"/>
      <w:marRight w:val="0"/>
      <w:marTop w:val="0"/>
      <w:marBottom w:val="0"/>
      <w:divBdr>
        <w:top w:val="none" w:sz="0" w:space="0" w:color="auto"/>
        <w:left w:val="none" w:sz="0" w:space="0" w:color="auto"/>
        <w:bottom w:val="none" w:sz="0" w:space="0" w:color="auto"/>
        <w:right w:val="none" w:sz="0" w:space="0" w:color="auto"/>
      </w:divBdr>
    </w:div>
    <w:div w:id="732582380">
      <w:bodyDiv w:val="1"/>
      <w:marLeft w:val="0"/>
      <w:marRight w:val="0"/>
      <w:marTop w:val="0"/>
      <w:marBottom w:val="0"/>
      <w:divBdr>
        <w:top w:val="none" w:sz="0" w:space="0" w:color="auto"/>
        <w:left w:val="none" w:sz="0" w:space="0" w:color="auto"/>
        <w:bottom w:val="none" w:sz="0" w:space="0" w:color="auto"/>
        <w:right w:val="none" w:sz="0" w:space="0" w:color="auto"/>
      </w:divBdr>
    </w:div>
    <w:div w:id="748693675">
      <w:bodyDiv w:val="1"/>
      <w:marLeft w:val="0"/>
      <w:marRight w:val="0"/>
      <w:marTop w:val="0"/>
      <w:marBottom w:val="0"/>
      <w:divBdr>
        <w:top w:val="none" w:sz="0" w:space="0" w:color="auto"/>
        <w:left w:val="none" w:sz="0" w:space="0" w:color="auto"/>
        <w:bottom w:val="none" w:sz="0" w:space="0" w:color="auto"/>
        <w:right w:val="none" w:sz="0" w:space="0" w:color="auto"/>
      </w:divBdr>
    </w:div>
    <w:div w:id="752166209">
      <w:bodyDiv w:val="1"/>
      <w:marLeft w:val="0"/>
      <w:marRight w:val="0"/>
      <w:marTop w:val="0"/>
      <w:marBottom w:val="0"/>
      <w:divBdr>
        <w:top w:val="none" w:sz="0" w:space="0" w:color="auto"/>
        <w:left w:val="none" w:sz="0" w:space="0" w:color="auto"/>
        <w:bottom w:val="none" w:sz="0" w:space="0" w:color="auto"/>
        <w:right w:val="none" w:sz="0" w:space="0" w:color="auto"/>
      </w:divBdr>
    </w:div>
    <w:div w:id="772168684">
      <w:bodyDiv w:val="1"/>
      <w:marLeft w:val="0"/>
      <w:marRight w:val="0"/>
      <w:marTop w:val="0"/>
      <w:marBottom w:val="0"/>
      <w:divBdr>
        <w:top w:val="none" w:sz="0" w:space="0" w:color="auto"/>
        <w:left w:val="none" w:sz="0" w:space="0" w:color="auto"/>
        <w:bottom w:val="none" w:sz="0" w:space="0" w:color="auto"/>
        <w:right w:val="none" w:sz="0" w:space="0" w:color="auto"/>
      </w:divBdr>
    </w:div>
    <w:div w:id="787241327">
      <w:bodyDiv w:val="1"/>
      <w:marLeft w:val="0"/>
      <w:marRight w:val="0"/>
      <w:marTop w:val="0"/>
      <w:marBottom w:val="0"/>
      <w:divBdr>
        <w:top w:val="none" w:sz="0" w:space="0" w:color="auto"/>
        <w:left w:val="none" w:sz="0" w:space="0" w:color="auto"/>
        <w:bottom w:val="none" w:sz="0" w:space="0" w:color="auto"/>
        <w:right w:val="none" w:sz="0" w:space="0" w:color="auto"/>
      </w:divBdr>
    </w:div>
    <w:div w:id="804390688">
      <w:bodyDiv w:val="1"/>
      <w:marLeft w:val="0"/>
      <w:marRight w:val="0"/>
      <w:marTop w:val="0"/>
      <w:marBottom w:val="0"/>
      <w:divBdr>
        <w:top w:val="none" w:sz="0" w:space="0" w:color="auto"/>
        <w:left w:val="none" w:sz="0" w:space="0" w:color="auto"/>
        <w:bottom w:val="none" w:sz="0" w:space="0" w:color="auto"/>
        <w:right w:val="none" w:sz="0" w:space="0" w:color="auto"/>
      </w:divBdr>
    </w:div>
    <w:div w:id="804398210">
      <w:bodyDiv w:val="1"/>
      <w:marLeft w:val="0"/>
      <w:marRight w:val="0"/>
      <w:marTop w:val="0"/>
      <w:marBottom w:val="0"/>
      <w:divBdr>
        <w:top w:val="none" w:sz="0" w:space="0" w:color="auto"/>
        <w:left w:val="none" w:sz="0" w:space="0" w:color="auto"/>
        <w:bottom w:val="none" w:sz="0" w:space="0" w:color="auto"/>
        <w:right w:val="none" w:sz="0" w:space="0" w:color="auto"/>
      </w:divBdr>
    </w:div>
    <w:div w:id="813915101">
      <w:bodyDiv w:val="1"/>
      <w:marLeft w:val="0"/>
      <w:marRight w:val="0"/>
      <w:marTop w:val="0"/>
      <w:marBottom w:val="0"/>
      <w:divBdr>
        <w:top w:val="none" w:sz="0" w:space="0" w:color="auto"/>
        <w:left w:val="none" w:sz="0" w:space="0" w:color="auto"/>
        <w:bottom w:val="none" w:sz="0" w:space="0" w:color="auto"/>
        <w:right w:val="none" w:sz="0" w:space="0" w:color="auto"/>
      </w:divBdr>
    </w:div>
    <w:div w:id="822741422">
      <w:bodyDiv w:val="1"/>
      <w:marLeft w:val="0"/>
      <w:marRight w:val="0"/>
      <w:marTop w:val="0"/>
      <w:marBottom w:val="0"/>
      <w:divBdr>
        <w:top w:val="none" w:sz="0" w:space="0" w:color="auto"/>
        <w:left w:val="none" w:sz="0" w:space="0" w:color="auto"/>
        <w:bottom w:val="none" w:sz="0" w:space="0" w:color="auto"/>
        <w:right w:val="none" w:sz="0" w:space="0" w:color="auto"/>
      </w:divBdr>
    </w:div>
    <w:div w:id="862942530">
      <w:bodyDiv w:val="1"/>
      <w:marLeft w:val="0"/>
      <w:marRight w:val="0"/>
      <w:marTop w:val="0"/>
      <w:marBottom w:val="0"/>
      <w:divBdr>
        <w:top w:val="none" w:sz="0" w:space="0" w:color="auto"/>
        <w:left w:val="none" w:sz="0" w:space="0" w:color="auto"/>
        <w:bottom w:val="none" w:sz="0" w:space="0" w:color="auto"/>
        <w:right w:val="none" w:sz="0" w:space="0" w:color="auto"/>
      </w:divBdr>
    </w:div>
    <w:div w:id="879633644">
      <w:bodyDiv w:val="1"/>
      <w:marLeft w:val="0"/>
      <w:marRight w:val="0"/>
      <w:marTop w:val="0"/>
      <w:marBottom w:val="0"/>
      <w:divBdr>
        <w:top w:val="none" w:sz="0" w:space="0" w:color="auto"/>
        <w:left w:val="none" w:sz="0" w:space="0" w:color="auto"/>
        <w:bottom w:val="none" w:sz="0" w:space="0" w:color="auto"/>
        <w:right w:val="none" w:sz="0" w:space="0" w:color="auto"/>
      </w:divBdr>
    </w:div>
    <w:div w:id="882981940">
      <w:bodyDiv w:val="1"/>
      <w:marLeft w:val="0"/>
      <w:marRight w:val="0"/>
      <w:marTop w:val="0"/>
      <w:marBottom w:val="0"/>
      <w:divBdr>
        <w:top w:val="none" w:sz="0" w:space="0" w:color="auto"/>
        <w:left w:val="none" w:sz="0" w:space="0" w:color="auto"/>
        <w:bottom w:val="none" w:sz="0" w:space="0" w:color="auto"/>
        <w:right w:val="none" w:sz="0" w:space="0" w:color="auto"/>
      </w:divBdr>
    </w:div>
    <w:div w:id="889266490">
      <w:bodyDiv w:val="1"/>
      <w:marLeft w:val="0"/>
      <w:marRight w:val="0"/>
      <w:marTop w:val="0"/>
      <w:marBottom w:val="0"/>
      <w:divBdr>
        <w:top w:val="none" w:sz="0" w:space="0" w:color="auto"/>
        <w:left w:val="none" w:sz="0" w:space="0" w:color="auto"/>
        <w:bottom w:val="none" w:sz="0" w:space="0" w:color="auto"/>
        <w:right w:val="none" w:sz="0" w:space="0" w:color="auto"/>
      </w:divBdr>
    </w:div>
    <w:div w:id="896282573">
      <w:bodyDiv w:val="1"/>
      <w:marLeft w:val="0"/>
      <w:marRight w:val="0"/>
      <w:marTop w:val="0"/>
      <w:marBottom w:val="0"/>
      <w:divBdr>
        <w:top w:val="none" w:sz="0" w:space="0" w:color="auto"/>
        <w:left w:val="none" w:sz="0" w:space="0" w:color="auto"/>
        <w:bottom w:val="none" w:sz="0" w:space="0" w:color="auto"/>
        <w:right w:val="none" w:sz="0" w:space="0" w:color="auto"/>
      </w:divBdr>
    </w:div>
    <w:div w:id="897319618">
      <w:bodyDiv w:val="1"/>
      <w:marLeft w:val="0"/>
      <w:marRight w:val="0"/>
      <w:marTop w:val="0"/>
      <w:marBottom w:val="0"/>
      <w:divBdr>
        <w:top w:val="none" w:sz="0" w:space="0" w:color="auto"/>
        <w:left w:val="none" w:sz="0" w:space="0" w:color="auto"/>
        <w:bottom w:val="none" w:sz="0" w:space="0" w:color="auto"/>
        <w:right w:val="none" w:sz="0" w:space="0" w:color="auto"/>
      </w:divBdr>
    </w:div>
    <w:div w:id="921721177">
      <w:bodyDiv w:val="1"/>
      <w:marLeft w:val="0"/>
      <w:marRight w:val="0"/>
      <w:marTop w:val="0"/>
      <w:marBottom w:val="0"/>
      <w:divBdr>
        <w:top w:val="none" w:sz="0" w:space="0" w:color="auto"/>
        <w:left w:val="none" w:sz="0" w:space="0" w:color="auto"/>
        <w:bottom w:val="none" w:sz="0" w:space="0" w:color="auto"/>
        <w:right w:val="none" w:sz="0" w:space="0" w:color="auto"/>
      </w:divBdr>
    </w:div>
    <w:div w:id="933975916">
      <w:bodyDiv w:val="1"/>
      <w:marLeft w:val="0"/>
      <w:marRight w:val="0"/>
      <w:marTop w:val="0"/>
      <w:marBottom w:val="0"/>
      <w:divBdr>
        <w:top w:val="none" w:sz="0" w:space="0" w:color="auto"/>
        <w:left w:val="none" w:sz="0" w:space="0" w:color="auto"/>
        <w:bottom w:val="none" w:sz="0" w:space="0" w:color="auto"/>
        <w:right w:val="none" w:sz="0" w:space="0" w:color="auto"/>
      </w:divBdr>
    </w:div>
    <w:div w:id="938373289">
      <w:bodyDiv w:val="1"/>
      <w:marLeft w:val="0"/>
      <w:marRight w:val="0"/>
      <w:marTop w:val="0"/>
      <w:marBottom w:val="0"/>
      <w:divBdr>
        <w:top w:val="none" w:sz="0" w:space="0" w:color="auto"/>
        <w:left w:val="none" w:sz="0" w:space="0" w:color="auto"/>
        <w:bottom w:val="none" w:sz="0" w:space="0" w:color="auto"/>
        <w:right w:val="none" w:sz="0" w:space="0" w:color="auto"/>
      </w:divBdr>
    </w:div>
    <w:div w:id="941448779">
      <w:bodyDiv w:val="1"/>
      <w:marLeft w:val="0"/>
      <w:marRight w:val="0"/>
      <w:marTop w:val="0"/>
      <w:marBottom w:val="0"/>
      <w:divBdr>
        <w:top w:val="none" w:sz="0" w:space="0" w:color="auto"/>
        <w:left w:val="none" w:sz="0" w:space="0" w:color="auto"/>
        <w:bottom w:val="none" w:sz="0" w:space="0" w:color="auto"/>
        <w:right w:val="none" w:sz="0" w:space="0" w:color="auto"/>
      </w:divBdr>
    </w:div>
    <w:div w:id="963118058">
      <w:bodyDiv w:val="1"/>
      <w:marLeft w:val="0"/>
      <w:marRight w:val="0"/>
      <w:marTop w:val="0"/>
      <w:marBottom w:val="0"/>
      <w:divBdr>
        <w:top w:val="none" w:sz="0" w:space="0" w:color="auto"/>
        <w:left w:val="none" w:sz="0" w:space="0" w:color="auto"/>
        <w:bottom w:val="none" w:sz="0" w:space="0" w:color="auto"/>
        <w:right w:val="none" w:sz="0" w:space="0" w:color="auto"/>
      </w:divBdr>
    </w:div>
    <w:div w:id="964309576">
      <w:bodyDiv w:val="1"/>
      <w:marLeft w:val="0"/>
      <w:marRight w:val="0"/>
      <w:marTop w:val="0"/>
      <w:marBottom w:val="0"/>
      <w:divBdr>
        <w:top w:val="none" w:sz="0" w:space="0" w:color="auto"/>
        <w:left w:val="none" w:sz="0" w:space="0" w:color="auto"/>
        <w:bottom w:val="none" w:sz="0" w:space="0" w:color="auto"/>
        <w:right w:val="none" w:sz="0" w:space="0" w:color="auto"/>
      </w:divBdr>
    </w:div>
    <w:div w:id="97479917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44670299">
          <w:marLeft w:val="0"/>
          <w:marRight w:val="0"/>
          <w:marTop w:val="0"/>
          <w:marBottom w:val="0"/>
          <w:divBdr>
            <w:top w:val="none" w:sz="0" w:space="0" w:color="auto"/>
            <w:left w:val="none" w:sz="0" w:space="0" w:color="auto"/>
            <w:bottom w:val="single" w:sz="6" w:space="9" w:color="C8C8C8"/>
            <w:right w:val="none" w:sz="0" w:space="0" w:color="auto"/>
          </w:divBdr>
          <w:divsChild>
            <w:div w:id="34748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0975">
      <w:bodyDiv w:val="1"/>
      <w:marLeft w:val="0"/>
      <w:marRight w:val="0"/>
      <w:marTop w:val="0"/>
      <w:marBottom w:val="0"/>
      <w:divBdr>
        <w:top w:val="none" w:sz="0" w:space="0" w:color="auto"/>
        <w:left w:val="none" w:sz="0" w:space="0" w:color="auto"/>
        <w:bottom w:val="none" w:sz="0" w:space="0" w:color="auto"/>
        <w:right w:val="none" w:sz="0" w:space="0" w:color="auto"/>
      </w:divBdr>
    </w:div>
    <w:div w:id="1006786764">
      <w:bodyDiv w:val="1"/>
      <w:marLeft w:val="0"/>
      <w:marRight w:val="0"/>
      <w:marTop w:val="0"/>
      <w:marBottom w:val="0"/>
      <w:divBdr>
        <w:top w:val="none" w:sz="0" w:space="0" w:color="auto"/>
        <w:left w:val="none" w:sz="0" w:space="0" w:color="auto"/>
        <w:bottom w:val="none" w:sz="0" w:space="0" w:color="auto"/>
        <w:right w:val="none" w:sz="0" w:space="0" w:color="auto"/>
      </w:divBdr>
    </w:div>
    <w:div w:id="1016074479">
      <w:bodyDiv w:val="1"/>
      <w:marLeft w:val="0"/>
      <w:marRight w:val="0"/>
      <w:marTop w:val="0"/>
      <w:marBottom w:val="0"/>
      <w:divBdr>
        <w:top w:val="none" w:sz="0" w:space="0" w:color="auto"/>
        <w:left w:val="none" w:sz="0" w:space="0" w:color="auto"/>
        <w:bottom w:val="none" w:sz="0" w:space="0" w:color="auto"/>
        <w:right w:val="none" w:sz="0" w:space="0" w:color="auto"/>
      </w:divBdr>
    </w:div>
    <w:div w:id="1016152522">
      <w:bodyDiv w:val="1"/>
      <w:marLeft w:val="0"/>
      <w:marRight w:val="0"/>
      <w:marTop w:val="0"/>
      <w:marBottom w:val="0"/>
      <w:divBdr>
        <w:top w:val="none" w:sz="0" w:space="0" w:color="auto"/>
        <w:left w:val="none" w:sz="0" w:space="0" w:color="auto"/>
        <w:bottom w:val="none" w:sz="0" w:space="0" w:color="auto"/>
        <w:right w:val="none" w:sz="0" w:space="0" w:color="auto"/>
      </w:divBdr>
    </w:div>
    <w:div w:id="1018040783">
      <w:bodyDiv w:val="1"/>
      <w:marLeft w:val="0"/>
      <w:marRight w:val="0"/>
      <w:marTop w:val="0"/>
      <w:marBottom w:val="0"/>
      <w:divBdr>
        <w:top w:val="none" w:sz="0" w:space="0" w:color="auto"/>
        <w:left w:val="none" w:sz="0" w:space="0" w:color="auto"/>
        <w:bottom w:val="none" w:sz="0" w:space="0" w:color="auto"/>
        <w:right w:val="none" w:sz="0" w:space="0" w:color="auto"/>
      </w:divBdr>
    </w:div>
    <w:div w:id="1044062781">
      <w:bodyDiv w:val="1"/>
      <w:marLeft w:val="0"/>
      <w:marRight w:val="0"/>
      <w:marTop w:val="0"/>
      <w:marBottom w:val="0"/>
      <w:divBdr>
        <w:top w:val="none" w:sz="0" w:space="0" w:color="auto"/>
        <w:left w:val="none" w:sz="0" w:space="0" w:color="auto"/>
        <w:bottom w:val="none" w:sz="0" w:space="0" w:color="auto"/>
        <w:right w:val="none" w:sz="0" w:space="0" w:color="auto"/>
      </w:divBdr>
    </w:div>
    <w:div w:id="1049380382">
      <w:bodyDiv w:val="1"/>
      <w:marLeft w:val="0"/>
      <w:marRight w:val="0"/>
      <w:marTop w:val="0"/>
      <w:marBottom w:val="0"/>
      <w:divBdr>
        <w:top w:val="none" w:sz="0" w:space="0" w:color="auto"/>
        <w:left w:val="none" w:sz="0" w:space="0" w:color="auto"/>
        <w:bottom w:val="none" w:sz="0" w:space="0" w:color="auto"/>
        <w:right w:val="none" w:sz="0" w:space="0" w:color="auto"/>
      </w:divBdr>
    </w:div>
    <w:div w:id="1051538908">
      <w:bodyDiv w:val="1"/>
      <w:marLeft w:val="0"/>
      <w:marRight w:val="0"/>
      <w:marTop w:val="0"/>
      <w:marBottom w:val="0"/>
      <w:divBdr>
        <w:top w:val="none" w:sz="0" w:space="0" w:color="auto"/>
        <w:left w:val="none" w:sz="0" w:space="0" w:color="auto"/>
        <w:bottom w:val="none" w:sz="0" w:space="0" w:color="auto"/>
        <w:right w:val="none" w:sz="0" w:space="0" w:color="auto"/>
      </w:divBdr>
    </w:div>
    <w:div w:id="1071579824">
      <w:bodyDiv w:val="1"/>
      <w:marLeft w:val="0"/>
      <w:marRight w:val="0"/>
      <w:marTop w:val="0"/>
      <w:marBottom w:val="0"/>
      <w:divBdr>
        <w:top w:val="none" w:sz="0" w:space="0" w:color="auto"/>
        <w:left w:val="none" w:sz="0" w:space="0" w:color="auto"/>
        <w:bottom w:val="none" w:sz="0" w:space="0" w:color="auto"/>
        <w:right w:val="none" w:sz="0" w:space="0" w:color="auto"/>
      </w:divBdr>
    </w:div>
    <w:div w:id="1072121233">
      <w:bodyDiv w:val="1"/>
      <w:marLeft w:val="0"/>
      <w:marRight w:val="0"/>
      <w:marTop w:val="0"/>
      <w:marBottom w:val="0"/>
      <w:divBdr>
        <w:top w:val="none" w:sz="0" w:space="0" w:color="auto"/>
        <w:left w:val="none" w:sz="0" w:space="0" w:color="auto"/>
        <w:bottom w:val="none" w:sz="0" w:space="0" w:color="auto"/>
        <w:right w:val="none" w:sz="0" w:space="0" w:color="auto"/>
      </w:divBdr>
    </w:div>
    <w:div w:id="1074475251">
      <w:bodyDiv w:val="1"/>
      <w:marLeft w:val="0"/>
      <w:marRight w:val="0"/>
      <w:marTop w:val="0"/>
      <w:marBottom w:val="0"/>
      <w:divBdr>
        <w:top w:val="none" w:sz="0" w:space="0" w:color="auto"/>
        <w:left w:val="none" w:sz="0" w:space="0" w:color="auto"/>
        <w:bottom w:val="none" w:sz="0" w:space="0" w:color="auto"/>
        <w:right w:val="none" w:sz="0" w:space="0" w:color="auto"/>
      </w:divBdr>
    </w:div>
    <w:div w:id="1083338529">
      <w:bodyDiv w:val="1"/>
      <w:marLeft w:val="0"/>
      <w:marRight w:val="0"/>
      <w:marTop w:val="0"/>
      <w:marBottom w:val="0"/>
      <w:divBdr>
        <w:top w:val="none" w:sz="0" w:space="0" w:color="auto"/>
        <w:left w:val="none" w:sz="0" w:space="0" w:color="auto"/>
        <w:bottom w:val="none" w:sz="0" w:space="0" w:color="auto"/>
        <w:right w:val="none" w:sz="0" w:space="0" w:color="auto"/>
      </w:divBdr>
    </w:div>
    <w:div w:id="1095200867">
      <w:bodyDiv w:val="1"/>
      <w:marLeft w:val="0"/>
      <w:marRight w:val="0"/>
      <w:marTop w:val="0"/>
      <w:marBottom w:val="0"/>
      <w:divBdr>
        <w:top w:val="none" w:sz="0" w:space="0" w:color="auto"/>
        <w:left w:val="none" w:sz="0" w:space="0" w:color="auto"/>
        <w:bottom w:val="none" w:sz="0" w:space="0" w:color="auto"/>
        <w:right w:val="none" w:sz="0" w:space="0" w:color="auto"/>
      </w:divBdr>
    </w:div>
    <w:div w:id="1098597378">
      <w:bodyDiv w:val="1"/>
      <w:marLeft w:val="0"/>
      <w:marRight w:val="0"/>
      <w:marTop w:val="0"/>
      <w:marBottom w:val="0"/>
      <w:divBdr>
        <w:top w:val="none" w:sz="0" w:space="0" w:color="auto"/>
        <w:left w:val="none" w:sz="0" w:space="0" w:color="auto"/>
        <w:bottom w:val="none" w:sz="0" w:space="0" w:color="auto"/>
        <w:right w:val="none" w:sz="0" w:space="0" w:color="auto"/>
      </w:divBdr>
    </w:div>
    <w:div w:id="1131023085">
      <w:bodyDiv w:val="1"/>
      <w:marLeft w:val="0"/>
      <w:marRight w:val="0"/>
      <w:marTop w:val="0"/>
      <w:marBottom w:val="0"/>
      <w:divBdr>
        <w:top w:val="none" w:sz="0" w:space="0" w:color="auto"/>
        <w:left w:val="none" w:sz="0" w:space="0" w:color="auto"/>
        <w:bottom w:val="none" w:sz="0" w:space="0" w:color="auto"/>
        <w:right w:val="none" w:sz="0" w:space="0" w:color="auto"/>
      </w:divBdr>
    </w:div>
    <w:div w:id="1135172670">
      <w:bodyDiv w:val="1"/>
      <w:marLeft w:val="0"/>
      <w:marRight w:val="0"/>
      <w:marTop w:val="0"/>
      <w:marBottom w:val="0"/>
      <w:divBdr>
        <w:top w:val="none" w:sz="0" w:space="0" w:color="auto"/>
        <w:left w:val="none" w:sz="0" w:space="0" w:color="auto"/>
        <w:bottom w:val="none" w:sz="0" w:space="0" w:color="auto"/>
        <w:right w:val="none" w:sz="0" w:space="0" w:color="auto"/>
      </w:divBdr>
    </w:div>
    <w:div w:id="1155340061">
      <w:bodyDiv w:val="1"/>
      <w:marLeft w:val="0"/>
      <w:marRight w:val="0"/>
      <w:marTop w:val="0"/>
      <w:marBottom w:val="0"/>
      <w:divBdr>
        <w:top w:val="none" w:sz="0" w:space="0" w:color="auto"/>
        <w:left w:val="none" w:sz="0" w:space="0" w:color="auto"/>
        <w:bottom w:val="none" w:sz="0" w:space="0" w:color="auto"/>
        <w:right w:val="none" w:sz="0" w:space="0" w:color="auto"/>
      </w:divBdr>
    </w:div>
    <w:div w:id="1168904758">
      <w:bodyDiv w:val="1"/>
      <w:marLeft w:val="0"/>
      <w:marRight w:val="0"/>
      <w:marTop w:val="0"/>
      <w:marBottom w:val="0"/>
      <w:divBdr>
        <w:top w:val="none" w:sz="0" w:space="0" w:color="auto"/>
        <w:left w:val="none" w:sz="0" w:space="0" w:color="auto"/>
        <w:bottom w:val="none" w:sz="0" w:space="0" w:color="auto"/>
        <w:right w:val="none" w:sz="0" w:space="0" w:color="auto"/>
      </w:divBdr>
    </w:div>
    <w:div w:id="1171330610">
      <w:bodyDiv w:val="1"/>
      <w:marLeft w:val="0"/>
      <w:marRight w:val="0"/>
      <w:marTop w:val="0"/>
      <w:marBottom w:val="0"/>
      <w:divBdr>
        <w:top w:val="none" w:sz="0" w:space="0" w:color="auto"/>
        <w:left w:val="none" w:sz="0" w:space="0" w:color="auto"/>
        <w:bottom w:val="none" w:sz="0" w:space="0" w:color="auto"/>
        <w:right w:val="none" w:sz="0" w:space="0" w:color="auto"/>
      </w:divBdr>
    </w:div>
    <w:div w:id="1200822545">
      <w:bodyDiv w:val="1"/>
      <w:marLeft w:val="0"/>
      <w:marRight w:val="0"/>
      <w:marTop w:val="0"/>
      <w:marBottom w:val="0"/>
      <w:divBdr>
        <w:top w:val="none" w:sz="0" w:space="0" w:color="auto"/>
        <w:left w:val="none" w:sz="0" w:space="0" w:color="auto"/>
        <w:bottom w:val="none" w:sz="0" w:space="0" w:color="auto"/>
        <w:right w:val="none" w:sz="0" w:space="0" w:color="auto"/>
      </w:divBdr>
    </w:div>
    <w:div w:id="1202324008">
      <w:bodyDiv w:val="1"/>
      <w:marLeft w:val="0"/>
      <w:marRight w:val="0"/>
      <w:marTop w:val="0"/>
      <w:marBottom w:val="0"/>
      <w:divBdr>
        <w:top w:val="none" w:sz="0" w:space="0" w:color="auto"/>
        <w:left w:val="none" w:sz="0" w:space="0" w:color="auto"/>
        <w:bottom w:val="none" w:sz="0" w:space="0" w:color="auto"/>
        <w:right w:val="none" w:sz="0" w:space="0" w:color="auto"/>
      </w:divBdr>
      <w:divsChild>
        <w:div w:id="296688971">
          <w:marLeft w:val="446"/>
          <w:marRight w:val="0"/>
          <w:marTop w:val="0"/>
          <w:marBottom w:val="0"/>
          <w:divBdr>
            <w:top w:val="none" w:sz="0" w:space="0" w:color="auto"/>
            <w:left w:val="none" w:sz="0" w:space="0" w:color="auto"/>
            <w:bottom w:val="none" w:sz="0" w:space="0" w:color="auto"/>
            <w:right w:val="none" w:sz="0" w:space="0" w:color="auto"/>
          </w:divBdr>
        </w:div>
        <w:div w:id="308830890">
          <w:marLeft w:val="446"/>
          <w:marRight w:val="0"/>
          <w:marTop w:val="0"/>
          <w:marBottom w:val="0"/>
          <w:divBdr>
            <w:top w:val="none" w:sz="0" w:space="0" w:color="auto"/>
            <w:left w:val="none" w:sz="0" w:space="0" w:color="auto"/>
            <w:bottom w:val="none" w:sz="0" w:space="0" w:color="auto"/>
            <w:right w:val="none" w:sz="0" w:space="0" w:color="auto"/>
          </w:divBdr>
        </w:div>
        <w:div w:id="1394425897">
          <w:marLeft w:val="446"/>
          <w:marRight w:val="0"/>
          <w:marTop w:val="0"/>
          <w:marBottom w:val="0"/>
          <w:divBdr>
            <w:top w:val="none" w:sz="0" w:space="0" w:color="auto"/>
            <w:left w:val="none" w:sz="0" w:space="0" w:color="auto"/>
            <w:bottom w:val="none" w:sz="0" w:space="0" w:color="auto"/>
            <w:right w:val="none" w:sz="0" w:space="0" w:color="auto"/>
          </w:divBdr>
        </w:div>
      </w:divsChild>
    </w:div>
    <w:div w:id="1207332098">
      <w:bodyDiv w:val="1"/>
      <w:marLeft w:val="0"/>
      <w:marRight w:val="0"/>
      <w:marTop w:val="0"/>
      <w:marBottom w:val="0"/>
      <w:divBdr>
        <w:top w:val="none" w:sz="0" w:space="0" w:color="auto"/>
        <w:left w:val="none" w:sz="0" w:space="0" w:color="auto"/>
        <w:bottom w:val="none" w:sz="0" w:space="0" w:color="auto"/>
        <w:right w:val="none" w:sz="0" w:space="0" w:color="auto"/>
      </w:divBdr>
    </w:div>
    <w:div w:id="1240168491">
      <w:bodyDiv w:val="1"/>
      <w:marLeft w:val="0"/>
      <w:marRight w:val="0"/>
      <w:marTop w:val="0"/>
      <w:marBottom w:val="0"/>
      <w:divBdr>
        <w:top w:val="none" w:sz="0" w:space="0" w:color="auto"/>
        <w:left w:val="none" w:sz="0" w:space="0" w:color="auto"/>
        <w:bottom w:val="none" w:sz="0" w:space="0" w:color="auto"/>
        <w:right w:val="none" w:sz="0" w:space="0" w:color="auto"/>
      </w:divBdr>
    </w:div>
    <w:div w:id="1240283900">
      <w:bodyDiv w:val="1"/>
      <w:marLeft w:val="0"/>
      <w:marRight w:val="0"/>
      <w:marTop w:val="0"/>
      <w:marBottom w:val="0"/>
      <w:divBdr>
        <w:top w:val="none" w:sz="0" w:space="0" w:color="auto"/>
        <w:left w:val="none" w:sz="0" w:space="0" w:color="auto"/>
        <w:bottom w:val="none" w:sz="0" w:space="0" w:color="auto"/>
        <w:right w:val="none" w:sz="0" w:space="0" w:color="auto"/>
      </w:divBdr>
    </w:div>
    <w:div w:id="1242789090">
      <w:bodyDiv w:val="1"/>
      <w:marLeft w:val="0"/>
      <w:marRight w:val="0"/>
      <w:marTop w:val="0"/>
      <w:marBottom w:val="0"/>
      <w:divBdr>
        <w:top w:val="none" w:sz="0" w:space="0" w:color="auto"/>
        <w:left w:val="none" w:sz="0" w:space="0" w:color="auto"/>
        <w:bottom w:val="none" w:sz="0" w:space="0" w:color="auto"/>
        <w:right w:val="none" w:sz="0" w:space="0" w:color="auto"/>
      </w:divBdr>
    </w:div>
    <w:div w:id="1263225376">
      <w:bodyDiv w:val="1"/>
      <w:marLeft w:val="0"/>
      <w:marRight w:val="0"/>
      <w:marTop w:val="0"/>
      <w:marBottom w:val="0"/>
      <w:divBdr>
        <w:top w:val="none" w:sz="0" w:space="0" w:color="auto"/>
        <w:left w:val="none" w:sz="0" w:space="0" w:color="auto"/>
        <w:bottom w:val="none" w:sz="0" w:space="0" w:color="auto"/>
        <w:right w:val="none" w:sz="0" w:space="0" w:color="auto"/>
      </w:divBdr>
    </w:div>
    <w:div w:id="1279070015">
      <w:bodyDiv w:val="1"/>
      <w:marLeft w:val="0"/>
      <w:marRight w:val="0"/>
      <w:marTop w:val="0"/>
      <w:marBottom w:val="0"/>
      <w:divBdr>
        <w:top w:val="none" w:sz="0" w:space="0" w:color="auto"/>
        <w:left w:val="none" w:sz="0" w:space="0" w:color="auto"/>
        <w:bottom w:val="none" w:sz="0" w:space="0" w:color="auto"/>
        <w:right w:val="none" w:sz="0" w:space="0" w:color="auto"/>
      </w:divBdr>
    </w:div>
    <w:div w:id="1307199117">
      <w:bodyDiv w:val="1"/>
      <w:marLeft w:val="0"/>
      <w:marRight w:val="0"/>
      <w:marTop w:val="0"/>
      <w:marBottom w:val="0"/>
      <w:divBdr>
        <w:top w:val="none" w:sz="0" w:space="0" w:color="auto"/>
        <w:left w:val="none" w:sz="0" w:space="0" w:color="auto"/>
        <w:bottom w:val="none" w:sz="0" w:space="0" w:color="auto"/>
        <w:right w:val="none" w:sz="0" w:space="0" w:color="auto"/>
      </w:divBdr>
    </w:div>
    <w:div w:id="1320228545">
      <w:bodyDiv w:val="1"/>
      <w:marLeft w:val="0"/>
      <w:marRight w:val="0"/>
      <w:marTop w:val="0"/>
      <w:marBottom w:val="0"/>
      <w:divBdr>
        <w:top w:val="none" w:sz="0" w:space="0" w:color="auto"/>
        <w:left w:val="none" w:sz="0" w:space="0" w:color="auto"/>
        <w:bottom w:val="none" w:sz="0" w:space="0" w:color="auto"/>
        <w:right w:val="none" w:sz="0" w:space="0" w:color="auto"/>
      </w:divBdr>
    </w:div>
    <w:div w:id="1329750752">
      <w:bodyDiv w:val="1"/>
      <w:marLeft w:val="0"/>
      <w:marRight w:val="0"/>
      <w:marTop w:val="0"/>
      <w:marBottom w:val="0"/>
      <w:divBdr>
        <w:top w:val="none" w:sz="0" w:space="0" w:color="auto"/>
        <w:left w:val="none" w:sz="0" w:space="0" w:color="auto"/>
        <w:bottom w:val="none" w:sz="0" w:space="0" w:color="auto"/>
        <w:right w:val="none" w:sz="0" w:space="0" w:color="auto"/>
      </w:divBdr>
    </w:div>
    <w:div w:id="1348673762">
      <w:bodyDiv w:val="1"/>
      <w:marLeft w:val="0"/>
      <w:marRight w:val="0"/>
      <w:marTop w:val="0"/>
      <w:marBottom w:val="0"/>
      <w:divBdr>
        <w:top w:val="none" w:sz="0" w:space="0" w:color="auto"/>
        <w:left w:val="none" w:sz="0" w:space="0" w:color="auto"/>
        <w:bottom w:val="none" w:sz="0" w:space="0" w:color="auto"/>
        <w:right w:val="none" w:sz="0" w:space="0" w:color="auto"/>
      </w:divBdr>
    </w:div>
    <w:div w:id="1370641695">
      <w:bodyDiv w:val="1"/>
      <w:marLeft w:val="0"/>
      <w:marRight w:val="0"/>
      <w:marTop w:val="0"/>
      <w:marBottom w:val="0"/>
      <w:divBdr>
        <w:top w:val="none" w:sz="0" w:space="0" w:color="auto"/>
        <w:left w:val="none" w:sz="0" w:space="0" w:color="auto"/>
        <w:bottom w:val="none" w:sz="0" w:space="0" w:color="auto"/>
        <w:right w:val="none" w:sz="0" w:space="0" w:color="auto"/>
      </w:divBdr>
    </w:div>
    <w:div w:id="1391267235">
      <w:bodyDiv w:val="1"/>
      <w:marLeft w:val="0"/>
      <w:marRight w:val="0"/>
      <w:marTop w:val="0"/>
      <w:marBottom w:val="0"/>
      <w:divBdr>
        <w:top w:val="none" w:sz="0" w:space="0" w:color="auto"/>
        <w:left w:val="none" w:sz="0" w:space="0" w:color="auto"/>
        <w:bottom w:val="none" w:sz="0" w:space="0" w:color="auto"/>
        <w:right w:val="none" w:sz="0" w:space="0" w:color="auto"/>
      </w:divBdr>
    </w:div>
    <w:div w:id="1410618946">
      <w:bodyDiv w:val="1"/>
      <w:marLeft w:val="0"/>
      <w:marRight w:val="0"/>
      <w:marTop w:val="0"/>
      <w:marBottom w:val="0"/>
      <w:divBdr>
        <w:top w:val="none" w:sz="0" w:space="0" w:color="auto"/>
        <w:left w:val="none" w:sz="0" w:space="0" w:color="auto"/>
        <w:bottom w:val="none" w:sz="0" w:space="0" w:color="auto"/>
        <w:right w:val="none" w:sz="0" w:space="0" w:color="auto"/>
      </w:divBdr>
    </w:div>
    <w:div w:id="1417555413">
      <w:bodyDiv w:val="1"/>
      <w:marLeft w:val="0"/>
      <w:marRight w:val="0"/>
      <w:marTop w:val="0"/>
      <w:marBottom w:val="0"/>
      <w:divBdr>
        <w:top w:val="none" w:sz="0" w:space="0" w:color="auto"/>
        <w:left w:val="none" w:sz="0" w:space="0" w:color="auto"/>
        <w:bottom w:val="none" w:sz="0" w:space="0" w:color="auto"/>
        <w:right w:val="none" w:sz="0" w:space="0" w:color="auto"/>
      </w:divBdr>
    </w:div>
    <w:div w:id="1435512249">
      <w:bodyDiv w:val="1"/>
      <w:marLeft w:val="0"/>
      <w:marRight w:val="0"/>
      <w:marTop w:val="0"/>
      <w:marBottom w:val="0"/>
      <w:divBdr>
        <w:top w:val="none" w:sz="0" w:space="0" w:color="auto"/>
        <w:left w:val="none" w:sz="0" w:space="0" w:color="auto"/>
        <w:bottom w:val="none" w:sz="0" w:space="0" w:color="auto"/>
        <w:right w:val="none" w:sz="0" w:space="0" w:color="auto"/>
      </w:divBdr>
    </w:div>
    <w:div w:id="1439180409">
      <w:bodyDiv w:val="1"/>
      <w:marLeft w:val="0"/>
      <w:marRight w:val="0"/>
      <w:marTop w:val="0"/>
      <w:marBottom w:val="0"/>
      <w:divBdr>
        <w:top w:val="none" w:sz="0" w:space="0" w:color="auto"/>
        <w:left w:val="none" w:sz="0" w:space="0" w:color="auto"/>
        <w:bottom w:val="none" w:sz="0" w:space="0" w:color="auto"/>
        <w:right w:val="none" w:sz="0" w:space="0" w:color="auto"/>
      </w:divBdr>
    </w:div>
    <w:div w:id="1445467750">
      <w:bodyDiv w:val="1"/>
      <w:marLeft w:val="0"/>
      <w:marRight w:val="0"/>
      <w:marTop w:val="0"/>
      <w:marBottom w:val="0"/>
      <w:divBdr>
        <w:top w:val="none" w:sz="0" w:space="0" w:color="auto"/>
        <w:left w:val="none" w:sz="0" w:space="0" w:color="auto"/>
        <w:bottom w:val="none" w:sz="0" w:space="0" w:color="auto"/>
        <w:right w:val="none" w:sz="0" w:space="0" w:color="auto"/>
      </w:divBdr>
    </w:div>
    <w:div w:id="1454907178">
      <w:bodyDiv w:val="1"/>
      <w:marLeft w:val="0"/>
      <w:marRight w:val="0"/>
      <w:marTop w:val="0"/>
      <w:marBottom w:val="0"/>
      <w:divBdr>
        <w:top w:val="none" w:sz="0" w:space="0" w:color="auto"/>
        <w:left w:val="none" w:sz="0" w:space="0" w:color="auto"/>
        <w:bottom w:val="none" w:sz="0" w:space="0" w:color="auto"/>
        <w:right w:val="none" w:sz="0" w:space="0" w:color="auto"/>
      </w:divBdr>
    </w:div>
    <w:div w:id="1476605746">
      <w:bodyDiv w:val="1"/>
      <w:marLeft w:val="0"/>
      <w:marRight w:val="0"/>
      <w:marTop w:val="0"/>
      <w:marBottom w:val="0"/>
      <w:divBdr>
        <w:top w:val="none" w:sz="0" w:space="0" w:color="auto"/>
        <w:left w:val="none" w:sz="0" w:space="0" w:color="auto"/>
        <w:bottom w:val="none" w:sz="0" w:space="0" w:color="auto"/>
        <w:right w:val="none" w:sz="0" w:space="0" w:color="auto"/>
      </w:divBdr>
    </w:div>
    <w:div w:id="1496799637">
      <w:bodyDiv w:val="1"/>
      <w:marLeft w:val="0"/>
      <w:marRight w:val="0"/>
      <w:marTop w:val="0"/>
      <w:marBottom w:val="0"/>
      <w:divBdr>
        <w:top w:val="none" w:sz="0" w:space="0" w:color="auto"/>
        <w:left w:val="none" w:sz="0" w:space="0" w:color="auto"/>
        <w:bottom w:val="none" w:sz="0" w:space="0" w:color="auto"/>
        <w:right w:val="none" w:sz="0" w:space="0" w:color="auto"/>
      </w:divBdr>
    </w:div>
    <w:div w:id="1498811101">
      <w:bodyDiv w:val="1"/>
      <w:marLeft w:val="0"/>
      <w:marRight w:val="0"/>
      <w:marTop w:val="0"/>
      <w:marBottom w:val="0"/>
      <w:divBdr>
        <w:top w:val="none" w:sz="0" w:space="0" w:color="auto"/>
        <w:left w:val="none" w:sz="0" w:space="0" w:color="auto"/>
        <w:bottom w:val="none" w:sz="0" w:space="0" w:color="auto"/>
        <w:right w:val="none" w:sz="0" w:space="0" w:color="auto"/>
      </w:divBdr>
    </w:div>
    <w:div w:id="1505630927">
      <w:bodyDiv w:val="1"/>
      <w:marLeft w:val="0"/>
      <w:marRight w:val="0"/>
      <w:marTop w:val="0"/>
      <w:marBottom w:val="0"/>
      <w:divBdr>
        <w:top w:val="none" w:sz="0" w:space="0" w:color="auto"/>
        <w:left w:val="none" w:sz="0" w:space="0" w:color="auto"/>
        <w:bottom w:val="none" w:sz="0" w:space="0" w:color="auto"/>
        <w:right w:val="none" w:sz="0" w:space="0" w:color="auto"/>
      </w:divBdr>
    </w:div>
    <w:div w:id="1513300134">
      <w:bodyDiv w:val="1"/>
      <w:marLeft w:val="0"/>
      <w:marRight w:val="0"/>
      <w:marTop w:val="0"/>
      <w:marBottom w:val="0"/>
      <w:divBdr>
        <w:top w:val="none" w:sz="0" w:space="0" w:color="auto"/>
        <w:left w:val="none" w:sz="0" w:space="0" w:color="auto"/>
        <w:bottom w:val="none" w:sz="0" w:space="0" w:color="auto"/>
        <w:right w:val="none" w:sz="0" w:space="0" w:color="auto"/>
      </w:divBdr>
    </w:div>
    <w:div w:id="1516773626">
      <w:bodyDiv w:val="1"/>
      <w:marLeft w:val="0"/>
      <w:marRight w:val="0"/>
      <w:marTop w:val="0"/>
      <w:marBottom w:val="0"/>
      <w:divBdr>
        <w:top w:val="none" w:sz="0" w:space="0" w:color="auto"/>
        <w:left w:val="none" w:sz="0" w:space="0" w:color="auto"/>
        <w:bottom w:val="none" w:sz="0" w:space="0" w:color="auto"/>
        <w:right w:val="none" w:sz="0" w:space="0" w:color="auto"/>
      </w:divBdr>
    </w:div>
    <w:div w:id="1522164436">
      <w:bodyDiv w:val="1"/>
      <w:marLeft w:val="0"/>
      <w:marRight w:val="0"/>
      <w:marTop w:val="0"/>
      <w:marBottom w:val="0"/>
      <w:divBdr>
        <w:top w:val="none" w:sz="0" w:space="0" w:color="auto"/>
        <w:left w:val="none" w:sz="0" w:space="0" w:color="auto"/>
        <w:bottom w:val="none" w:sz="0" w:space="0" w:color="auto"/>
        <w:right w:val="none" w:sz="0" w:space="0" w:color="auto"/>
      </w:divBdr>
    </w:div>
    <w:div w:id="1529564185">
      <w:bodyDiv w:val="1"/>
      <w:marLeft w:val="0"/>
      <w:marRight w:val="0"/>
      <w:marTop w:val="0"/>
      <w:marBottom w:val="0"/>
      <w:divBdr>
        <w:top w:val="none" w:sz="0" w:space="0" w:color="auto"/>
        <w:left w:val="none" w:sz="0" w:space="0" w:color="auto"/>
        <w:bottom w:val="none" w:sz="0" w:space="0" w:color="auto"/>
        <w:right w:val="none" w:sz="0" w:space="0" w:color="auto"/>
      </w:divBdr>
    </w:div>
    <w:div w:id="1540162947">
      <w:bodyDiv w:val="1"/>
      <w:marLeft w:val="0"/>
      <w:marRight w:val="0"/>
      <w:marTop w:val="0"/>
      <w:marBottom w:val="0"/>
      <w:divBdr>
        <w:top w:val="none" w:sz="0" w:space="0" w:color="auto"/>
        <w:left w:val="none" w:sz="0" w:space="0" w:color="auto"/>
        <w:bottom w:val="none" w:sz="0" w:space="0" w:color="auto"/>
        <w:right w:val="none" w:sz="0" w:space="0" w:color="auto"/>
      </w:divBdr>
    </w:div>
    <w:div w:id="1554266723">
      <w:bodyDiv w:val="1"/>
      <w:marLeft w:val="0"/>
      <w:marRight w:val="0"/>
      <w:marTop w:val="0"/>
      <w:marBottom w:val="0"/>
      <w:divBdr>
        <w:top w:val="none" w:sz="0" w:space="0" w:color="auto"/>
        <w:left w:val="none" w:sz="0" w:space="0" w:color="auto"/>
        <w:bottom w:val="none" w:sz="0" w:space="0" w:color="auto"/>
        <w:right w:val="none" w:sz="0" w:space="0" w:color="auto"/>
      </w:divBdr>
    </w:div>
    <w:div w:id="1580209189">
      <w:bodyDiv w:val="1"/>
      <w:marLeft w:val="0"/>
      <w:marRight w:val="0"/>
      <w:marTop w:val="0"/>
      <w:marBottom w:val="0"/>
      <w:divBdr>
        <w:top w:val="none" w:sz="0" w:space="0" w:color="auto"/>
        <w:left w:val="none" w:sz="0" w:space="0" w:color="auto"/>
        <w:bottom w:val="none" w:sz="0" w:space="0" w:color="auto"/>
        <w:right w:val="none" w:sz="0" w:space="0" w:color="auto"/>
      </w:divBdr>
    </w:div>
    <w:div w:id="1584144022">
      <w:bodyDiv w:val="1"/>
      <w:marLeft w:val="0"/>
      <w:marRight w:val="0"/>
      <w:marTop w:val="0"/>
      <w:marBottom w:val="0"/>
      <w:divBdr>
        <w:top w:val="none" w:sz="0" w:space="0" w:color="auto"/>
        <w:left w:val="none" w:sz="0" w:space="0" w:color="auto"/>
        <w:bottom w:val="none" w:sz="0" w:space="0" w:color="auto"/>
        <w:right w:val="none" w:sz="0" w:space="0" w:color="auto"/>
      </w:divBdr>
    </w:div>
    <w:div w:id="1596015916">
      <w:bodyDiv w:val="1"/>
      <w:marLeft w:val="0"/>
      <w:marRight w:val="0"/>
      <w:marTop w:val="0"/>
      <w:marBottom w:val="0"/>
      <w:divBdr>
        <w:top w:val="none" w:sz="0" w:space="0" w:color="auto"/>
        <w:left w:val="none" w:sz="0" w:space="0" w:color="auto"/>
        <w:bottom w:val="none" w:sz="0" w:space="0" w:color="auto"/>
        <w:right w:val="none" w:sz="0" w:space="0" w:color="auto"/>
      </w:divBdr>
    </w:div>
    <w:div w:id="1600873801">
      <w:bodyDiv w:val="1"/>
      <w:marLeft w:val="0"/>
      <w:marRight w:val="0"/>
      <w:marTop w:val="0"/>
      <w:marBottom w:val="0"/>
      <w:divBdr>
        <w:top w:val="none" w:sz="0" w:space="0" w:color="auto"/>
        <w:left w:val="none" w:sz="0" w:space="0" w:color="auto"/>
        <w:bottom w:val="none" w:sz="0" w:space="0" w:color="auto"/>
        <w:right w:val="none" w:sz="0" w:space="0" w:color="auto"/>
      </w:divBdr>
    </w:div>
    <w:div w:id="1626740752">
      <w:bodyDiv w:val="1"/>
      <w:marLeft w:val="0"/>
      <w:marRight w:val="0"/>
      <w:marTop w:val="0"/>
      <w:marBottom w:val="0"/>
      <w:divBdr>
        <w:top w:val="none" w:sz="0" w:space="0" w:color="auto"/>
        <w:left w:val="none" w:sz="0" w:space="0" w:color="auto"/>
        <w:bottom w:val="none" w:sz="0" w:space="0" w:color="auto"/>
        <w:right w:val="none" w:sz="0" w:space="0" w:color="auto"/>
      </w:divBdr>
    </w:div>
    <w:div w:id="1662924578">
      <w:bodyDiv w:val="1"/>
      <w:marLeft w:val="0"/>
      <w:marRight w:val="0"/>
      <w:marTop w:val="0"/>
      <w:marBottom w:val="0"/>
      <w:divBdr>
        <w:top w:val="none" w:sz="0" w:space="0" w:color="auto"/>
        <w:left w:val="none" w:sz="0" w:space="0" w:color="auto"/>
        <w:bottom w:val="none" w:sz="0" w:space="0" w:color="auto"/>
        <w:right w:val="none" w:sz="0" w:space="0" w:color="auto"/>
      </w:divBdr>
    </w:div>
    <w:div w:id="1667514567">
      <w:bodyDiv w:val="1"/>
      <w:marLeft w:val="240"/>
      <w:marRight w:val="240"/>
      <w:marTop w:val="240"/>
      <w:marBottom w:val="60"/>
      <w:divBdr>
        <w:top w:val="none" w:sz="0" w:space="0" w:color="auto"/>
        <w:left w:val="none" w:sz="0" w:space="0" w:color="auto"/>
        <w:bottom w:val="none" w:sz="0" w:space="0" w:color="auto"/>
        <w:right w:val="none" w:sz="0" w:space="0" w:color="auto"/>
      </w:divBdr>
      <w:divsChild>
        <w:div w:id="1638803988">
          <w:marLeft w:val="0"/>
          <w:marRight w:val="0"/>
          <w:marTop w:val="0"/>
          <w:marBottom w:val="0"/>
          <w:divBdr>
            <w:top w:val="none" w:sz="0" w:space="0" w:color="auto"/>
            <w:left w:val="none" w:sz="0" w:space="0" w:color="auto"/>
            <w:bottom w:val="single" w:sz="6" w:space="9" w:color="C8C8C8"/>
            <w:right w:val="none" w:sz="0" w:space="0" w:color="auto"/>
          </w:divBdr>
          <w:divsChild>
            <w:div w:id="415172884">
              <w:marLeft w:val="0"/>
              <w:marRight w:val="0"/>
              <w:marTop w:val="0"/>
              <w:marBottom w:val="0"/>
              <w:divBdr>
                <w:top w:val="none" w:sz="0" w:space="0" w:color="auto"/>
                <w:left w:val="none" w:sz="0" w:space="0" w:color="auto"/>
                <w:bottom w:val="none" w:sz="0" w:space="0" w:color="auto"/>
                <w:right w:val="none" w:sz="0" w:space="0" w:color="auto"/>
              </w:divBdr>
              <w:divsChild>
                <w:div w:id="604654701">
                  <w:marLeft w:val="0"/>
                  <w:marRight w:val="0"/>
                  <w:marTop w:val="0"/>
                  <w:marBottom w:val="0"/>
                  <w:divBdr>
                    <w:top w:val="none" w:sz="0" w:space="0" w:color="auto"/>
                    <w:left w:val="none" w:sz="0" w:space="0" w:color="auto"/>
                    <w:bottom w:val="none" w:sz="0" w:space="0" w:color="auto"/>
                    <w:right w:val="none" w:sz="0" w:space="0" w:color="auto"/>
                  </w:divBdr>
                  <w:divsChild>
                    <w:div w:id="1639530063">
                      <w:marLeft w:val="0"/>
                      <w:marRight w:val="0"/>
                      <w:marTop w:val="0"/>
                      <w:marBottom w:val="0"/>
                      <w:divBdr>
                        <w:top w:val="none" w:sz="0" w:space="0" w:color="auto"/>
                        <w:left w:val="none" w:sz="0" w:space="0" w:color="auto"/>
                        <w:bottom w:val="none" w:sz="0" w:space="0" w:color="auto"/>
                        <w:right w:val="none" w:sz="0" w:space="0" w:color="auto"/>
                      </w:divBdr>
                    </w:div>
                    <w:div w:id="17424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03717">
      <w:bodyDiv w:val="1"/>
      <w:marLeft w:val="0"/>
      <w:marRight w:val="0"/>
      <w:marTop w:val="0"/>
      <w:marBottom w:val="0"/>
      <w:divBdr>
        <w:top w:val="none" w:sz="0" w:space="0" w:color="auto"/>
        <w:left w:val="none" w:sz="0" w:space="0" w:color="auto"/>
        <w:bottom w:val="none" w:sz="0" w:space="0" w:color="auto"/>
        <w:right w:val="none" w:sz="0" w:space="0" w:color="auto"/>
      </w:divBdr>
    </w:div>
    <w:div w:id="1680307876">
      <w:bodyDiv w:val="1"/>
      <w:marLeft w:val="0"/>
      <w:marRight w:val="0"/>
      <w:marTop w:val="0"/>
      <w:marBottom w:val="0"/>
      <w:divBdr>
        <w:top w:val="none" w:sz="0" w:space="0" w:color="auto"/>
        <w:left w:val="none" w:sz="0" w:space="0" w:color="auto"/>
        <w:bottom w:val="none" w:sz="0" w:space="0" w:color="auto"/>
        <w:right w:val="none" w:sz="0" w:space="0" w:color="auto"/>
      </w:divBdr>
    </w:div>
    <w:div w:id="1692994250">
      <w:bodyDiv w:val="1"/>
      <w:marLeft w:val="0"/>
      <w:marRight w:val="0"/>
      <w:marTop w:val="0"/>
      <w:marBottom w:val="0"/>
      <w:divBdr>
        <w:top w:val="none" w:sz="0" w:space="0" w:color="auto"/>
        <w:left w:val="none" w:sz="0" w:space="0" w:color="auto"/>
        <w:bottom w:val="none" w:sz="0" w:space="0" w:color="auto"/>
        <w:right w:val="none" w:sz="0" w:space="0" w:color="auto"/>
      </w:divBdr>
    </w:div>
    <w:div w:id="1693412503">
      <w:bodyDiv w:val="1"/>
      <w:marLeft w:val="0"/>
      <w:marRight w:val="0"/>
      <w:marTop w:val="0"/>
      <w:marBottom w:val="0"/>
      <w:divBdr>
        <w:top w:val="none" w:sz="0" w:space="0" w:color="auto"/>
        <w:left w:val="none" w:sz="0" w:space="0" w:color="auto"/>
        <w:bottom w:val="none" w:sz="0" w:space="0" w:color="auto"/>
        <w:right w:val="none" w:sz="0" w:space="0" w:color="auto"/>
      </w:divBdr>
    </w:div>
    <w:div w:id="1708287881">
      <w:bodyDiv w:val="1"/>
      <w:marLeft w:val="0"/>
      <w:marRight w:val="0"/>
      <w:marTop w:val="0"/>
      <w:marBottom w:val="0"/>
      <w:divBdr>
        <w:top w:val="none" w:sz="0" w:space="0" w:color="auto"/>
        <w:left w:val="none" w:sz="0" w:space="0" w:color="auto"/>
        <w:bottom w:val="none" w:sz="0" w:space="0" w:color="auto"/>
        <w:right w:val="none" w:sz="0" w:space="0" w:color="auto"/>
      </w:divBdr>
    </w:div>
    <w:div w:id="1712027241">
      <w:bodyDiv w:val="1"/>
      <w:marLeft w:val="0"/>
      <w:marRight w:val="0"/>
      <w:marTop w:val="0"/>
      <w:marBottom w:val="0"/>
      <w:divBdr>
        <w:top w:val="none" w:sz="0" w:space="0" w:color="auto"/>
        <w:left w:val="none" w:sz="0" w:space="0" w:color="auto"/>
        <w:bottom w:val="none" w:sz="0" w:space="0" w:color="auto"/>
        <w:right w:val="none" w:sz="0" w:space="0" w:color="auto"/>
      </w:divBdr>
    </w:div>
    <w:div w:id="1713116657">
      <w:bodyDiv w:val="1"/>
      <w:marLeft w:val="0"/>
      <w:marRight w:val="0"/>
      <w:marTop w:val="0"/>
      <w:marBottom w:val="0"/>
      <w:divBdr>
        <w:top w:val="none" w:sz="0" w:space="0" w:color="auto"/>
        <w:left w:val="none" w:sz="0" w:space="0" w:color="auto"/>
        <w:bottom w:val="none" w:sz="0" w:space="0" w:color="auto"/>
        <w:right w:val="none" w:sz="0" w:space="0" w:color="auto"/>
      </w:divBdr>
    </w:div>
    <w:div w:id="1721511443">
      <w:bodyDiv w:val="1"/>
      <w:marLeft w:val="0"/>
      <w:marRight w:val="0"/>
      <w:marTop w:val="0"/>
      <w:marBottom w:val="0"/>
      <w:divBdr>
        <w:top w:val="none" w:sz="0" w:space="0" w:color="auto"/>
        <w:left w:val="none" w:sz="0" w:space="0" w:color="auto"/>
        <w:bottom w:val="none" w:sz="0" w:space="0" w:color="auto"/>
        <w:right w:val="none" w:sz="0" w:space="0" w:color="auto"/>
      </w:divBdr>
    </w:div>
    <w:div w:id="1726491150">
      <w:bodyDiv w:val="1"/>
      <w:marLeft w:val="0"/>
      <w:marRight w:val="0"/>
      <w:marTop w:val="0"/>
      <w:marBottom w:val="0"/>
      <w:divBdr>
        <w:top w:val="none" w:sz="0" w:space="0" w:color="auto"/>
        <w:left w:val="none" w:sz="0" w:space="0" w:color="auto"/>
        <w:bottom w:val="none" w:sz="0" w:space="0" w:color="auto"/>
        <w:right w:val="none" w:sz="0" w:space="0" w:color="auto"/>
      </w:divBdr>
    </w:div>
    <w:div w:id="1726877763">
      <w:bodyDiv w:val="1"/>
      <w:marLeft w:val="0"/>
      <w:marRight w:val="0"/>
      <w:marTop w:val="0"/>
      <w:marBottom w:val="0"/>
      <w:divBdr>
        <w:top w:val="none" w:sz="0" w:space="0" w:color="auto"/>
        <w:left w:val="none" w:sz="0" w:space="0" w:color="auto"/>
        <w:bottom w:val="none" w:sz="0" w:space="0" w:color="auto"/>
        <w:right w:val="none" w:sz="0" w:space="0" w:color="auto"/>
      </w:divBdr>
    </w:div>
    <w:div w:id="1756053339">
      <w:bodyDiv w:val="1"/>
      <w:marLeft w:val="0"/>
      <w:marRight w:val="0"/>
      <w:marTop w:val="0"/>
      <w:marBottom w:val="0"/>
      <w:divBdr>
        <w:top w:val="none" w:sz="0" w:space="0" w:color="auto"/>
        <w:left w:val="none" w:sz="0" w:space="0" w:color="auto"/>
        <w:bottom w:val="none" w:sz="0" w:space="0" w:color="auto"/>
        <w:right w:val="none" w:sz="0" w:space="0" w:color="auto"/>
      </w:divBdr>
    </w:div>
    <w:div w:id="1756979480">
      <w:bodyDiv w:val="1"/>
      <w:marLeft w:val="0"/>
      <w:marRight w:val="0"/>
      <w:marTop w:val="0"/>
      <w:marBottom w:val="0"/>
      <w:divBdr>
        <w:top w:val="none" w:sz="0" w:space="0" w:color="auto"/>
        <w:left w:val="none" w:sz="0" w:space="0" w:color="auto"/>
        <w:bottom w:val="none" w:sz="0" w:space="0" w:color="auto"/>
        <w:right w:val="none" w:sz="0" w:space="0" w:color="auto"/>
      </w:divBdr>
    </w:div>
    <w:div w:id="1771702798">
      <w:bodyDiv w:val="1"/>
      <w:marLeft w:val="0"/>
      <w:marRight w:val="0"/>
      <w:marTop w:val="0"/>
      <w:marBottom w:val="0"/>
      <w:divBdr>
        <w:top w:val="none" w:sz="0" w:space="0" w:color="auto"/>
        <w:left w:val="none" w:sz="0" w:space="0" w:color="auto"/>
        <w:bottom w:val="none" w:sz="0" w:space="0" w:color="auto"/>
        <w:right w:val="none" w:sz="0" w:space="0" w:color="auto"/>
      </w:divBdr>
    </w:div>
    <w:div w:id="177505591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828940451">
      <w:bodyDiv w:val="1"/>
      <w:marLeft w:val="0"/>
      <w:marRight w:val="0"/>
      <w:marTop w:val="0"/>
      <w:marBottom w:val="0"/>
      <w:divBdr>
        <w:top w:val="none" w:sz="0" w:space="0" w:color="auto"/>
        <w:left w:val="none" w:sz="0" w:space="0" w:color="auto"/>
        <w:bottom w:val="none" w:sz="0" w:space="0" w:color="auto"/>
        <w:right w:val="none" w:sz="0" w:space="0" w:color="auto"/>
      </w:divBdr>
    </w:div>
    <w:div w:id="1843202740">
      <w:bodyDiv w:val="1"/>
      <w:marLeft w:val="0"/>
      <w:marRight w:val="0"/>
      <w:marTop w:val="0"/>
      <w:marBottom w:val="0"/>
      <w:divBdr>
        <w:top w:val="none" w:sz="0" w:space="0" w:color="auto"/>
        <w:left w:val="none" w:sz="0" w:space="0" w:color="auto"/>
        <w:bottom w:val="none" w:sz="0" w:space="0" w:color="auto"/>
        <w:right w:val="none" w:sz="0" w:space="0" w:color="auto"/>
      </w:divBdr>
    </w:div>
    <w:div w:id="1849127834">
      <w:bodyDiv w:val="1"/>
      <w:marLeft w:val="0"/>
      <w:marRight w:val="0"/>
      <w:marTop w:val="0"/>
      <w:marBottom w:val="0"/>
      <w:divBdr>
        <w:top w:val="none" w:sz="0" w:space="0" w:color="auto"/>
        <w:left w:val="none" w:sz="0" w:space="0" w:color="auto"/>
        <w:bottom w:val="none" w:sz="0" w:space="0" w:color="auto"/>
        <w:right w:val="none" w:sz="0" w:space="0" w:color="auto"/>
      </w:divBdr>
    </w:div>
    <w:div w:id="1869414783">
      <w:bodyDiv w:val="1"/>
      <w:marLeft w:val="0"/>
      <w:marRight w:val="0"/>
      <w:marTop w:val="0"/>
      <w:marBottom w:val="0"/>
      <w:divBdr>
        <w:top w:val="none" w:sz="0" w:space="0" w:color="auto"/>
        <w:left w:val="none" w:sz="0" w:space="0" w:color="auto"/>
        <w:bottom w:val="none" w:sz="0" w:space="0" w:color="auto"/>
        <w:right w:val="none" w:sz="0" w:space="0" w:color="auto"/>
      </w:divBdr>
    </w:div>
    <w:div w:id="1870411698">
      <w:bodyDiv w:val="1"/>
      <w:marLeft w:val="0"/>
      <w:marRight w:val="0"/>
      <w:marTop w:val="0"/>
      <w:marBottom w:val="0"/>
      <w:divBdr>
        <w:top w:val="none" w:sz="0" w:space="0" w:color="auto"/>
        <w:left w:val="none" w:sz="0" w:space="0" w:color="auto"/>
        <w:bottom w:val="none" w:sz="0" w:space="0" w:color="auto"/>
        <w:right w:val="none" w:sz="0" w:space="0" w:color="auto"/>
      </w:divBdr>
    </w:div>
    <w:div w:id="1875381925">
      <w:bodyDiv w:val="1"/>
      <w:marLeft w:val="0"/>
      <w:marRight w:val="0"/>
      <w:marTop w:val="0"/>
      <w:marBottom w:val="0"/>
      <w:divBdr>
        <w:top w:val="none" w:sz="0" w:space="0" w:color="auto"/>
        <w:left w:val="none" w:sz="0" w:space="0" w:color="auto"/>
        <w:bottom w:val="none" w:sz="0" w:space="0" w:color="auto"/>
        <w:right w:val="none" w:sz="0" w:space="0" w:color="auto"/>
      </w:divBdr>
    </w:div>
    <w:div w:id="1885634206">
      <w:bodyDiv w:val="1"/>
      <w:marLeft w:val="0"/>
      <w:marRight w:val="0"/>
      <w:marTop w:val="0"/>
      <w:marBottom w:val="0"/>
      <w:divBdr>
        <w:top w:val="none" w:sz="0" w:space="0" w:color="auto"/>
        <w:left w:val="none" w:sz="0" w:space="0" w:color="auto"/>
        <w:bottom w:val="none" w:sz="0" w:space="0" w:color="auto"/>
        <w:right w:val="none" w:sz="0" w:space="0" w:color="auto"/>
      </w:divBdr>
    </w:div>
    <w:div w:id="1891763107">
      <w:bodyDiv w:val="1"/>
      <w:marLeft w:val="0"/>
      <w:marRight w:val="0"/>
      <w:marTop w:val="0"/>
      <w:marBottom w:val="0"/>
      <w:divBdr>
        <w:top w:val="none" w:sz="0" w:space="0" w:color="auto"/>
        <w:left w:val="none" w:sz="0" w:space="0" w:color="auto"/>
        <w:bottom w:val="none" w:sz="0" w:space="0" w:color="auto"/>
        <w:right w:val="none" w:sz="0" w:space="0" w:color="auto"/>
      </w:divBdr>
    </w:div>
    <w:div w:id="1898854483">
      <w:bodyDiv w:val="1"/>
      <w:marLeft w:val="0"/>
      <w:marRight w:val="0"/>
      <w:marTop w:val="0"/>
      <w:marBottom w:val="0"/>
      <w:divBdr>
        <w:top w:val="none" w:sz="0" w:space="0" w:color="auto"/>
        <w:left w:val="none" w:sz="0" w:space="0" w:color="auto"/>
        <w:bottom w:val="none" w:sz="0" w:space="0" w:color="auto"/>
        <w:right w:val="none" w:sz="0" w:space="0" w:color="auto"/>
      </w:divBdr>
    </w:div>
    <w:div w:id="1900240095">
      <w:bodyDiv w:val="1"/>
      <w:marLeft w:val="0"/>
      <w:marRight w:val="0"/>
      <w:marTop w:val="0"/>
      <w:marBottom w:val="0"/>
      <w:divBdr>
        <w:top w:val="none" w:sz="0" w:space="0" w:color="auto"/>
        <w:left w:val="none" w:sz="0" w:space="0" w:color="auto"/>
        <w:bottom w:val="none" w:sz="0" w:space="0" w:color="auto"/>
        <w:right w:val="none" w:sz="0" w:space="0" w:color="auto"/>
      </w:divBdr>
    </w:div>
    <w:div w:id="1901357208">
      <w:bodyDiv w:val="1"/>
      <w:marLeft w:val="0"/>
      <w:marRight w:val="0"/>
      <w:marTop w:val="0"/>
      <w:marBottom w:val="0"/>
      <w:divBdr>
        <w:top w:val="none" w:sz="0" w:space="0" w:color="auto"/>
        <w:left w:val="none" w:sz="0" w:space="0" w:color="auto"/>
        <w:bottom w:val="none" w:sz="0" w:space="0" w:color="auto"/>
        <w:right w:val="none" w:sz="0" w:space="0" w:color="auto"/>
      </w:divBdr>
    </w:div>
    <w:div w:id="1908613908">
      <w:bodyDiv w:val="1"/>
      <w:marLeft w:val="0"/>
      <w:marRight w:val="0"/>
      <w:marTop w:val="0"/>
      <w:marBottom w:val="0"/>
      <w:divBdr>
        <w:top w:val="none" w:sz="0" w:space="0" w:color="auto"/>
        <w:left w:val="none" w:sz="0" w:space="0" w:color="auto"/>
        <w:bottom w:val="none" w:sz="0" w:space="0" w:color="auto"/>
        <w:right w:val="none" w:sz="0" w:space="0" w:color="auto"/>
      </w:divBdr>
    </w:div>
    <w:div w:id="1918320034">
      <w:bodyDiv w:val="1"/>
      <w:marLeft w:val="0"/>
      <w:marRight w:val="0"/>
      <w:marTop w:val="0"/>
      <w:marBottom w:val="0"/>
      <w:divBdr>
        <w:top w:val="none" w:sz="0" w:space="0" w:color="auto"/>
        <w:left w:val="none" w:sz="0" w:space="0" w:color="auto"/>
        <w:bottom w:val="none" w:sz="0" w:space="0" w:color="auto"/>
        <w:right w:val="none" w:sz="0" w:space="0" w:color="auto"/>
      </w:divBdr>
    </w:div>
    <w:div w:id="1927373631">
      <w:bodyDiv w:val="1"/>
      <w:marLeft w:val="0"/>
      <w:marRight w:val="0"/>
      <w:marTop w:val="0"/>
      <w:marBottom w:val="0"/>
      <w:divBdr>
        <w:top w:val="none" w:sz="0" w:space="0" w:color="auto"/>
        <w:left w:val="none" w:sz="0" w:space="0" w:color="auto"/>
        <w:bottom w:val="none" w:sz="0" w:space="0" w:color="auto"/>
        <w:right w:val="none" w:sz="0" w:space="0" w:color="auto"/>
      </w:divBdr>
    </w:div>
    <w:div w:id="1931574397">
      <w:bodyDiv w:val="1"/>
      <w:marLeft w:val="0"/>
      <w:marRight w:val="0"/>
      <w:marTop w:val="0"/>
      <w:marBottom w:val="0"/>
      <w:divBdr>
        <w:top w:val="none" w:sz="0" w:space="0" w:color="auto"/>
        <w:left w:val="none" w:sz="0" w:space="0" w:color="auto"/>
        <w:bottom w:val="none" w:sz="0" w:space="0" w:color="auto"/>
        <w:right w:val="none" w:sz="0" w:space="0" w:color="auto"/>
      </w:divBdr>
    </w:div>
    <w:div w:id="1932740157">
      <w:bodyDiv w:val="1"/>
      <w:marLeft w:val="0"/>
      <w:marRight w:val="0"/>
      <w:marTop w:val="0"/>
      <w:marBottom w:val="0"/>
      <w:divBdr>
        <w:top w:val="none" w:sz="0" w:space="0" w:color="auto"/>
        <w:left w:val="none" w:sz="0" w:space="0" w:color="auto"/>
        <w:bottom w:val="none" w:sz="0" w:space="0" w:color="auto"/>
        <w:right w:val="none" w:sz="0" w:space="0" w:color="auto"/>
      </w:divBdr>
    </w:div>
    <w:div w:id="1936864597">
      <w:bodyDiv w:val="1"/>
      <w:marLeft w:val="0"/>
      <w:marRight w:val="0"/>
      <w:marTop w:val="0"/>
      <w:marBottom w:val="0"/>
      <w:divBdr>
        <w:top w:val="none" w:sz="0" w:space="0" w:color="auto"/>
        <w:left w:val="none" w:sz="0" w:space="0" w:color="auto"/>
        <w:bottom w:val="none" w:sz="0" w:space="0" w:color="auto"/>
        <w:right w:val="none" w:sz="0" w:space="0" w:color="auto"/>
      </w:divBdr>
    </w:div>
    <w:div w:id="1940094824">
      <w:bodyDiv w:val="1"/>
      <w:marLeft w:val="0"/>
      <w:marRight w:val="0"/>
      <w:marTop w:val="0"/>
      <w:marBottom w:val="0"/>
      <w:divBdr>
        <w:top w:val="none" w:sz="0" w:space="0" w:color="auto"/>
        <w:left w:val="none" w:sz="0" w:space="0" w:color="auto"/>
        <w:bottom w:val="none" w:sz="0" w:space="0" w:color="auto"/>
        <w:right w:val="none" w:sz="0" w:space="0" w:color="auto"/>
      </w:divBdr>
    </w:div>
    <w:div w:id="1944722257">
      <w:bodyDiv w:val="1"/>
      <w:marLeft w:val="0"/>
      <w:marRight w:val="0"/>
      <w:marTop w:val="0"/>
      <w:marBottom w:val="0"/>
      <w:divBdr>
        <w:top w:val="none" w:sz="0" w:space="0" w:color="auto"/>
        <w:left w:val="none" w:sz="0" w:space="0" w:color="auto"/>
        <w:bottom w:val="none" w:sz="0" w:space="0" w:color="auto"/>
        <w:right w:val="none" w:sz="0" w:space="0" w:color="auto"/>
      </w:divBdr>
    </w:div>
    <w:div w:id="1945726298">
      <w:bodyDiv w:val="1"/>
      <w:marLeft w:val="0"/>
      <w:marRight w:val="0"/>
      <w:marTop w:val="0"/>
      <w:marBottom w:val="0"/>
      <w:divBdr>
        <w:top w:val="none" w:sz="0" w:space="0" w:color="auto"/>
        <w:left w:val="none" w:sz="0" w:space="0" w:color="auto"/>
        <w:bottom w:val="none" w:sz="0" w:space="0" w:color="auto"/>
        <w:right w:val="none" w:sz="0" w:space="0" w:color="auto"/>
      </w:divBdr>
    </w:div>
    <w:div w:id="1965041639">
      <w:bodyDiv w:val="1"/>
      <w:marLeft w:val="0"/>
      <w:marRight w:val="0"/>
      <w:marTop w:val="0"/>
      <w:marBottom w:val="0"/>
      <w:divBdr>
        <w:top w:val="none" w:sz="0" w:space="0" w:color="auto"/>
        <w:left w:val="none" w:sz="0" w:space="0" w:color="auto"/>
        <w:bottom w:val="none" w:sz="0" w:space="0" w:color="auto"/>
        <w:right w:val="none" w:sz="0" w:space="0" w:color="auto"/>
      </w:divBdr>
    </w:div>
    <w:div w:id="1970473382">
      <w:bodyDiv w:val="1"/>
      <w:marLeft w:val="0"/>
      <w:marRight w:val="0"/>
      <w:marTop w:val="0"/>
      <w:marBottom w:val="0"/>
      <w:divBdr>
        <w:top w:val="none" w:sz="0" w:space="0" w:color="auto"/>
        <w:left w:val="none" w:sz="0" w:space="0" w:color="auto"/>
        <w:bottom w:val="none" w:sz="0" w:space="0" w:color="auto"/>
        <w:right w:val="none" w:sz="0" w:space="0" w:color="auto"/>
      </w:divBdr>
    </w:div>
    <w:div w:id="1971593756">
      <w:bodyDiv w:val="1"/>
      <w:marLeft w:val="0"/>
      <w:marRight w:val="0"/>
      <w:marTop w:val="0"/>
      <w:marBottom w:val="0"/>
      <w:divBdr>
        <w:top w:val="none" w:sz="0" w:space="0" w:color="auto"/>
        <w:left w:val="none" w:sz="0" w:space="0" w:color="auto"/>
        <w:bottom w:val="none" w:sz="0" w:space="0" w:color="auto"/>
        <w:right w:val="none" w:sz="0" w:space="0" w:color="auto"/>
      </w:divBdr>
    </w:div>
    <w:div w:id="1971662910">
      <w:bodyDiv w:val="1"/>
      <w:marLeft w:val="0"/>
      <w:marRight w:val="0"/>
      <w:marTop w:val="0"/>
      <w:marBottom w:val="0"/>
      <w:divBdr>
        <w:top w:val="none" w:sz="0" w:space="0" w:color="auto"/>
        <w:left w:val="none" w:sz="0" w:space="0" w:color="auto"/>
        <w:bottom w:val="none" w:sz="0" w:space="0" w:color="auto"/>
        <w:right w:val="none" w:sz="0" w:space="0" w:color="auto"/>
      </w:divBdr>
    </w:div>
    <w:div w:id="1982490798">
      <w:bodyDiv w:val="1"/>
      <w:marLeft w:val="0"/>
      <w:marRight w:val="0"/>
      <w:marTop w:val="0"/>
      <w:marBottom w:val="0"/>
      <w:divBdr>
        <w:top w:val="none" w:sz="0" w:space="0" w:color="auto"/>
        <w:left w:val="none" w:sz="0" w:space="0" w:color="auto"/>
        <w:bottom w:val="none" w:sz="0" w:space="0" w:color="auto"/>
        <w:right w:val="none" w:sz="0" w:space="0" w:color="auto"/>
      </w:divBdr>
    </w:div>
    <w:div w:id="2004699125">
      <w:bodyDiv w:val="1"/>
      <w:marLeft w:val="0"/>
      <w:marRight w:val="0"/>
      <w:marTop w:val="0"/>
      <w:marBottom w:val="0"/>
      <w:divBdr>
        <w:top w:val="none" w:sz="0" w:space="0" w:color="auto"/>
        <w:left w:val="none" w:sz="0" w:space="0" w:color="auto"/>
        <w:bottom w:val="none" w:sz="0" w:space="0" w:color="auto"/>
        <w:right w:val="none" w:sz="0" w:space="0" w:color="auto"/>
      </w:divBdr>
    </w:div>
    <w:div w:id="2015917938">
      <w:bodyDiv w:val="1"/>
      <w:marLeft w:val="0"/>
      <w:marRight w:val="0"/>
      <w:marTop w:val="0"/>
      <w:marBottom w:val="0"/>
      <w:divBdr>
        <w:top w:val="none" w:sz="0" w:space="0" w:color="auto"/>
        <w:left w:val="none" w:sz="0" w:space="0" w:color="auto"/>
        <w:bottom w:val="none" w:sz="0" w:space="0" w:color="auto"/>
        <w:right w:val="none" w:sz="0" w:space="0" w:color="auto"/>
      </w:divBdr>
    </w:div>
    <w:div w:id="2029335274">
      <w:bodyDiv w:val="1"/>
      <w:marLeft w:val="0"/>
      <w:marRight w:val="0"/>
      <w:marTop w:val="0"/>
      <w:marBottom w:val="0"/>
      <w:divBdr>
        <w:top w:val="none" w:sz="0" w:space="0" w:color="auto"/>
        <w:left w:val="none" w:sz="0" w:space="0" w:color="auto"/>
        <w:bottom w:val="none" w:sz="0" w:space="0" w:color="auto"/>
        <w:right w:val="none" w:sz="0" w:space="0" w:color="auto"/>
      </w:divBdr>
    </w:div>
    <w:div w:id="2055502623">
      <w:bodyDiv w:val="1"/>
      <w:marLeft w:val="0"/>
      <w:marRight w:val="0"/>
      <w:marTop w:val="0"/>
      <w:marBottom w:val="0"/>
      <w:divBdr>
        <w:top w:val="none" w:sz="0" w:space="0" w:color="auto"/>
        <w:left w:val="none" w:sz="0" w:space="0" w:color="auto"/>
        <w:bottom w:val="none" w:sz="0" w:space="0" w:color="auto"/>
        <w:right w:val="none" w:sz="0" w:space="0" w:color="auto"/>
      </w:divBdr>
    </w:div>
    <w:div w:id="2059623331">
      <w:bodyDiv w:val="1"/>
      <w:marLeft w:val="0"/>
      <w:marRight w:val="0"/>
      <w:marTop w:val="0"/>
      <w:marBottom w:val="0"/>
      <w:divBdr>
        <w:top w:val="none" w:sz="0" w:space="0" w:color="auto"/>
        <w:left w:val="none" w:sz="0" w:space="0" w:color="auto"/>
        <w:bottom w:val="none" w:sz="0" w:space="0" w:color="auto"/>
        <w:right w:val="none" w:sz="0" w:space="0" w:color="auto"/>
      </w:divBdr>
    </w:div>
    <w:div w:id="2060857382">
      <w:bodyDiv w:val="1"/>
      <w:marLeft w:val="0"/>
      <w:marRight w:val="0"/>
      <w:marTop w:val="0"/>
      <w:marBottom w:val="0"/>
      <w:divBdr>
        <w:top w:val="none" w:sz="0" w:space="0" w:color="auto"/>
        <w:left w:val="none" w:sz="0" w:space="0" w:color="auto"/>
        <w:bottom w:val="none" w:sz="0" w:space="0" w:color="auto"/>
        <w:right w:val="none" w:sz="0" w:space="0" w:color="auto"/>
      </w:divBdr>
    </w:div>
    <w:div w:id="2077392062">
      <w:bodyDiv w:val="1"/>
      <w:marLeft w:val="0"/>
      <w:marRight w:val="0"/>
      <w:marTop w:val="0"/>
      <w:marBottom w:val="0"/>
      <w:divBdr>
        <w:top w:val="none" w:sz="0" w:space="0" w:color="auto"/>
        <w:left w:val="none" w:sz="0" w:space="0" w:color="auto"/>
        <w:bottom w:val="none" w:sz="0" w:space="0" w:color="auto"/>
        <w:right w:val="none" w:sz="0" w:space="0" w:color="auto"/>
      </w:divBdr>
    </w:div>
    <w:div w:id="2091003494">
      <w:bodyDiv w:val="1"/>
      <w:marLeft w:val="0"/>
      <w:marRight w:val="0"/>
      <w:marTop w:val="0"/>
      <w:marBottom w:val="0"/>
      <w:divBdr>
        <w:top w:val="none" w:sz="0" w:space="0" w:color="auto"/>
        <w:left w:val="none" w:sz="0" w:space="0" w:color="auto"/>
        <w:bottom w:val="none" w:sz="0" w:space="0" w:color="auto"/>
        <w:right w:val="none" w:sz="0" w:space="0" w:color="auto"/>
      </w:divBdr>
    </w:div>
    <w:div w:id="2099867378">
      <w:bodyDiv w:val="1"/>
      <w:marLeft w:val="0"/>
      <w:marRight w:val="0"/>
      <w:marTop w:val="0"/>
      <w:marBottom w:val="0"/>
      <w:divBdr>
        <w:top w:val="none" w:sz="0" w:space="0" w:color="auto"/>
        <w:left w:val="none" w:sz="0" w:space="0" w:color="auto"/>
        <w:bottom w:val="none" w:sz="0" w:space="0" w:color="auto"/>
        <w:right w:val="none" w:sz="0" w:space="0" w:color="auto"/>
      </w:divBdr>
    </w:div>
    <w:div w:id="2107534547">
      <w:bodyDiv w:val="1"/>
      <w:marLeft w:val="0"/>
      <w:marRight w:val="0"/>
      <w:marTop w:val="0"/>
      <w:marBottom w:val="0"/>
      <w:divBdr>
        <w:top w:val="none" w:sz="0" w:space="0" w:color="auto"/>
        <w:left w:val="none" w:sz="0" w:space="0" w:color="auto"/>
        <w:bottom w:val="none" w:sz="0" w:space="0" w:color="auto"/>
        <w:right w:val="none" w:sz="0" w:space="0" w:color="auto"/>
      </w:divBdr>
    </w:div>
    <w:div w:id="2135899798">
      <w:bodyDiv w:val="1"/>
      <w:marLeft w:val="0"/>
      <w:marRight w:val="0"/>
      <w:marTop w:val="0"/>
      <w:marBottom w:val="0"/>
      <w:divBdr>
        <w:top w:val="none" w:sz="0" w:space="0" w:color="auto"/>
        <w:left w:val="none" w:sz="0" w:space="0" w:color="auto"/>
        <w:bottom w:val="none" w:sz="0" w:space="0" w:color="auto"/>
        <w:right w:val="none" w:sz="0" w:space="0" w:color="auto"/>
      </w:divBdr>
    </w:div>
    <w:div w:id="2142336771">
      <w:bodyDiv w:val="1"/>
      <w:marLeft w:val="240"/>
      <w:marRight w:val="240"/>
      <w:marTop w:val="240"/>
      <w:marBottom w:val="60"/>
      <w:divBdr>
        <w:top w:val="none" w:sz="0" w:space="0" w:color="auto"/>
        <w:left w:val="none" w:sz="0" w:space="0" w:color="auto"/>
        <w:bottom w:val="none" w:sz="0" w:space="0" w:color="auto"/>
        <w:right w:val="none" w:sz="0" w:space="0" w:color="auto"/>
      </w:divBdr>
      <w:divsChild>
        <w:div w:id="2021660347">
          <w:marLeft w:val="0"/>
          <w:marRight w:val="0"/>
          <w:marTop w:val="0"/>
          <w:marBottom w:val="0"/>
          <w:divBdr>
            <w:top w:val="none" w:sz="0" w:space="0" w:color="auto"/>
            <w:left w:val="none" w:sz="0" w:space="0" w:color="auto"/>
            <w:bottom w:val="single" w:sz="6" w:space="9" w:color="C8C8C8"/>
            <w:right w:val="none" w:sz="0" w:space="0" w:color="auto"/>
          </w:divBdr>
          <w:divsChild>
            <w:div w:id="171536518">
              <w:marLeft w:val="0"/>
              <w:marRight w:val="0"/>
              <w:marTop w:val="0"/>
              <w:marBottom w:val="0"/>
              <w:divBdr>
                <w:top w:val="none" w:sz="0" w:space="0" w:color="auto"/>
                <w:left w:val="none" w:sz="0" w:space="0" w:color="auto"/>
                <w:bottom w:val="none" w:sz="0" w:space="0" w:color="auto"/>
                <w:right w:val="none" w:sz="0" w:space="0" w:color="auto"/>
              </w:divBdr>
              <w:divsChild>
                <w:div w:id="272638094">
                  <w:marLeft w:val="0"/>
                  <w:marRight w:val="0"/>
                  <w:marTop w:val="0"/>
                  <w:marBottom w:val="0"/>
                  <w:divBdr>
                    <w:top w:val="none" w:sz="0" w:space="0" w:color="auto"/>
                    <w:left w:val="none" w:sz="0" w:space="0" w:color="auto"/>
                    <w:bottom w:val="none" w:sz="0" w:space="0" w:color="auto"/>
                    <w:right w:val="none" w:sz="0" w:space="0" w:color="auto"/>
                  </w:divBdr>
                  <w:divsChild>
                    <w:div w:id="2115518996">
                      <w:marLeft w:val="0"/>
                      <w:marRight w:val="0"/>
                      <w:marTop w:val="0"/>
                      <w:marBottom w:val="0"/>
                      <w:divBdr>
                        <w:top w:val="none" w:sz="0" w:space="0" w:color="auto"/>
                        <w:left w:val="none" w:sz="0" w:space="0" w:color="auto"/>
                        <w:bottom w:val="none" w:sz="0" w:space="0" w:color="auto"/>
                        <w:right w:val="none" w:sz="0" w:space="0" w:color="auto"/>
                      </w:divBdr>
                    </w:div>
                    <w:div w:id="34906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chart" Target="charts/chart10.xml"/><Relationship Id="rId39" Type="http://schemas.openxmlformats.org/officeDocument/2006/relationships/header" Target="header2.xml"/><Relationship Id="rId21" Type="http://schemas.openxmlformats.org/officeDocument/2006/relationships/chart" Target="charts/chart7.xml"/><Relationship Id="rId34" Type="http://schemas.openxmlformats.org/officeDocument/2006/relationships/image" Target="media/image7.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6.xml"/><Relationship Id="rId29" Type="http://schemas.openxmlformats.org/officeDocument/2006/relationships/chart" Target="charts/chart13.xml"/><Relationship Id="rId41" Type="http://schemas.openxmlformats.org/officeDocument/2006/relationships/theme" Target="theme/theme1.xml"/><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6.png"/><Relationship Id="rId32" Type="http://schemas.openxmlformats.org/officeDocument/2006/relationships/chart" Target="charts/chart16.xml"/><Relationship Id="rId37" Type="http://schemas.openxmlformats.org/officeDocument/2006/relationships/footer" Target="footer1.xml"/><Relationship Id="rId40" Type="http://schemas.openxmlformats.org/officeDocument/2006/relationships/fontTable" Target="fontTable.xml"/><Relationship Id="rId53"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5.png"/><Relationship Id="rId28" Type="http://schemas.openxmlformats.org/officeDocument/2006/relationships/chart" Target="charts/chart12.xm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chart" Target="charts/chart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hart" Target="charts/chart8.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hyperlink" Target="https://csu.gov.cz/produkty/prijmy-a-zivotni-podminky-domacnosti-xkhdcg1ma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_rels/chart1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package" Target="../embeddings/List_aplikace_Microsoft_Excel.xlsx"/></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1" Type="http://schemas.openxmlformats.org/officeDocument/2006/relationships/package" Target="../embeddings/List_aplikace_Microsoft_Excel1.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List_aplikace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77339327520555"/>
          <c:y val="3.1086335959473639E-2"/>
          <c:w val="0.78491921936793452"/>
          <c:h val="0.81217693025250415"/>
        </c:manualLayout>
      </c:layout>
      <c:barChart>
        <c:barDir val="col"/>
        <c:grouping val="clustered"/>
        <c:varyColors val="0"/>
        <c:ser>
          <c:idx val="0"/>
          <c:order val="0"/>
          <c:tx>
            <c:strRef>
              <c:f>'Průměrný příjem na osobu'!$B$3</c:f>
              <c:strCache>
                <c:ptCount val="1"/>
                <c:pt idx="0">
                  <c:v>průměrný příjem na osobu</c:v>
                </c:pt>
              </c:strCache>
            </c:strRef>
          </c:tx>
          <c:spPr>
            <a:solidFill>
              <a:srgbClr val="0071BC"/>
            </a:solidFill>
          </c:spPr>
          <c:invertIfNegative val="0"/>
          <c:dLbls>
            <c:numFmt formatCode="#,##0.0" sourceLinked="0"/>
            <c:spPr>
              <a:solidFill>
                <a:sysClr val="window" lastClr="FFFFFF"/>
              </a:solidFill>
              <a:ln>
                <a:solidFill>
                  <a:srgbClr val="0071BC"/>
                </a:solidFill>
              </a:ln>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'Průměrný příjem na osobu'!$A$12:$A$22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'Průměrný příjem na osobu'!$B$12:$B$22</c:f>
              <c:numCache>
                <c:formatCode>#,##0</c:formatCode>
                <c:ptCount val="11"/>
                <c:pt idx="0">
                  <c:v>153269</c:v>
                </c:pt>
                <c:pt idx="1">
                  <c:v>157623</c:v>
                </c:pt>
                <c:pt idx="2">
                  <c:v>164852.49</c:v>
                </c:pt>
                <c:pt idx="3">
                  <c:v>172173.34</c:v>
                </c:pt>
                <c:pt idx="4">
                  <c:v>182443</c:v>
                </c:pt>
                <c:pt idx="5">
                  <c:v>195071</c:v>
                </c:pt>
                <c:pt idx="6">
                  <c:v>209753.76</c:v>
                </c:pt>
                <c:pt idx="7">
                  <c:v>220106.33</c:v>
                </c:pt>
                <c:pt idx="8">
                  <c:v>241160.5</c:v>
                </c:pt>
                <c:pt idx="9">
                  <c:v>259850.12</c:v>
                </c:pt>
                <c:pt idx="10">
                  <c:v>278673.3</c:v>
                </c:pt>
              </c:numCache>
            </c:numRef>
          </c:val>
          <c:extLst>
            <c:ext xmlns:c16="http://schemas.microsoft.com/office/drawing/2014/chart" uri="{C3380CC4-5D6E-409C-BE32-E72D297353CC}">
              <c16:uniqueId val="{00000000-A0CD-4F1D-BC7E-8096A062807F}"/>
            </c:ext>
          </c:extLst>
        </c:ser>
        <c:dLbls>
          <c:showLegendKey val="0"/>
          <c:showVal val="0"/>
          <c:showCatName val="0"/>
          <c:showSerName val="0"/>
          <c:showPercent val="0"/>
          <c:showBubbleSize val="0"/>
        </c:dLbls>
        <c:gapWidth val="50"/>
        <c:axId val="85609472"/>
        <c:axId val="85635840"/>
      </c:barChart>
      <c:lineChart>
        <c:grouping val="standard"/>
        <c:varyColors val="0"/>
        <c:ser>
          <c:idx val="2"/>
          <c:order val="1"/>
          <c:tx>
            <c:strRef>
              <c:f>'Průměrný příjem na osobu'!$C$3</c:f>
              <c:strCache>
                <c:ptCount val="1"/>
                <c:pt idx="0">
                  <c:v>meziroční růst příjmů</c:v>
                </c:pt>
              </c:strCache>
            </c:strRef>
          </c:tx>
          <c:spPr>
            <a:ln w="19050">
              <a:noFill/>
            </a:ln>
          </c:spPr>
          <c:marker>
            <c:symbol val="diamond"/>
            <c:size val="11"/>
            <c:spPr>
              <a:solidFill>
                <a:srgbClr val="BC091B"/>
              </a:solidFill>
              <a:ln w="6350">
                <a:solidFill>
                  <a:srgbClr val="BC5B80"/>
                </a:solidFill>
              </a:ln>
            </c:spPr>
          </c:marker>
          <c:dPt>
            <c:idx val="10"/>
            <c:bubble3D val="0"/>
            <c:spPr>
              <a:ln w="19050">
                <a:noFill/>
              </a:ln>
            </c:spPr>
            <c:extLst>
              <c:ext xmlns:c16="http://schemas.microsoft.com/office/drawing/2014/chart" uri="{C3380CC4-5D6E-409C-BE32-E72D297353CC}">
                <c16:uniqueId val="{00000002-A0CD-4F1D-BC7E-8096A062807F}"/>
              </c:ext>
            </c:extLst>
          </c:dPt>
          <c:dLbls>
            <c:spPr>
              <a:solidFill>
                <a:schemeClr val="bg1"/>
              </a:solidFill>
              <a:ln>
                <a:solidFill>
                  <a:srgbClr val="BC091B"/>
                </a:solid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'Průměrný příjem na osobu'!$A$12:$A$22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'Průměrný příjem na osobu'!$C$12:$C$22</c:f>
              <c:numCache>
                <c:formatCode>0.0</c:formatCode>
                <c:ptCount val="11"/>
                <c:pt idx="0">
                  <c:v>102.35880243360025</c:v>
                </c:pt>
                <c:pt idx="1">
                  <c:v>102.84075710026164</c:v>
                </c:pt>
                <c:pt idx="2">
                  <c:v>104.58657048780951</c:v>
                </c:pt>
                <c:pt idx="3">
                  <c:v>104.44084890680148</c:v>
                </c:pt>
                <c:pt idx="4">
                  <c:v>105.96472136743122</c:v>
                </c:pt>
                <c:pt idx="5">
                  <c:v>106.92161387392227</c:v>
                </c:pt>
                <c:pt idx="6">
                  <c:v>107.52687995652866</c:v>
                </c:pt>
                <c:pt idx="7">
                  <c:v>104.93558256118985</c:v>
                </c:pt>
                <c:pt idx="8">
                  <c:v>109.56545411483623</c:v>
                </c:pt>
                <c:pt idx="9">
                  <c:v>107.7498678266134</c:v>
                </c:pt>
                <c:pt idx="10">
                  <c:v>107.24386042230807</c:v>
                </c:pt>
              </c:numCache>
            </c:numRef>
          </c:val>
          <c:smooth val="0"/>
          <c:extLst>
            <c:ext xmlns:c16="http://schemas.microsoft.com/office/drawing/2014/chart" uri="{C3380CC4-5D6E-409C-BE32-E72D297353CC}">
              <c16:uniqueId val="{00000003-A0CD-4F1D-BC7E-8096A062807F}"/>
            </c:ext>
          </c:extLst>
        </c:ser>
        <c:dLbls>
          <c:showLegendKey val="0"/>
          <c:showVal val="0"/>
          <c:showCatName val="0"/>
          <c:showSerName val="0"/>
          <c:showPercent val="0"/>
          <c:showBubbleSize val="0"/>
        </c:dLbls>
        <c:marker val="1"/>
        <c:smooth val="0"/>
        <c:axId val="85066880"/>
        <c:axId val="85638144"/>
      </c:lineChart>
      <c:catAx>
        <c:axId val="85609472"/>
        <c:scaling>
          <c:orientation val="minMax"/>
        </c:scaling>
        <c:delete val="0"/>
        <c:axPos val="b"/>
        <c:numFmt formatCode="General" sourceLinked="1"/>
        <c:majorTickMark val="out"/>
        <c:minorTickMark val="none"/>
        <c:tickLblPos val="nextTo"/>
        <c:spPr>
          <a:ln>
            <a:solidFill>
              <a:srgbClr val="D9D9D9"/>
            </a:solidFill>
          </a:ln>
        </c:spPr>
        <c:txPr>
          <a:bodyPr/>
          <a:lstStyle/>
          <a:p>
            <a:pPr>
              <a:defRPr sz="900">
                <a:latin typeface="Arial" panose="020B0604020202020204" pitchFamily="34" charset="0"/>
                <a:cs typeface="Arial" panose="020B0604020202020204" pitchFamily="34" charset="0"/>
              </a:defRPr>
            </a:pPr>
            <a:endParaRPr lang="cs-CZ"/>
          </a:p>
        </c:txPr>
        <c:crossAx val="85635840"/>
        <c:crosses val="autoZero"/>
        <c:auto val="1"/>
        <c:lblAlgn val="ctr"/>
        <c:lblOffset val="100"/>
        <c:noMultiLvlLbl val="0"/>
      </c:catAx>
      <c:valAx>
        <c:axId val="85635840"/>
        <c:scaling>
          <c:orientation val="minMax"/>
          <c:max val="350000"/>
        </c:scaling>
        <c:delete val="0"/>
        <c:axPos val="l"/>
        <c:majorGridlines>
          <c:spPr>
            <a:ln>
              <a:solidFill>
                <a:srgbClr val="D9D9D9">
                  <a:alpha val="50000"/>
                </a:srgbClr>
              </a:solidFill>
            </a:ln>
          </c:spPr>
        </c:majorGridlines>
        <c:title>
          <c:tx>
            <c:rich>
              <a:bodyPr rot="-5400000" vert="horz"/>
              <a:lstStyle/>
              <a:p>
                <a:pPr>
                  <a:defRPr sz="900" b="0">
                    <a:solidFill>
                      <a:srgbClr val="0071BC"/>
                    </a:solidFill>
                    <a:latin typeface="Arial" panose="020B0604020202020204" pitchFamily="34" charset="0"/>
                    <a:cs typeface="Arial" panose="020B0604020202020204" pitchFamily="34" charset="0"/>
                  </a:defRPr>
                </a:pPr>
                <a:r>
                  <a:rPr lang="cs-CZ" sz="900" b="0">
                    <a:solidFill>
                      <a:srgbClr val="0071BC"/>
                    </a:solidFill>
                    <a:latin typeface="Arial" panose="020B0604020202020204" pitchFamily="34" charset="0"/>
                    <a:cs typeface="Arial" panose="020B0604020202020204" pitchFamily="34" charset="0"/>
                  </a:rPr>
                  <a:t>čisté roční příjmy na osobu (</a:t>
                </a:r>
                <a:r>
                  <a:rPr lang="en-US" sz="900" b="0">
                    <a:solidFill>
                      <a:srgbClr val="0071BC"/>
                    </a:solidFill>
                    <a:latin typeface="Arial" panose="020B0604020202020204" pitchFamily="34" charset="0"/>
                    <a:cs typeface="Arial" panose="020B0604020202020204" pitchFamily="34" charset="0"/>
                  </a:rPr>
                  <a:t>tis. Kč</a:t>
                </a:r>
                <a:r>
                  <a:rPr lang="cs-CZ" sz="900" b="0">
                    <a:solidFill>
                      <a:srgbClr val="0071BC"/>
                    </a:solidFill>
                    <a:latin typeface="Arial" panose="020B0604020202020204" pitchFamily="34" charset="0"/>
                    <a:cs typeface="Arial" panose="020B0604020202020204" pitchFamily="34" charset="0"/>
                  </a:rPr>
                  <a:t>)</a:t>
                </a:r>
                <a:endParaRPr lang="en-US" sz="900" b="0">
                  <a:solidFill>
                    <a:srgbClr val="0071BC"/>
                  </a:solidFill>
                  <a:latin typeface="Arial" panose="020B0604020202020204" pitchFamily="34" charset="0"/>
                  <a:cs typeface="Arial" panose="020B0604020202020204" pitchFamily="34" charset="0"/>
                </a:endParaRPr>
              </a:p>
            </c:rich>
          </c:tx>
          <c:layout>
            <c:manualLayout>
              <c:xMode val="edge"/>
              <c:yMode val="edge"/>
              <c:x val="4.4392402402426649E-3"/>
              <c:y val="0.16808026641470689"/>
            </c:manualLayout>
          </c:layout>
          <c:overlay val="0"/>
          <c:spPr>
            <a:noFill/>
          </c:spPr>
        </c:title>
        <c:numFmt formatCode="0" sourceLinked="0"/>
        <c:majorTickMark val="out"/>
        <c:minorTickMark val="none"/>
        <c:tickLblPos val="nextTo"/>
        <c:spPr>
          <a:ln>
            <a:solidFill>
              <a:srgbClr val="D9D9D9"/>
            </a:solidFill>
          </a:ln>
        </c:spPr>
        <c:txPr>
          <a:bodyPr/>
          <a:lstStyle/>
          <a:p>
            <a:pPr>
              <a:defRPr sz="900">
                <a:solidFill>
                  <a:srgbClr val="0071BC"/>
                </a:solidFill>
                <a:latin typeface="Arial" panose="020B0604020202020204" pitchFamily="34" charset="0"/>
                <a:cs typeface="Arial" panose="020B0604020202020204" pitchFamily="34" charset="0"/>
              </a:defRPr>
            </a:pPr>
            <a:endParaRPr lang="cs-CZ"/>
          </a:p>
        </c:txPr>
        <c:crossAx val="85609472"/>
        <c:crosses val="autoZero"/>
        <c:crossBetween val="between"/>
        <c:dispUnits>
          <c:builtInUnit val="thousands"/>
        </c:dispUnits>
      </c:valAx>
      <c:valAx>
        <c:axId val="85638144"/>
        <c:scaling>
          <c:orientation val="minMax"/>
          <c:max val="115"/>
          <c:min val="80"/>
        </c:scaling>
        <c:delete val="0"/>
        <c:axPos val="r"/>
        <c:title>
          <c:tx>
            <c:rich>
              <a:bodyPr rot="-5400000" vert="horz"/>
              <a:lstStyle/>
              <a:p>
                <a:pPr>
                  <a:defRPr sz="900" b="0">
                    <a:solidFill>
                      <a:srgbClr val="BC091B"/>
                    </a:solidFill>
                    <a:latin typeface="Arial" panose="020B0604020202020204" pitchFamily="34" charset="0"/>
                    <a:cs typeface="Arial" panose="020B0604020202020204" pitchFamily="34" charset="0"/>
                  </a:defRPr>
                </a:pPr>
                <a:r>
                  <a:rPr lang="cs-CZ" sz="900" b="0">
                    <a:solidFill>
                      <a:srgbClr val="BC091B"/>
                    </a:solidFill>
                    <a:latin typeface="Arial" panose="020B0604020202020204" pitchFamily="34" charset="0"/>
                    <a:cs typeface="Arial" panose="020B0604020202020204" pitchFamily="34" charset="0"/>
                  </a:rPr>
                  <a:t>meziroční</a:t>
                </a:r>
                <a:r>
                  <a:rPr lang="cs-CZ" sz="900" b="0" baseline="0">
                    <a:solidFill>
                      <a:srgbClr val="BC091B"/>
                    </a:solidFill>
                    <a:latin typeface="Arial" panose="020B0604020202020204" pitchFamily="34" charset="0"/>
                    <a:cs typeface="Arial" panose="020B0604020202020204" pitchFamily="34" charset="0"/>
                  </a:rPr>
                  <a:t> r</a:t>
                </a:r>
                <a:r>
                  <a:rPr lang="cs-CZ" sz="900" b="0">
                    <a:solidFill>
                      <a:srgbClr val="BC091B"/>
                    </a:solidFill>
                    <a:latin typeface="Arial" panose="020B0604020202020204" pitchFamily="34" charset="0"/>
                    <a:cs typeface="Arial" panose="020B0604020202020204" pitchFamily="34" charset="0"/>
                  </a:rPr>
                  <a:t>ůst příjmů (</a:t>
                </a:r>
                <a:r>
                  <a:rPr lang="en-US" sz="900" b="0">
                    <a:solidFill>
                      <a:srgbClr val="BC091B"/>
                    </a:solidFill>
                    <a:latin typeface="Arial" panose="020B0604020202020204" pitchFamily="34" charset="0"/>
                    <a:cs typeface="Arial" panose="020B0604020202020204" pitchFamily="34" charset="0"/>
                  </a:rPr>
                  <a:t>%</a:t>
                </a:r>
                <a:r>
                  <a:rPr lang="cs-CZ" sz="900" b="0">
                    <a:solidFill>
                      <a:srgbClr val="BC091B"/>
                    </a:solidFill>
                    <a:latin typeface="Arial" panose="020B0604020202020204" pitchFamily="34" charset="0"/>
                    <a:cs typeface="Arial" panose="020B0604020202020204" pitchFamily="34" charset="0"/>
                  </a:rPr>
                  <a:t>)</a:t>
                </a:r>
                <a:endParaRPr lang="en-US" sz="900" b="0">
                  <a:solidFill>
                    <a:srgbClr val="BC091B"/>
                  </a:solidFill>
                  <a:latin typeface="Arial" panose="020B0604020202020204" pitchFamily="34" charset="0"/>
                  <a:cs typeface="Arial" panose="020B0604020202020204" pitchFamily="34" charset="0"/>
                </a:endParaRPr>
              </a:p>
            </c:rich>
          </c:tx>
          <c:layout>
            <c:manualLayout>
              <c:xMode val="edge"/>
              <c:yMode val="edge"/>
              <c:x val="0.96002057523916995"/>
              <c:y val="0.2594821398810806"/>
            </c:manualLayout>
          </c:layout>
          <c:overlay val="0"/>
        </c:title>
        <c:numFmt formatCode="0" sourceLinked="0"/>
        <c:majorTickMark val="out"/>
        <c:minorTickMark val="none"/>
        <c:tickLblPos val="nextTo"/>
        <c:spPr>
          <a:ln>
            <a:solidFill>
              <a:srgbClr val="D9D9D9"/>
            </a:solidFill>
          </a:ln>
        </c:spPr>
        <c:txPr>
          <a:bodyPr/>
          <a:lstStyle/>
          <a:p>
            <a:pPr>
              <a:defRPr sz="900">
                <a:solidFill>
                  <a:srgbClr val="BC091B"/>
                </a:solidFill>
                <a:latin typeface="Arial" panose="020B0604020202020204" pitchFamily="34" charset="0"/>
                <a:cs typeface="Arial" panose="020B0604020202020204" pitchFamily="34" charset="0"/>
              </a:defRPr>
            </a:pPr>
            <a:endParaRPr lang="cs-CZ"/>
          </a:p>
        </c:txPr>
        <c:crossAx val="85066880"/>
        <c:crosses val="max"/>
        <c:crossBetween val="between"/>
      </c:valAx>
      <c:catAx>
        <c:axId val="85066880"/>
        <c:scaling>
          <c:orientation val="minMax"/>
        </c:scaling>
        <c:delete val="1"/>
        <c:axPos val="b"/>
        <c:numFmt formatCode="General" sourceLinked="1"/>
        <c:majorTickMark val="out"/>
        <c:minorTickMark val="none"/>
        <c:tickLblPos val="none"/>
        <c:crossAx val="85638144"/>
        <c:crosses val="autoZero"/>
        <c:auto val="1"/>
        <c:lblAlgn val="ctr"/>
        <c:lblOffset val="100"/>
        <c:noMultiLvlLbl val="0"/>
      </c:catAx>
      <c:spPr>
        <a:ln>
          <a:noFill/>
        </a:ln>
      </c:spPr>
    </c:plotArea>
    <c:legend>
      <c:legendPos val="b"/>
      <c:layout>
        <c:manualLayout>
          <c:xMode val="edge"/>
          <c:yMode val="edge"/>
          <c:x val="0.10479646494022866"/>
          <c:y val="0.93951019718539619"/>
          <c:w val="0.78630607831700661"/>
          <c:h val="5.8863696253569985E-2"/>
        </c:manualLayout>
      </c:layout>
      <c:overlay val="0"/>
      <c:spPr>
        <a:solidFill>
          <a:sysClr val="window" lastClr="FFFFFF"/>
        </a:solidFill>
        <a:ln>
          <a:noFill/>
        </a:ln>
      </c:spPr>
      <c:txPr>
        <a:bodyPr/>
        <a:lstStyle/>
        <a:p>
          <a:pPr>
            <a:defRPr sz="900">
              <a:latin typeface="Arial" panose="020B0604020202020204" pitchFamily="34" charset="0"/>
              <a:cs typeface="Arial" panose="020B0604020202020204" pitchFamily="34" charset="0"/>
            </a:defRPr>
          </a:pPr>
          <a:endParaRPr lang="cs-CZ"/>
        </a:p>
      </c:txPr>
    </c:legend>
    <c:plotVisOnly val="1"/>
    <c:dispBlanksAs val="gap"/>
    <c:showDLblsOverMax val="0"/>
  </c:chart>
  <c:spPr>
    <a:noFill/>
    <a:ln>
      <a:noFill/>
    </a:ln>
  </c:spPr>
  <c:txPr>
    <a:bodyPr/>
    <a:lstStyle/>
    <a:p>
      <a:pPr>
        <a:defRPr sz="1800"/>
      </a:pPr>
      <a:endParaRPr lang="cs-C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086193731083959E-2"/>
          <c:y val="4.7308389357374185E-2"/>
          <c:w val="0.93353625849772315"/>
          <c:h val="0.85890813835469693"/>
        </c:manualLayout>
      </c:layout>
      <c:barChart>
        <c:barDir val="col"/>
        <c:grouping val="clustered"/>
        <c:varyColors val="0"/>
        <c:ser>
          <c:idx val="0"/>
          <c:order val="0"/>
          <c:tx>
            <c:strRef>
              <c:f>'Zdraví dětí do 16 let'!$A$3</c:f>
              <c:strCache>
                <c:ptCount val="1"/>
                <c:pt idx="0">
                  <c:v>2017</c:v>
                </c:pt>
              </c:strCache>
            </c:strRef>
          </c:tx>
          <c:spPr>
            <a:solidFill>
              <a:srgbClr val="0071BC"/>
            </a:solidFill>
            <a:ln>
              <a:noFill/>
            </a:ln>
            <a:effectLst/>
          </c:spPr>
          <c:invertIfNegative val="0"/>
          <c:dLbls>
            <c:numFmt formatCode="#,##0.0" sourceLinked="0"/>
            <c:spPr>
              <a:noFill/>
              <a:ln>
                <a:solidFill>
                  <a:srgbClr val="00558E"/>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'Zdraví dětí do 16 let'!$B$2:$F$2</c:f>
              <c:strCache>
                <c:ptCount val="5"/>
                <c:pt idx="0">
                  <c:v>velmi dobrý</c:v>
                </c:pt>
                <c:pt idx="1">
                  <c:v>dobrý</c:v>
                </c:pt>
                <c:pt idx="2">
                  <c:v>přijatelný</c:v>
                </c:pt>
                <c:pt idx="3">
                  <c:v>špatný</c:v>
                </c:pt>
                <c:pt idx="4">
                  <c:v>velmi špatný</c:v>
                </c:pt>
              </c:strCache>
            </c:strRef>
          </c:cat>
          <c:val>
            <c:numRef>
              <c:f>'Zdraví dětí do 16 let'!$B$3:$F$3</c:f>
              <c:numCache>
                <c:formatCode>General</c:formatCode>
                <c:ptCount val="5"/>
                <c:pt idx="0">
                  <c:v>73.680000000000007</c:v>
                </c:pt>
                <c:pt idx="1">
                  <c:v>22.36</c:v>
                </c:pt>
                <c:pt idx="2">
                  <c:v>3.04</c:v>
                </c:pt>
                <c:pt idx="3">
                  <c:v>0.68</c:v>
                </c:pt>
                <c:pt idx="4">
                  <c:v>0.24</c:v>
                </c:pt>
              </c:numCache>
            </c:numRef>
          </c:val>
          <c:extLst>
            <c:ext xmlns:c16="http://schemas.microsoft.com/office/drawing/2014/chart" uri="{C3380CC4-5D6E-409C-BE32-E72D297353CC}">
              <c16:uniqueId val="{00000000-FC03-4181-9F09-BD855E6EBC75}"/>
            </c:ext>
          </c:extLst>
        </c:ser>
        <c:ser>
          <c:idx val="1"/>
          <c:order val="1"/>
          <c:tx>
            <c:strRef>
              <c:f>'Zdraví dětí do 16 let'!$A$4</c:f>
              <c:strCache>
                <c:ptCount val="1"/>
                <c:pt idx="0">
                  <c:v>2021</c:v>
                </c:pt>
              </c:strCache>
            </c:strRef>
          </c:tx>
          <c:spPr>
            <a:solidFill>
              <a:srgbClr val="86BF5E"/>
            </a:solidFill>
            <a:ln>
              <a:solidFill>
                <a:srgbClr val="86BF5E"/>
              </a:solidFill>
            </a:ln>
            <a:effectLst/>
          </c:spPr>
          <c:invertIfNegative val="0"/>
          <c:dLbls>
            <c:numFmt formatCode="#,##0.0" sourceLinked="0"/>
            <c:spPr>
              <a:noFill/>
              <a:ln>
                <a:solidFill>
                  <a:srgbClr val="86BF5E"/>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'Zdraví dětí do 16 let'!$B$2:$F$2</c:f>
              <c:strCache>
                <c:ptCount val="5"/>
                <c:pt idx="0">
                  <c:v>velmi dobrý</c:v>
                </c:pt>
                <c:pt idx="1">
                  <c:v>dobrý</c:v>
                </c:pt>
                <c:pt idx="2">
                  <c:v>přijatelný</c:v>
                </c:pt>
                <c:pt idx="3">
                  <c:v>špatný</c:v>
                </c:pt>
                <c:pt idx="4">
                  <c:v>velmi špatný</c:v>
                </c:pt>
              </c:strCache>
            </c:strRef>
          </c:cat>
          <c:val>
            <c:numRef>
              <c:f>'Zdraví dětí do 16 let'!$B$4:$F$4</c:f>
              <c:numCache>
                <c:formatCode>General</c:formatCode>
                <c:ptCount val="5"/>
                <c:pt idx="0">
                  <c:v>81.91</c:v>
                </c:pt>
                <c:pt idx="1">
                  <c:v>14.64</c:v>
                </c:pt>
                <c:pt idx="2">
                  <c:v>2.33</c:v>
                </c:pt>
                <c:pt idx="3">
                  <c:v>0.85</c:v>
                </c:pt>
                <c:pt idx="4">
                  <c:v>0.27</c:v>
                </c:pt>
              </c:numCache>
            </c:numRef>
          </c:val>
          <c:extLst>
            <c:ext xmlns:c16="http://schemas.microsoft.com/office/drawing/2014/chart" uri="{C3380CC4-5D6E-409C-BE32-E72D297353CC}">
              <c16:uniqueId val="{00000001-FC03-4181-9F09-BD855E6EBC75}"/>
            </c:ext>
          </c:extLst>
        </c:ser>
        <c:ser>
          <c:idx val="2"/>
          <c:order val="2"/>
          <c:tx>
            <c:strRef>
              <c:f>'Zdraví dětí do 16 let'!$A$5</c:f>
              <c:strCache>
                <c:ptCount val="1"/>
                <c:pt idx="0">
                  <c:v>2024</c:v>
                </c:pt>
              </c:strCache>
            </c:strRef>
          </c:tx>
          <c:spPr>
            <a:solidFill>
              <a:srgbClr val="BC091B"/>
            </a:solidFill>
            <a:ln>
              <a:noFill/>
            </a:ln>
            <a:effectLst/>
          </c:spPr>
          <c:invertIfNegative val="0"/>
          <c:dLbls>
            <c:dLbl>
              <c:idx val="0"/>
              <c:layout>
                <c:manualLayout>
                  <c:x val="2.119766825649178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03-4181-9F09-BD855E6EBC75}"/>
                </c:ext>
              </c:extLst>
            </c:dLbl>
            <c:dLbl>
              <c:idx val="1"/>
              <c:layout>
                <c:manualLayout>
                  <c:x val="2.1197668256491787E-3"/>
                  <c:y val="-1.3074074913566618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03-4181-9F09-BD855E6EBC75}"/>
                </c:ext>
              </c:extLst>
            </c:dLbl>
            <c:numFmt formatCode="#,##0.0" sourceLinked="0"/>
            <c:spPr>
              <a:noFill/>
              <a:ln>
                <a:solidFill>
                  <a:srgbClr val="BC091B"/>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'Zdraví dětí do 16 let'!$B$2:$F$2</c:f>
              <c:strCache>
                <c:ptCount val="5"/>
                <c:pt idx="0">
                  <c:v>velmi dobrý</c:v>
                </c:pt>
                <c:pt idx="1">
                  <c:v>dobrý</c:v>
                </c:pt>
                <c:pt idx="2">
                  <c:v>přijatelný</c:v>
                </c:pt>
                <c:pt idx="3">
                  <c:v>špatný</c:v>
                </c:pt>
                <c:pt idx="4">
                  <c:v>velmi špatný</c:v>
                </c:pt>
              </c:strCache>
            </c:strRef>
          </c:cat>
          <c:val>
            <c:numRef>
              <c:f>'Zdraví dětí do 16 let'!$B$5:$F$5</c:f>
              <c:numCache>
                <c:formatCode>0.0</c:formatCode>
                <c:ptCount val="5"/>
                <c:pt idx="0">
                  <c:v>77.167717237456856</c:v>
                </c:pt>
                <c:pt idx="1">
                  <c:v>19.260181727038283</c:v>
                </c:pt>
                <c:pt idx="2">
                  <c:v>2.3869874675909788</c:v>
                </c:pt>
                <c:pt idx="3">
                  <c:v>0.74456694344301422</c:v>
                </c:pt>
                <c:pt idx="4">
                  <c:v>0.44054662447086024</c:v>
                </c:pt>
              </c:numCache>
            </c:numRef>
          </c:val>
          <c:extLst>
            <c:ext xmlns:c16="http://schemas.microsoft.com/office/drawing/2014/chart" uri="{C3380CC4-5D6E-409C-BE32-E72D297353CC}">
              <c16:uniqueId val="{00000004-FC03-4181-9F09-BD855E6EBC75}"/>
            </c:ext>
          </c:extLst>
        </c:ser>
        <c:dLbls>
          <c:showLegendKey val="0"/>
          <c:showVal val="0"/>
          <c:showCatName val="0"/>
          <c:showSerName val="0"/>
          <c:showPercent val="0"/>
          <c:showBubbleSize val="0"/>
        </c:dLbls>
        <c:gapWidth val="140"/>
        <c:overlap val="-12"/>
        <c:axId val="512861535"/>
        <c:axId val="512859039"/>
      </c:barChart>
      <c:catAx>
        <c:axId val="512861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512859039"/>
        <c:crosses val="autoZero"/>
        <c:auto val="1"/>
        <c:lblAlgn val="ctr"/>
        <c:lblOffset val="100"/>
        <c:noMultiLvlLbl val="0"/>
      </c:catAx>
      <c:valAx>
        <c:axId val="512859039"/>
        <c:scaling>
          <c:orientation val="minMax"/>
          <c:max val="85"/>
          <c:min val="0"/>
        </c:scaling>
        <c:delete val="0"/>
        <c:axPos val="l"/>
        <c:numFmt formatCode="General" sourceLinked="1"/>
        <c:majorTickMark val="none"/>
        <c:minorTickMark val="none"/>
        <c:tickLblPos val="nextTo"/>
        <c:spPr>
          <a:noFill/>
          <a:ln w="6350">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512861535"/>
        <c:crosses val="autoZero"/>
        <c:crossBetween val="between"/>
      </c:valAx>
      <c:spPr>
        <a:noFill/>
        <a:ln w="25400">
          <a:noFill/>
        </a:ln>
        <a:effectLst/>
      </c:spPr>
    </c:plotArea>
    <c:legend>
      <c:legendPos val="b"/>
      <c:layout>
        <c:manualLayout>
          <c:xMode val="edge"/>
          <c:yMode val="edge"/>
          <c:x val="0.49697949918422368"/>
          <c:y val="0.28762997600874857"/>
          <c:w val="0.40304428560102484"/>
          <c:h val="7.0065403885487737E-2"/>
        </c:manualLayout>
      </c:layout>
      <c:overlay val="0"/>
      <c:spPr>
        <a:noFill/>
        <a:ln w="6350">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22834645669292"/>
          <c:y val="0.12268689358558467"/>
          <c:w val="0.48504768153980754"/>
          <c:h val="0.81104117675025877"/>
        </c:manualLayout>
      </c:layout>
      <c:doughnutChart>
        <c:varyColors val="1"/>
        <c:ser>
          <c:idx val="0"/>
          <c:order val="0"/>
          <c:dPt>
            <c:idx val="0"/>
            <c:bubble3D val="0"/>
            <c:spPr>
              <a:solidFill>
                <a:srgbClr val="0071BC"/>
              </a:solidFill>
              <a:ln w="19050">
                <a:solidFill>
                  <a:schemeClr val="lt1"/>
                </a:solidFill>
              </a:ln>
              <a:effectLst/>
            </c:spPr>
            <c:extLst>
              <c:ext xmlns:c16="http://schemas.microsoft.com/office/drawing/2014/chart" uri="{C3380CC4-5D6E-409C-BE32-E72D297353CC}">
                <c16:uniqueId val="{00000001-C657-4837-BED7-F805078BA205}"/>
              </c:ext>
            </c:extLst>
          </c:dPt>
          <c:dPt>
            <c:idx val="1"/>
            <c:bubble3D val="0"/>
            <c:spPr>
              <a:solidFill>
                <a:srgbClr val="86BF5E"/>
              </a:solidFill>
              <a:ln w="19050">
                <a:solidFill>
                  <a:schemeClr val="lt1"/>
                </a:solidFill>
              </a:ln>
              <a:effectLst/>
            </c:spPr>
            <c:extLst>
              <c:ext xmlns:c16="http://schemas.microsoft.com/office/drawing/2014/chart" uri="{C3380CC4-5D6E-409C-BE32-E72D297353CC}">
                <c16:uniqueId val="{00000003-C657-4837-BED7-F805078BA205}"/>
              </c:ext>
            </c:extLst>
          </c:dPt>
          <c:dPt>
            <c:idx val="2"/>
            <c:bubble3D val="0"/>
            <c:spPr>
              <a:solidFill>
                <a:srgbClr val="C00000"/>
              </a:solidFill>
              <a:ln w="19050">
                <a:solidFill>
                  <a:schemeClr val="bg1"/>
                </a:solidFill>
              </a:ln>
              <a:effectLst/>
            </c:spPr>
            <c:extLst>
              <c:ext xmlns:c16="http://schemas.microsoft.com/office/drawing/2014/chart" uri="{C3380CC4-5D6E-409C-BE32-E72D297353CC}">
                <c16:uniqueId val="{00000005-C657-4837-BED7-F805078BA205}"/>
              </c:ext>
            </c:extLst>
          </c:dPt>
          <c:dLbls>
            <c:dLbl>
              <c:idx val="1"/>
              <c:layout>
                <c:manualLayout>
                  <c:x val="-2.1695908463481798E-2"/>
                  <c:y val="-0.1360278981981185"/>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rgbClr val="86BF5E"/>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4.5226019845644977E-2"/>
                      <c:h val="9.9962841723436238E-2"/>
                    </c:manualLayout>
                  </c15:layout>
                </c:ext>
                <c:ext xmlns:c16="http://schemas.microsoft.com/office/drawing/2014/chart" uri="{C3380CC4-5D6E-409C-BE32-E72D297353CC}">
                  <c16:uniqueId val="{00000003-C657-4837-BED7-F805078BA205}"/>
                </c:ext>
              </c:extLst>
            </c:dLbl>
            <c:dLbl>
              <c:idx val="2"/>
              <c:layout>
                <c:manualLayout>
                  <c:x val="5.8932710588684278E-3"/>
                  <c:y val="-0.14170692146627739"/>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BC091B"/>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57-4837-BED7-F805078BA20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extLst>
          </c:dLbls>
          <c:cat>
            <c:strRef>
              <c:f>'Zdravotní omezení dětí'!$C$10:$C$12</c:f>
              <c:strCache>
                <c:ptCount val="3"/>
                <c:pt idx="0">
                  <c:v>bez omezení</c:v>
                </c:pt>
                <c:pt idx="1">
                  <c:v>omezeno,
ale ne vážně</c:v>
                </c:pt>
                <c:pt idx="2">
                  <c:v>vážně omezeno</c:v>
                </c:pt>
              </c:strCache>
            </c:strRef>
          </c:cat>
          <c:val>
            <c:numRef>
              <c:f>'Zdravotní omezení dětí'!$D$10:$D$12</c:f>
              <c:numCache>
                <c:formatCode>0.00</c:formatCode>
                <c:ptCount val="3"/>
                <c:pt idx="0">
                  <c:v>94.49</c:v>
                </c:pt>
                <c:pt idx="1">
                  <c:v>4.29</c:v>
                </c:pt>
                <c:pt idx="2">
                  <c:v>1.22</c:v>
                </c:pt>
              </c:numCache>
            </c:numRef>
          </c:val>
          <c:extLst>
            <c:ext xmlns:c16="http://schemas.microsoft.com/office/drawing/2014/chart" uri="{C3380CC4-5D6E-409C-BE32-E72D297353CC}">
              <c16:uniqueId val="{00000006-C657-4837-BED7-F805078BA205}"/>
            </c:ext>
          </c:extLst>
        </c:ser>
        <c:dLbls>
          <c:showLegendKey val="0"/>
          <c:showVal val="0"/>
          <c:showCatName val="0"/>
          <c:showSerName val="0"/>
          <c:showPercent val="0"/>
          <c:showBubbleSize val="0"/>
          <c:showLeaderLines val="0"/>
        </c:dLbls>
        <c:firstSliceAng val="0"/>
        <c:holeSize val="55"/>
      </c:doughnutChart>
      <c:spPr>
        <a:noFill/>
        <a:ln>
          <a:noFill/>
        </a:ln>
        <a:effectLst/>
      </c:spPr>
    </c:plotArea>
    <c:legend>
      <c:legendPos val="b"/>
      <c:layout>
        <c:manualLayout>
          <c:xMode val="edge"/>
          <c:yMode val="edge"/>
          <c:x val="0.67285761154855639"/>
          <c:y val="0.11302995394742046"/>
          <c:w val="0.31061969445054427"/>
          <c:h val="0.8088398809539501"/>
        </c:manualLayout>
      </c:layout>
      <c:overlay val="0"/>
      <c:spPr>
        <a:noFill/>
        <a:ln w="6350">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lgn="just">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26172341808357"/>
          <c:y val="1.6469340296193544E-2"/>
          <c:w val="0.81696342730836846"/>
          <c:h val="0.92066963132199153"/>
        </c:manualLayout>
      </c:layout>
      <c:barChart>
        <c:barDir val="bar"/>
        <c:grouping val="clustered"/>
        <c:varyColors val="0"/>
        <c:ser>
          <c:idx val="0"/>
          <c:order val="0"/>
          <c:tx>
            <c:strRef>
              <c:f>Mat_soc_podmínky_dětí!$C$17</c:f>
              <c:strCache>
                <c:ptCount val="1"/>
                <c:pt idx="0">
                  <c:v>2024</c:v>
                </c:pt>
              </c:strCache>
            </c:strRef>
          </c:tx>
          <c:spPr>
            <a:solidFill>
              <a:srgbClr val="C00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Mat_soc_podmínky_dětí!$B$18:$B$28</c:f>
              <c:strCache>
                <c:ptCount val="11"/>
                <c:pt idx="0">
                  <c:v>dva páry bot</c:v>
                </c:pt>
                <c:pt idx="1">
                  <c:v>dětské knihy</c:v>
                </c:pt>
                <c:pt idx="2">
                  <c:v>hračky</c:v>
                </c:pt>
                <c:pt idx="3">
                  <c:v>ovoce a zelenina
denně</c:v>
                </c:pt>
                <c:pt idx="4">
                  <c:v>oslavy narozenin</c:v>
                </c:pt>
                <c:pt idx="5">
                  <c:v>nové oblečení</c:v>
                </c:pt>
                <c:pt idx="6">
                  <c:v>maso denně </c:v>
                </c:pt>
                <c:pt idx="7">
                  <c:v>návštěva kamarádů</c:v>
                </c:pt>
                <c:pt idx="8">
                  <c:v>sportovní vybavení
na ven</c:v>
                </c:pt>
                <c:pt idx="9">
                  <c:v>týden prázdnin</c:v>
                </c:pt>
                <c:pt idx="10">
                  <c:v>zájmové kroužky</c:v>
                </c:pt>
              </c:strCache>
            </c:strRef>
          </c:cat>
          <c:val>
            <c:numRef>
              <c:f>Mat_soc_podmínky_dětí!$C$18:$C$28</c:f>
              <c:numCache>
                <c:formatCode>General</c:formatCode>
                <c:ptCount val="11"/>
                <c:pt idx="0">
                  <c:v>0.5</c:v>
                </c:pt>
                <c:pt idx="1">
                  <c:v>0.76</c:v>
                </c:pt>
                <c:pt idx="2">
                  <c:v>1.1200000000000001</c:v>
                </c:pt>
                <c:pt idx="3">
                  <c:v>1.1299999999999999</c:v>
                </c:pt>
                <c:pt idx="4">
                  <c:v>1.32</c:v>
                </c:pt>
                <c:pt idx="5">
                  <c:v>1.65</c:v>
                </c:pt>
                <c:pt idx="6">
                  <c:v>2</c:v>
                </c:pt>
                <c:pt idx="7">
                  <c:v>2.38</c:v>
                </c:pt>
                <c:pt idx="8">
                  <c:v>2.48</c:v>
                </c:pt>
                <c:pt idx="9" formatCode="0.00">
                  <c:v>4.17</c:v>
                </c:pt>
                <c:pt idx="10">
                  <c:v>4.3099999999999996</c:v>
                </c:pt>
              </c:numCache>
            </c:numRef>
          </c:val>
          <c:extLst>
            <c:ext xmlns:c16="http://schemas.microsoft.com/office/drawing/2014/chart" uri="{C3380CC4-5D6E-409C-BE32-E72D297353CC}">
              <c16:uniqueId val="{00000000-00B3-45CD-B4D8-904A522BD2F3}"/>
            </c:ext>
          </c:extLst>
        </c:ser>
        <c:ser>
          <c:idx val="1"/>
          <c:order val="1"/>
          <c:tx>
            <c:strRef>
              <c:f>Mat_soc_podmínky_dětí!$D$17</c:f>
              <c:strCache>
                <c:ptCount val="1"/>
                <c:pt idx="0">
                  <c:v>2021</c:v>
                </c:pt>
              </c:strCache>
            </c:strRef>
          </c:tx>
          <c:spPr>
            <a:solidFill>
              <a:srgbClr val="0070C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Mat_soc_podmínky_dětí!$B$18:$B$28</c:f>
              <c:strCache>
                <c:ptCount val="11"/>
                <c:pt idx="0">
                  <c:v>dva páry bot</c:v>
                </c:pt>
                <c:pt idx="1">
                  <c:v>dětské knihy</c:v>
                </c:pt>
                <c:pt idx="2">
                  <c:v>hračky</c:v>
                </c:pt>
                <c:pt idx="3">
                  <c:v>ovoce a zelenina
denně</c:v>
                </c:pt>
                <c:pt idx="4">
                  <c:v>oslavy narozenin</c:v>
                </c:pt>
                <c:pt idx="5">
                  <c:v>nové oblečení</c:v>
                </c:pt>
                <c:pt idx="6">
                  <c:v>maso denně </c:v>
                </c:pt>
                <c:pt idx="7">
                  <c:v>návštěva kamarádů</c:v>
                </c:pt>
                <c:pt idx="8">
                  <c:v>sportovní vybavení
na ven</c:v>
                </c:pt>
                <c:pt idx="9">
                  <c:v>týden prázdnin</c:v>
                </c:pt>
                <c:pt idx="10">
                  <c:v>zájmové kroužky</c:v>
                </c:pt>
              </c:strCache>
            </c:strRef>
          </c:cat>
          <c:val>
            <c:numRef>
              <c:f>Mat_soc_podmínky_dětí!$D$18:$D$28</c:f>
              <c:numCache>
                <c:formatCode>0.00</c:formatCode>
                <c:ptCount val="11"/>
                <c:pt idx="0">
                  <c:v>0.5</c:v>
                </c:pt>
                <c:pt idx="1">
                  <c:v>0.97</c:v>
                </c:pt>
                <c:pt idx="2">
                  <c:v>0.88</c:v>
                </c:pt>
                <c:pt idx="3">
                  <c:v>1.17</c:v>
                </c:pt>
                <c:pt idx="4">
                  <c:v>1.1200000000000001</c:v>
                </c:pt>
                <c:pt idx="5">
                  <c:v>1.22</c:v>
                </c:pt>
                <c:pt idx="6">
                  <c:v>2</c:v>
                </c:pt>
                <c:pt idx="7">
                  <c:v>0.91</c:v>
                </c:pt>
                <c:pt idx="8">
                  <c:v>2.81</c:v>
                </c:pt>
                <c:pt idx="9">
                  <c:v>3.66</c:v>
                </c:pt>
                <c:pt idx="10">
                  <c:v>2.71</c:v>
                </c:pt>
              </c:numCache>
            </c:numRef>
          </c:val>
          <c:extLst>
            <c:ext xmlns:c16="http://schemas.microsoft.com/office/drawing/2014/chart" uri="{C3380CC4-5D6E-409C-BE32-E72D297353CC}">
              <c16:uniqueId val="{00000001-00B3-45CD-B4D8-904A522BD2F3}"/>
            </c:ext>
          </c:extLst>
        </c:ser>
        <c:ser>
          <c:idx val="2"/>
          <c:order val="2"/>
          <c:tx>
            <c:strRef>
              <c:f>Mat_soc_podmínky_dětí!$E$17</c:f>
              <c:strCache>
                <c:ptCount val="1"/>
                <c:pt idx="0">
                  <c:v>2014</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50000"/>
                      </a:schemeClr>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Mat_soc_podmínky_dětí!$B$18:$B$28</c:f>
              <c:strCache>
                <c:ptCount val="11"/>
                <c:pt idx="0">
                  <c:v>dva páry bot</c:v>
                </c:pt>
                <c:pt idx="1">
                  <c:v>dětské knihy</c:v>
                </c:pt>
                <c:pt idx="2">
                  <c:v>hračky</c:v>
                </c:pt>
                <c:pt idx="3">
                  <c:v>ovoce a zelenina
denně</c:v>
                </c:pt>
                <c:pt idx="4">
                  <c:v>oslavy narozenin</c:v>
                </c:pt>
                <c:pt idx="5">
                  <c:v>nové oblečení</c:v>
                </c:pt>
                <c:pt idx="6">
                  <c:v>maso denně </c:v>
                </c:pt>
                <c:pt idx="7">
                  <c:v>návštěva kamarádů</c:v>
                </c:pt>
                <c:pt idx="8">
                  <c:v>sportovní vybavení
na ven</c:v>
                </c:pt>
                <c:pt idx="9">
                  <c:v>týden prázdnin</c:v>
                </c:pt>
                <c:pt idx="10">
                  <c:v>zájmové kroužky</c:v>
                </c:pt>
              </c:strCache>
            </c:strRef>
          </c:cat>
          <c:val>
            <c:numRef>
              <c:f>Mat_soc_podmínky_dětí!$E$18:$E$28</c:f>
              <c:numCache>
                <c:formatCode>0.00</c:formatCode>
                <c:ptCount val="11"/>
                <c:pt idx="0">
                  <c:v>2.33</c:v>
                </c:pt>
                <c:pt idx="1">
                  <c:v>2.15</c:v>
                </c:pt>
                <c:pt idx="2">
                  <c:v>2.4300000000000002</c:v>
                </c:pt>
                <c:pt idx="3">
                  <c:v>2.2400000000000002</c:v>
                </c:pt>
                <c:pt idx="4">
                  <c:v>2.91</c:v>
                </c:pt>
                <c:pt idx="5">
                  <c:v>5.13</c:v>
                </c:pt>
                <c:pt idx="6">
                  <c:v>4.3099999999999996</c:v>
                </c:pt>
                <c:pt idx="7">
                  <c:v>1.9</c:v>
                </c:pt>
                <c:pt idx="8">
                  <c:v>6.37</c:v>
                </c:pt>
                <c:pt idx="9">
                  <c:v>7.05</c:v>
                </c:pt>
                <c:pt idx="10">
                  <c:v>6.77</c:v>
                </c:pt>
              </c:numCache>
            </c:numRef>
          </c:val>
          <c:extLst>
            <c:ext xmlns:c16="http://schemas.microsoft.com/office/drawing/2014/chart" uri="{C3380CC4-5D6E-409C-BE32-E72D297353CC}">
              <c16:uniqueId val="{00000002-00B3-45CD-B4D8-904A522BD2F3}"/>
            </c:ext>
          </c:extLst>
        </c:ser>
        <c:dLbls>
          <c:showLegendKey val="0"/>
          <c:showVal val="0"/>
          <c:showCatName val="0"/>
          <c:showSerName val="0"/>
          <c:showPercent val="0"/>
          <c:showBubbleSize val="0"/>
        </c:dLbls>
        <c:gapWidth val="80"/>
        <c:axId val="1413066527"/>
        <c:axId val="1413065279"/>
      </c:barChart>
      <c:catAx>
        <c:axId val="1413066527"/>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lgn="just">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413065279"/>
        <c:crosses val="autoZero"/>
        <c:auto val="1"/>
        <c:lblAlgn val="ctr"/>
        <c:lblOffset val="0"/>
        <c:noMultiLvlLbl val="0"/>
      </c:catAx>
      <c:valAx>
        <c:axId val="1413065279"/>
        <c:scaling>
          <c:orientation val="minMax"/>
          <c:max val="7.5"/>
          <c:min val="0"/>
        </c:scaling>
        <c:delete val="0"/>
        <c:axPos val="b"/>
        <c:numFmt formatCode="General" sourceLinked="1"/>
        <c:majorTickMark val="none"/>
        <c:minorTickMark val="none"/>
        <c:tickLblPos val="nextTo"/>
        <c:spPr>
          <a:noFill/>
          <a:ln w="6350">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413066527"/>
        <c:crosses val="autoZero"/>
        <c:crossBetween val="between"/>
      </c:valAx>
      <c:spPr>
        <a:noFill/>
        <a:ln>
          <a:noFill/>
        </a:ln>
        <a:effectLst/>
      </c:spPr>
    </c:plotArea>
    <c:legend>
      <c:legendPos val="b"/>
      <c:layout>
        <c:manualLayout>
          <c:xMode val="edge"/>
          <c:yMode val="edge"/>
          <c:x val="0.65224225252558532"/>
          <c:y val="0.67336606655755593"/>
          <c:w val="0.31811876711510739"/>
          <c:h val="4.510311638639241E-2"/>
        </c:manualLayout>
      </c:layout>
      <c:overlay val="0"/>
      <c:spPr>
        <a:noFill/>
        <a:ln w="6350">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rot="0" vert="horz" anchor="ctr" anchorCtr="0"/>
    <a:lstStyle/>
    <a:p>
      <a:pPr>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2.0240556886910878E-2"/>
          <c:w val="1"/>
          <c:h val="0.86963688234622849"/>
        </c:manualLayout>
      </c:layout>
      <c:ofPieChart>
        <c:ofPieType val="bar"/>
        <c:varyColors val="1"/>
        <c:ser>
          <c:idx val="0"/>
          <c:order val="0"/>
          <c:explosion val="20"/>
          <c:dPt>
            <c:idx val="0"/>
            <c:bubble3D val="0"/>
            <c:spPr>
              <a:solidFill>
                <a:srgbClr val="0071BC"/>
              </a:solidFill>
              <a:ln w="19050">
                <a:solidFill>
                  <a:schemeClr val="lt1"/>
                </a:solidFill>
              </a:ln>
              <a:effectLst/>
            </c:spPr>
            <c:extLst>
              <c:ext xmlns:c16="http://schemas.microsoft.com/office/drawing/2014/chart" uri="{C3380CC4-5D6E-409C-BE32-E72D297353CC}">
                <c16:uniqueId val="{00000001-E1DD-4191-8834-FCE7E2CBF696}"/>
              </c:ext>
            </c:extLst>
          </c:dPt>
          <c:dPt>
            <c:idx val="1"/>
            <c:bubble3D val="0"/>
            <c:spPr>
              <a:solidFill>
                <a:srgbClr val="BC091B"/>
              </a:solidFill>
              <a:ln w="19050">
                <a:solidFill>
                  <a:schemeClr val="lt1"/>
                </a:solidFill>
              </a:ln>
              <a:effectLst/>
            </c:spPr>
            <c:extLst>
              <c:ext xmlns:c16="http://schemas.microsoft.com/office/drawing/2014/chart" uri="{C3380CC4-5D6E-409C-BE32-E72D297353CC}">
                <c16:uniqueId val="{00000003-E1DD-4191-8834-FCE7E2CBF696}"/>
              </c:ext>
            </c:extLst>
          </c:dPt>
          <c:dPt>
            <c:idx val="2"/>
            <c:bubble3D val="0"/>
            <c:spPr>
              <a:solidFill>
                <a:srgbClr val="DC8468"/>
              </a:solidFill>
              <a:ln w="19050">
                <a:solidFill>
                  <a:schemeClr val="lt1"/>
                </a:solidFill>
              </a:ln>
              <a:effectLst/>
            </c:spPr>
            <c:extLst>
              <c:ext xmlns:c16="http://schemas.microsoft.com/office/drawing/2014/chart" uri="{C3380CC4-5D6E-409C-BE32-E72D297353CC}">
                <c16:uniqueId val="{00000005-E1DD-4191-8834-FCE7E2CBF696}"/>
              </c:ext>
            </c:extLst>
          </c:dPt>
          <c:dPt>
            <c:idx val="3"/>
            <c:bubble3D val="0"/>
            <c:spPr>
              <a:solidFill>
                <a:srgbClr val="86BF5E"/>
              </a:solidFill>
              <a:ln w="19050">
                <a:solidFill>
                  <a:schemeClr val="lt1"/>
                </a:solidFill>
              </a:ln>
              <a:effectLst/>
            </c:spPr>
            <c:extLst>
              <c:ext xmlns:c16="http://schemas.microsoft.com/office/drawing/2014/chart" uri="{C3380CC4-5D6E-409C-BE32-E72D297353CC}">
                <c16:uniqueId val="{00000007-E1DD-4191-8834-FCE7E2CBF696}"/>
              </c:ext>
            </c:extLst>
          </c:dPt>
          <c:dLbls>
            <c:dLbl>
              <c:idx val="0"/>
              <c:layout>
                <c:manualLayout>
                  <c:x val="0.230510528289227"/>
                  <c:y val="-0.14608431345326167"/>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DD-4191-8834-FCE7E2CBF696}"/>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DD-4191-8834-FCE7E2CBF696}"/>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DD-4191-8834-FCE7E2CBF696}"/>
                </c:ext>
              </c:extLst>
            </c:dLbl>
            <c:dLbl>
              <c:idx val="3"/>
              <c:layout>
                <c:manualLayout>
                  <c:x val="-7.1623683978564653E-2"/>
                  <c:y val="-1.2504624876887079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1DD-4191-8834-FCE7E2CBF69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'Domácí péče o dospělé'!$E$14:$E$16</c:f>
              <c:strCache>
                <c:ptCount val="3"/>
                <c:pt idx="0">
                  <c:v>nepotřebovali domácí péči</c:v>
                </c:pt>
                <c:pt idx="1">
                  <c:v>profesionální domácí péče</c:v>
                </c:pt>
                <c:pt idx="2">
                  <c:v>neprofesionální péče</c:v>
                </c:pt>
              </c:strCache>
            </c:strRef>
          </c:cat>
          <c:val>
            <c:numRef>
              <c:f>'Domácí péče o dospělé'!$F$14:$F$16</c:f>
              <c:numCache>
                <c:formatCode>General</c:formatCode>
                <c:ptCount val="3"/>
                <c:pt idx="0">
                  <c:v>93.51</c:v>
                </c:pt>
                <c:pt idx="1">
                  <c:v>1.83</c:v>
                </c:pt>
                <c:pt idx="2">
                  <c:v>4.66</c:v>
                </c:pt>
              </c:numCache>
            </c:numRef>
          </c:val>
          <c:extLst>
            <c:ext xmlns:c16="http://schemas.microsoft.com/office/drawing/2014/chart" uri="{C3380CC4-5D6E-409C-BE32-E72D297353CC}">
              <c16:uniqueId val="{00000008-E1DD-4191-8834-FCE7E2CBF696}"/>
            </c:ext>
          </c:extLst>
        </c:ser>
        <c:dLbls>
          <c:dLblPos val="bestFit"/>
          <c:showLegendKey val="0"/>
          <c:showVal val="1"/>
          <c:showCatName val="0"/>
          <c:showSerName val="0"/>
          <c:showPercent val="0"/>
          <c:showBubbleSize val="0"/>
          <c:showLeaderLines val="1"/>
        </c:dLbls>
        <c:gapWidth val="100"/>
        <c:splitType val="pos"/>
        <c:splitPos val="2"/>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2.828231997316125E-2"/>
          <c:y val="0.89515508387538512"/>
          <c:w val="0.93948652719582026"/>
          <c:h val="8.8961502608143755E-2"/>
        </c:manualLayout>
      </c:layout>
      <c:overlay val="0"/>
      <c:spPr>
        <a:noFill/>
        <a:ln w="6350">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71589361468981"/>
          <c:y val="6.7161564283835851E-2"/>
          <c:w val="0.49422624358833872"/>
          <c:h val="0.91575073867240075"/>
        </c:manualLayout>
      </c:layout>
      <c:pieChart>
        <c:varyColors val="1"/>
        <c:ser>
          <c:idx val="0"/>
          <c:order val="0"/>
          <c:dPt>
            <c:idx val="0"/>
            <c:bubble3D val="0"/>
            <c:spPr>
              <a:solidFill>
                <a:srgbClr val="0071BC"/>
              </a:solidFill>
              <a:ln w="19050">
                <a:solidFill>
                  <a:schemeClr val="lt1"/>
                </a:solidFill>
              </a:ln>
              <a:effectLst/>
            </c:spPr>
            <c:extLst>
              <c:ext xmlns:c16="http://schemas.microsoft.com/office/drawing/2014/chart" uri="{C3380CC4-5D6E-409C-BE32-E72D297353CC}">
                <c16:uniqueId val="{00000001-2BE4-4A01-9699-BD8611777955}"/>
              </c:ext>
            </c:extLst>
          </c:dPt>
          <c:dPt>
            <c:idx val="1"/>
            <c:bubble3D val="0"/>
            <c:spPr>
              <a:solidFill>
                <a:srgbClr val="DC8468"/>
              </a:solidFill>
              <a:ln w="19050">
                <a:solidFill>
                  <a:schemeClr val="lt1"/>
                </a:solidFill>
              </a:ln>
              <a:effectLst/>
            </c:spPr>
            <c:extLst>
              <c:ext xmlns:c16="http://schemas.microsoft.com/office/drawing/2014/chart" uri="{C3380CC4-5D6E-409C-BE32-E72D297353CC}">
                <c16:uniqueId val="{00000003-2BE4-4A01-9699-BD8611777955}"/>
              </c:ext>
            </c:extLst>
          </c:dPt>
          <c:dPt>
            <c:idx val="2"/>
            <c:bubble3D val="0"/>
            <c:spPr>
              <a:solidFill>
                <a:srgbClr val="C00000"/>
              </a:solidFill>
              <a:ln w="19050">
                <a:solidFill>
                  <a:schemeClr val="lt1"/>
                </a:solidFill>
              </a:ln>
              <a:effectLst/>
            </c:spPr>
            <c:extLst>
              <c:ext xmlns:c16="http://schemas.microsoft.com/office/drawing/2014/chart" uri="{C3380CC4-5D6E-409C-BE32-E72D297353CC}">
                <c16:uniqueId val="{00000005-2BE4-4A01-9699-BD8611777955}"/>
              </c:ext>
            </c:extLst>
          </c:dPt>
          <c:dPt>
            <c:idx val="3"/>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7-2BE4-4A01-9699-BD8611777955}"/>
              </c:ext>
            </c:extLst>
          </c:dPt>
          <c:dLbls>
            <c:dLbl>
              <c:idx val="3"/>
              <c:layout>
                <c:manualLayout>
                  <c:x val="7.7152332253948262E-3"/>
                  <c:y val="8.5770952839039861E-4"/>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5.7137202607738552E-2"/>
                      <c:h val="0.1336734693877551"/>
                    </c:manualLayout>
                  </c15:layout>
                </c:ext>
                <c:ext xmlns:c16="http://schemas.microsoft.com/office/drawing/2014/chart" uri="{C3380CC4-5D6E-409C-BE32-E72D297353CC}">
                  <c16:uniqueId val="{00000007-2BE4-4A01-9699-BD861177795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'Domácí péče - plátce a zátěž'!$A$3:$A$6</c:f>
              <c:strCache>
                <c:ptCount val="4"/>
                <c:pt idx="0">
                  <c:v>plně hrazeno ze zdravotního pojištění</c:v>
                </c:pt>
                <c:pt idx="1">
                  <c:v>částečně hrazeno uživatelem </c:v>
                </c:pt>
                <c:pt idx="2">
                  <c:v>plně hrazeno uživatelem</c:v>
                </c:pt>
                <c:pt idx="3">
                  <c:v>nevím</c:v>
                </c:pt>
              </c:strCache>
            </c:strRef>
          </c:cat>
          <c:val>
            <c:numRef>
              <c:f>'Domácí péče - plátce a zátěž'!$B$3:$B$6</c:f>
              <c:numCache>
                <c:formatCode>0.00</c:formatCode>
                <c:ptCount val="4"/>
                <c:pt idx="0">
                  <c:v>30.53</c:v>
                </c:pt>
                <c:pt idx="1">
                  <c:v>41.18</c:v>
                </c:pt>
                <c:pt idx="2">
                  <c:v>25.32</c:v>
                </c:pt>
                <c:pt idx="3">
                  <c:v>2.98</c:v>
                </c:pt>
              </c:numCache>
            </c:numRef>
          </c:val>
          <c:extLst>
            <c:ext xmlns:c16="http://schemas.microsoft.com/office/drawing/2014/chart" uri="{C3380CC4-5D6E-409C-BE32-E72D297353CC}">
              <c16:uniqueId val="{00000008-2BE4-4A01-9699-BD861177795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7925110752805995"/>
          <c:y val="6.4524001051931373E-2"/>
          <c:w val="0.29100245868475927"/>
          <c:h val="0.9077440712838204"/>
        </c:manualLayout>
      </c:layout>
      <c:overlay val="0"/>
      <c:spPr>
        <a:noFill/>
        <a:ln w="6350">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496418928890781E-2"/>
          <c:y val="2.7753149606299217E-2"/>
          <c:w val="0.93357561074096507"/>
          <c:h val="0.50289154604786435"/>
        </c:manualLayout>
      </c:layout>
      <c:barChart>
        <c:barDir val="bar"/>
        <c:grouping val="stacked"/>
        <c:varyColors val="0"/>
        <c:ser>
          <c:idx val="0"/>
          <c:order val="0"/>
          <c:tx>
            <c:strRef>
              <c:f>[Domaci_pece_zatez24.xlsx]Četnosti!$C$14</c:f>
              <c:strCache>
                <c:ptCount val="1"/>
                <c:pt idx="0">
                  <c:v>s velkými obtížemi</c:v>
                </c:pt>
              </c:strCache>
            </c:strRef>
          </c:tx>
          <c:spPr>
            <a:solidFill>
              <a:srgbClr val="BC091B"/>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[2]Četnosti!$D$14</c:f>
              <c:numCache>
                <c:formatCode>0.00</c:formatCode>
                <c:ptCount val="1"/>
                <c:pt idx="0">
                  <c:v>9.86</c:v>
                </c:pt>
              </c:numCache>
            </c:numRef>
          </c:val>
          <c:extLst>
            <c:ext xmlns:c16="http://schemas.microsoft.com/office/drawing/2014/chart" uri="{C3380CC4-5D6E-409C-BE32-E72D297353CC}">
              <c16:uniqueId val="{00000000-59F4-4850-ABAE-D592FE6D2F7D}"/>
            </c:ext>
          </c:extLst>
        </c:ser>
        <c:ser>
          <c:idx val="1"/>
          <c:order val="1"/>
          <c:tx>
            <c:strRef>
              <c:f>[Domaci_pece_zatez24.xlsx]Četnosti!$C$15</c:f>
              <c:strCache>
                <c:ptCount val="1"/>
                <c:pt idx="0">
                  <c:v>s obtížemi</c:v>
                </c:pt>
              </c:strCache>
            </c:strRef>
          </c:tx>
          <c:spPr>
            <a:solidFill>
              <a:schemeClr val="accent2"/>
            </a:solidFill>
            <a:ln>
              <a:noFill/>
            </a:ln>
            <a:effectLst/>
          </c:spPr>
          <c:invertIfNegative val="0"/>
          <c:dPt>
            <c:idx val="0"/>
            <c:invertIfNegative val="0"/>
            <c:bubble3D val="0"/>
            <c:spPr>
              <a:solidFill>
                <a:srgbClr val="DC8468"/>
              </a:solidFill>
              <a:ln>
                <a:noFill/>
              </a:ln>
              <a:effectLst/>
            </c:spPr>
            <c:extLst>
              <c:ext xmlns:c16="http://schemas.microsoft.com/office/drawing/2014/chart" uri="{C3380CC4-5D6E-409C-BE32-E72D297353CC}">
                <c16:uniqueId val="{00000000-D0BB-4839-AD2F-44C258AFBDF0}"/>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[2]Četnosti!$D$15</c:f>
              <c:numCache>
                <c:formatCode>0.00</c:formatCode>
                <c:ptCount val="1"/>
                <c:pt idx="0">
                  <c:v>17.62</c:v>
                </c:pt>
              </c:numCache>
            </c:numRef>
          </c:val>
          <c:extLst>
            <c:ext xmlns:c16="http://schemas.microsoft.com/office/drawing/2014/chart" uri="{C3380CC4-5D6E-409C-BE32-E72D297353CC}">
              <c16:uniqueId val="{00000001-59F4-4850-ABAE-D592FE6D2F7D}"/>
            </c:ext>
          </c:extLst>
        </c:ser>
        <c:ser>
          <c:idx val="2"/>
          <c:order val="2"/>
          <c:tx>
            <c:strRef>
              <c:f>[Domaci_pece_zatez24.xlsx]Četnosti!$C$16</c:f>
              <c:strCache>
                <c:ptCount val="1"/>
                <c:pt idx="0">
                  <c:v>s menšími obtížemi</c:v>
                </c:pt>
              </c:strCache>
            </c:strRef>
          </c:tx>
          <c:spPr>
            <a:solidFill>
              <a:srgbClr val="FFC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[2]Četnosti!$D$16</c:f>
              <c:numCache>
                <c:formatCode>0.00</c:formatCode>
                <c:ptCount val="1"/>
                <c:pt idx="0">
                  <c:v>30.23</c:v>
                </c:pt>
              </c:numCache>
            </c:numRef>
          </c:val>
          <c:extLst>
            <c:ext xmlns:c16="http://schemas.microsoft.com/office/drawing/2014/chart" uri="{C3380CC4-5D6E-409C-BE32-E72D297353CC}">
              <c16:uniqueId val="{00000002-59F4-4850-ABAE-D592FE6D2F7D}"/>
            </c:ext>
          </c:extLst>
        </c:ser>
        <c:ser>
          <c:idx val="3"/>
          <c:order val="3"/>
          <c:tx>
            <c:strRef>
              <c:f>[Domaci_pece_zatez24.xlsx]Četnosti!$C$17</c:f>
              <c:strCache>
                <c:ptCount val="1"/>
                <c:pt idx="0">
                  <c:v>docela snadno</c:v>
                </c:pt>
              </c:strCache>
            </c:strRef>
          </c:tx>
          <c:spPr>
            <a:solidFill>
              <a:srgbClr val="FFFF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[2]Četnosti!$D$17</c:f>
              <c:numCache>
                <c:formatCode>0.00</c:formatCode>
                <c:ptCount val="1"/>
                <c:pt idx="0">
                  <c:v>33.54</c:v>
                </c:pt>
              </c:numCache>
            </c:numRef>
          </c:val>
          <c:extLst>
            <c:ext xmlns:c16="http://schemas.microsoft.com/office/drawing/2014/chart" uri="{C3380CC4-5D6E-409C-BE32-E72D297353CC}">
              <c16:uniqueId val="{00000003-59F4-4850-ABAE-D592FE6D2F7D}"/>
            </c:ext>
          </c:extLst>
        </c:ser>
        <c:ser>
          <c:idx val="4"/>
          <c:order val="4"/>
          <c:tx>
            <c:strRef>
              <c:f>[Domaci_pece_zatez24.xlsx]Četnosti!$C$18</c:f>
              <c:strCache>
                <c:ptCount val="1"/>
                <c:pt idx="0">
                  <c:v>snadno</c:v>
                </c:pt>
              </c:strCache>
            </c:strRef>
          </c:tx>
          <c:spPr>
            <a:solidFill>
              <a:srgbClr val="92D050"/>
            </a:solidFill>
            <a:ln>
              <a:noFill/>
            </a:ln>
            <a:effectLst/>
          </c:spPr>
          <c:invertIfNegative val="0"/>
          <c:dPt>
            <c:idx val="0"/>
            <c:invertIfNegative val="0"/>
            <c:bubble3D val="0"/>
            <c:spPr>
              <a:solidFill>
                <a:srgbClr val="86BF5E"/>
              </a:solidFill>
              <a:ln>
                <a:noFill/>
              </a:ln>
              <a:effectLst/>
            </c:spPr>
            <c:extLst>
              <c:ext xmlns:c16="http://schemas.microsoft.com/office/drawing/2014/chart" uri="{C3380CC4-5D6E-409C-BE32-E72D297353CC}">
                <c16:uniqueId val="{00000001-D0BB-4839-AD2F-44C258AFBDF0}"/>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[2]Četnosti!$D$18</c:f>
              <c:numCache>
                <c:formatCode>0.00</c:formatCode>
                <c:ptCount val="1"/>
                <c:pt idx="0">
                  <c:v>8.11</c:v>
                </c:pt>
              </c:numCache>
            </c:numRef>
          </c:val>
          <c:extLst>
            <c:ext xmlns:c16="http://schemas.microsoft.com/office/drawing/2014/chart" uri="{C3380CC4-5D6E-409C-BE32-E72D297353CC}">
              <c16:uniqueId val="{00000004-59F4-4850-ABAE-D592FE6D2F7D}"/>
            </c:ext>
          </c:extLst>
        </c:ser>
        <c:ser>
          <c:idx val="5"/>
          <c:order val="5"/>
          <c:tx>
            <c:strRef>
              <c:f>[Domaci_pece_zatez24.xlsx]Četnosti!$C$19</c:f>
              <c:strCache>
                <c:ptCount val="1"/>
                <c:pt idx="0">
                  <c:v>velmi snadno</c:v>
                </c:pt>
              </c:strCache>
            </c:strRef>
          </c:tx>
          <c:spPr>
            <a:solidFill>
              <a:srgbClr val="006600"/>
            </a:solidFill>
            <a:ln>
              <a:noFill/>
            </a:ln>
            <a:effectLst/>
          </c:spPr>
          <c:invertIfNegative val="0"/>
          <c:dLbls>
            <c:dLbl>
              <c:idx val="0"/>
              <c:layout>
                <c:manualLayout>
                  <c:x val="2.2637230985597584E-2"/>
                  <c:y val="-2.95981942969789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F4-4850-ABAE-D592FE6D2F7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50000"/>
                      </a:schemeClr>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[2]Četnosti!$D$19</c:f>
              <c:numCache>
                <c:formatCode>0.00</c:formatCode>
                <c:ptCount val="1"/>
                <c:pt idx="0">
                  <c:v>0.65</c:v>
                </c:pt>
              </c:numCache>
            </c:numRef>
          </c:val>
          <c:extLst>
            <c:ext xmlns:c16="http://schemas.microsoft.com/office/drawing/2014/chart" uri="{C3380CC4-5D6E-409C-BE32-E72D297353CC}">
              <c16:uniqueId val="{00000006-59F4-4850-ABAE-D592FE6D2F7D}"/>
            </c:ext>
          </c:extLst>
        </c:ser>
        <c:dLbls>
          <c:showLegendKey val="0"/>
          <c:showVal val="0"/>
          <c:showCatName val="0"/>
          <c:showSerName val="0"/>
          <c:showPercent val="0"/>
          <c:showBubbleSize val="0"/>
        </c:dLbls>
        <c:gapWidth val="100"/>
        <c:overlap val="100"/>
        <c:axId val="2041382895"/>
        <c:axId val="2041373327"/>
      </c:barChart>
      <c:catAx>
        <c:axId val="2041382895"/>
        <c:scaling>
          <c:orientation val="minMax"/>
        </c:scaling>
        <c:delete val="1"/>
        <c:axPos val="l"/>
        <c:numFmt formatCode="General" sourceLinked="1"/>
        <c:majorTickMark val="none"/>
        <c:minorTickMark val="none"/>
        <c:tickLblPos val="nextTo"/>
        <c:crossAx val="2041373327"/>
        <c:crosses val="autoZero"/>
        <c:auto val="1"/>
        <c:lblAlgn val="ctr"/>
        <c:lblOffset val="100"/>
        <c:noMultiLvlLbl val="0"/>
      </c:catAx>
      <c:valAx>
        <c:axId val="2041373327"/>
        <c:scaling>
          <c:orientation val="minMax"/>
          <c:max val="100"/>
        </c:scaling>
        <c:delete val="0"/>
        <c:axPos val="b"/>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2041382895"/>
        <c:crossesAt val="1"/>
        <c:crossBetween val="between"/>
      </c:valAx>
      <c:spPr>
        <a:noFill/>
        <a:ln>
          <a:noFill/>
        </a:ln>
        <a:effectLst/>
      </c:spPr>
    </c:plotArea>
    <c:legend>
      <c:legendPos val="b"/>
      <c:layout>
        <c:manualLayout>
          <c:xMode val="edge"/>
          <c:yMode val="edge"/>
          <c:x val="9.1897023510359062E-3"/>
          <c:y val="0.77125285073947614"/>
          <c:w val="0.98620702690396111"/>
          <c:h val="0.136391071878043"/>
        </c:manualLayout>
      </c:layout>
      <c:overlay val="0"/>
      <c:spPr>
        <a:noFill/>
        <a:ln w="6350">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708206865203304E-2"/>
          <c:y val="3.0213876389806812E-2"/>
          <c:w val="0.94790445607706852"/>
          <c:h val="0.74963520362182001"/>
        </c:manualLayout>
      </c:layout>
      <c:barChart>
        <c:barDir val="col"/>
        <c:grouping val="clustered"/>
        <c:varyColors val="0"/>
        <c:ser>
          <c:idx val="0"/>
          <c:order val="0"/>
          <c:tx>
            <c:strRef>
              <c:f>'Veřejná doprava'!$B$3</c:f>
              <c:strCache>
                <c:ptCount val="1"/>
                <c:pt idx="0">
                  <c:v>velké město nad 100 tis.</c:v>
                </c:pt>
              </c:strCache>
            </c:strRef>
          </c:tx>
          <c:spPr>
            <a:solidFill>
              <a:srgbClr val="BC091B"/>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BC091B"/>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'Veřejná doprava'!$A$4:$A$8</c:f>
              <c:strCache>
                <c:ptCount val="5"/>
                <c:pt idx="0">
                  <c:v>denně</c:v>
                </c:pt>
                <c:pt idx="1">
                  <c:v>alespoň jednou týdně</c:v>
                </c:pt>
                <c:pt idx="2">
                  <c:v>několikrát za měsíc</c:v>
                </c:pt>
                <c:pt idx="3">
                  <c:v>méně než 1x za měsíc</c:v>
                </c:pt>
                <c:pt idx="4">
                  <c:v>vůbec</c:v>
                </c:pt>
              </c:strCache>
            </c:strRef>
          </c:cat>
          <c:val>
            <c:numRef>
              <c:f>'Veřejná doprava'!$B$4:$B$8</c:f>
              <c:numCache>
                <c:formatCode>General</c:formatCode>
                <c:ptCount val="5"/>
                <c:pt idx="0">
                  <c:v>43.66</c:v>
                </c:pt>
                <c:pt idx="1">
                  <c:v>22.7</c:v>
                </c:pt>
                <c:pt idx="2">
                  <c:v>13.47</c:v>
                </c:pt>
                <c:pt idx="3">
                  <c:v>11.04</c:v>
                </c:pt>
                <c:pt idx="4">
                  <c:v>9.1199999999999992</c:v>
                </c:pt>
              </c:numCache>
            </c:numRef>
          </c:val>
          <c:extLst>
            <c:ext xmlns:c16="http://schemas.microsoft.com/office/drawing/2014/chart" uri="{C3380CC4-5D6E-409C-BE32-E72D297353CC}">
              <c16:uniqueId val="{00000000-C4AA-44A1-ADDB-3C7CF04ED01F}"/>
            </c:ext>
          </c:extLst>
        </c:ser>
        <c:ser>
          <c:idx val="1"/>
          <c:order val="1"/>
          <c:tx>
            <c:strRef>
              <c:f>'Veřejná doprava'!$C$3</c:f>
              <c:strCache>
                <c:ptCount val="1"/>
                <c:pt idx="0">
                  <c:v>město 10 až 100 tis.</c:v>
                </c:pt>
              </c:strCache>
            </c:strRef>
          </c:tx>
          <c:spPr>
            <a:solidFill>
              <a:srgbClr val="0071BC"/>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1BC"/>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'Veřejná doprava'!$A$4:$A$8</c:f>
              <c:strCache>
                <c:ptCount val="5"/>
                <c:pt idx="0">
                  <c:v>denně</c:v>
                </c:pt>
                <c:pt idx="1">
                  <c:v>alespoň jednou týdně</c:v>
                </c:pt>
                <c:pt idx="2">
                  <c:v>několikrát za měsíc</c:v>
                </c:pt>
                <c:pt idx="3">
                  <c:v>méně než 1x za měsíc</c:v>
                </c:pt>
                <c:pt idx="4">
                  <c:v>vůbec</c:v>
                </c:pt>
              </c:strCache>
            </c:strRef>
          </c:cat>
          <c:val>
            <c:numRef>
              <c:f>'Veřejná doprava'!$C$4:$C$8</c:f>
              <c:numCache>
                <c:formatCode>General</c:formatCode>
                <c:ptCount val="5"/>
                <c:pt idx="0">
                  <c:v>17.03</c:v>
                </c:pt>
                <c:pt idx="1">
                  <c:v>15.23</c:v>
                </c:pt>
                <c:pt idx="2">
                  <c:v>16.739999999999998</c:v>
                </c:pt>
                <c:pt idx="3">
                  <c:v>20.88</c:v>
                </c:pt>
                <c:pt idx="4">
                  <c:v>30.12</c:v>
                </c:pt>
              </c:numCache>
            </c:numRef>
          </c:val>
          <c:extLst>
            <c:ext xmlns:c16="http://schemas.microsoft.com/office/drawing/2014/chart" uri="{C3380CC4-5D6E-409C-BE32-E72D297353CC}">
              <c16:uniqueId val="{00000001-C4AA-44A1-ADDB-3C7CF04ED01F}"/>
            </c:ext>
          </c:extLst>
        </c:ser>
        <c:ser>
          <c:idx val="2"/>
          <c:order val="2"/>
          <c:tx>
            <c:strRef>
              <c:f>'Veřejná doprava'!$D$3</c:f>
              <c:strCache>
                <c:ptCount val="1"/>
                <c:pt idx="0">
                  <c:v>vesnice, obec do 10 tis.</c:v>
                </c:pt>
              </c:strCache>
            </c:strRef>
          </c:tx>
          <c:spPr>
            <a:solidFill>
              <a:srgbClr val="86BF5E"/>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6BF5E"/>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'Veřejná doprava'!$A$4:$A$8</c:f>
              <c:strCache>
                <c:ptCount val="5"/>
                <c:pt idx="0">
                  <c:v>denně</c:v>
                </c:pt>
                <c:pt idx="1">
                  <c:v>alespoň jednou týdně</c:v>
                </c:pt>
                <c:pt idx="2">
                  <c:v>několikrát za měsíc</c:v>
                </c:pt>
                <c:pt idx="3">
                  <c:v>méně než 1x za měsíc</c:v>
                </c:pt>
                <c:pt idx="4">
                  <c:v>vůbec</c:v>
                </c:pt>
              </c:strCache>
            </c:strRef>
          </c:cat>
          <c:val>
            <c:numRef>
              <c:f>'Veřejná doprava'!$D$4:$D$8</c:f>
              <c:numCache>
                <c:formatCode>General</c:formatCode>
                <c:ptCount val="5"/>
                <c:pt idx="0">
                  <c:v>11.73</c:v>
                </c:pt>
                <c:pt idx="1">
                  <c:v>8.41</c:v>
                </c:pt>
                <c:pt idx="2">
                  <c:v>14.37</c:v>
                </c:pt>
                <c:pt idx="3">
                  <c:v>22.77</c:v>
                </c:pt>
                <c:pt idx="4">
                  <c:v>42.73</c:v>
                </c:pt>
              </c:numCache>
            </c:numRef>
          </c:val>
          <c:extLst>
            <c:ext xmlns:c16="http://schemas.microsoft.com/office/drawing/2014/chart" uri="{C3380CC4-5D6E-409C-BE32-E72D297353CC}">
              <c16:uniqueId val="{00000002-C4AA-44A1-ADDB-3C7CF04ED01F}"/>
            </c:ext>
          </c:extLst>
        </c:ser>
        <c:dLbls>
          <c:showLegendKey val="0"/>
          <c:showVal val="0"/>
          <c:showCatName val="0"/>
          <c:showSerName val="0"/>
          <c:showPercent val="0"/>
          <c:showBubbleSize val="0"/>
        </c:dLbls>
        <c:gapWidth val="175"/>
        <c:axId val="1190096848"/>
        <c:axId val="1190095184"/>
      </c:barChart>
      <c:catAx>
        <c:axId val="1190096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190095184"/>
        <c:crosses val="autoZero"/>
        <c:auto val="1"/>
        <c:lblAlgn val="ctr"/>
        <c:lblOffset val="100"/>
        <c:noMultiLvlLbl val="0"/>
      </c:catAx>
      <c:valAx>
        <c:axId val="1190095184"/>
        <c:scaling>
          <c:orientation val="minMax"/>
          <c:max val="50"/>
        </c:scaling>
        <c:delete val="0"/>
        <c:axPos val="l"/>
        <c:numFmt formatCode="0" sourceLinked="0"/>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90096848"/>
        <c:crosses val="autoZero"/>
        <c:crossBetween val="between"/>
        <c:majorUnit val="10"/>
      </c:valAx>
      <c:spPr>
        <a:noFill/>
        <a:ln w="25400">
          <a:noFill/>
        </a:ln>
        <a:effectLst/>
      </c:spPr>
    </c:plotArea>
    <c:legend>
      <c:legendPos val="b"/>
      <c:layout>
        <c:manualLayout>
          <c:xMode val="edge"/>
          <c:yMode val="edge"/>
          <c:x val="3.5840779018324324E-2"/>
          <c:y val="0.92869148088984388"/>
          <c:w val="0.91893167830003786"/>
          <c:h val="6.13225142189362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59541158925301E-2"/>
          <c:y val="8.4637547342412814E-2"/>
          <c:w val="0.41121139298215792"/>
          <c:h val="0.90993357100720718"/>
        </c:manualLayout>
      </c:layout>
      <c:pieChart>
        <c:varyColors val="1"/>
        <c:ser>
          <c:idx val="0"/>
          <c:order val="0"/>
          <c:dPt>
            <c:idx val="0"/>
            <c:bubble3D val="0"/>
            <c:spPr>
              <a:solidFill>
                <a:srgbClr val="C00000"/>
              </a:solidFill>
              <a:ln w="19050">
                <a:solidFill>
                  <a:schemeClr val="lt1"/>
                </a:solidFill>
              </a:ln>
              <a:effectLst/>
            </c:spPr>
            <c:extLst>
              <c:ext xmlns:c16="http://schemas.microsoft.com/office/drawing/2014/chart" uri="{C3380CC4-5D6E-409C-BE32-E72D297353CC}">
                <c16:uniqueId val="{00000001-E638-44D0-892A-F2FDCF8BEBDD}"/>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E638-44D0-892A-F2FDCF8BEBDD}"/>
              </c:ext>
            </c:extLst>
          </c:dPt>
          <c:dPt>
            <c:idx val="2"/>
            <c:bubble3D val="0"/>
            <c:spPr>
              <a:solidFill>
                <a:srgbClr val="86BF5E"/>
              </a:solidFill>
              <a:ln w="19050">
                <a:solidFill>
                  <a:schemeClr val="lt1"/>
                </a:solidFill>
              </a:ln>
              <a:effectLst/>
            </c:spPr>
            <c:extLst>
              <c:ext xmlns:c16="http://schemas.microsoft.com/office/drawing/2014/chart" uri="{C3380CC4-5D6E-409C-BE32-E72D297353CC}">
                <c16:uniqueId val="{00000005-E638-44D0-892A-F2FDCF8BEBDD}"/>
              </c:ext>
            </c:extLst>
          </c:dPt>
          <c:dPt>
            <c:idx val="3"/>
            <c:bubble3D val="0"/>
            <c:spPr>
              <a:solidFill>
                <a:srgbClr val="FF6600"/>
              </a:solidFill>
              <a:ln w="19050">
                <a:solidFill>
                  <a:schemeClr val="lt1"/>
                </a:solidFill>
              </a:ln>
              <a:effectLst/>
            </c:spPr>
            <c:extLst>
              <c:ext xmlns:c16="http://schemas.microsoft.com/office/drawing/2014/chart" uri="{C3380CC4-5D6E-409C-BE32-E72D297353CC}">
                <c16:uniqueId val="{00000007-E638-44D0-892A-F2FDCF8BEBDD}"/>
              </c:ext>
            </c:extLst>
          </c:dPt>
          <c:dPt>
            <c:idx val="4"/>
            <c:bubble3D val="0"/>
            <c:spPr>
              <a:solidFill>
                <a:schemeClr val="tx1"/>
              </a:solidFill>
              <a:ln w="19050">
                <a:solidFill>
                  <a:schemeClr val="lt1"/>
                </a:solidFill>
              </a:ln>
              <a:effectLst/>
            </c:spPr>
            <c:extLst>
              <c:ext xmlns:c16="http://schemas.microsoft.com/office/drawing/2014/chart" uri="{C3380CC4-5D6E-409C-BE32-E72D297353CC}">
                <c16:uniqueId val="{00000009-E638-44D0-892A-F2FDCF8BEBDD}"/>
              </c:ext>
            </c:extLst>
          </c:dPt>
          <c:dPt>
            <c:idx val="5"/>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B-E638-44D0-892A-F2FDCF8BEBDD}"/>
              </c:ext>
            </c:extLst>
          </c:dPt>
          <c:dPt>
            <c:idx val="6"/>
            <c:bubble3D val="0"/>
            <c:spPr>
              <a:solidFill>
                <a:srgbClr val="0071BC"/>
              </a:solidFill>
              <a:ln w="19050">
                <a:solidFill>
                  <a:schemeClr val="lt1"/>
                </a:solidFill>
              </a:ln>
              <a:effectLst/>
            </c:spPr>
            <c:extLst>
              <c:ext xmlns:c16="http://schemas.microsoft.com/office/drawing/2014/chart" uri="{C3380CC4-5D6E-409C-BE32-E72D297353CC}">
                <c16:uniqueId val="{0000000D-E638-44D0-892A-F2FDCF8BEBDD}"/>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extLst>
                <c:ext xmlns:c16="http://schemas.microsoft.com/office/drawing/2014/chart" uri="{C3380CC4-5D6E-409C-BE32-E72D297353CC}">
                  <c16:uniqueId val="{00000001-E638-44D0-892A-F2FDCF8BEBDD}"/>
                </c:ext>
              </c:extLst>
            </c:dLbl>
            <c:dLbl>
              <c:idx val="1"/>
              <c:layout>
                <c:manualLayout>
                  <c:x val="-4.5370014338777818E-2"/>
                  <c:y val="0.109573342077627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38-44D0-892A-F2FDCF8BEBDD}"/>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6BF5E"/>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extLst>
                <c:ext xmlns:c16="http://schemas.microsoft.com/office/drawing/2014/chart" uri="{C3380CC4-5D6E-409C-BE32-E72D297353CC}">
                  <c16:uniqueId val="{00000005-E638-44D0-892A-F2FDCF8BEBDD}"/>
                </c:ext>
              </c:extLst>
            </c:dLbl>
            <c:dLbl>
              <c:idx val="3"/>
              <c:layout>
                <c:manualLayout>
                  <c:x val="3.651472992144926E-2"/>
                  <c:y val="2.605855079923127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9933"/>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38-44D0-892A-F2FDCF8BEBDD}"/>
                </c:ext>
              </c:extLst>
            </c:dLbl>
            <c:dLbl>
              <c:idx val="4"/>
              <c:layout>
                <c:manualLayout>
                  <c:x val="7.9663009251871197E-2"/>
                  <c:y val="0.102753745443962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38-44D0-892A-F2FDCF8BEBDD}"/>
                </c:ext>
              </c:extLst>
            </c:dLbl>
            <c:dLbl>
              <c:idx val="5"/>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65000"/>
                        </a:schemeClr>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extLst>
                <c:ext xmlns:c16="http://schemas.microsoft.com/office/drawing/2014/chart" uri="{C3380CC4-5D6E-409C-BE32-E72D297353CC}">
                  <c16:uniqueId val="{0000000B-E638-44D0-892A-F2FDCF8BEBDD}"/>
                </c:ext>
              </c:extLst>
            </c:dLbl>
            <c:dLbl>
              <c:idx val="6"/>
              <c:layout>
                <c:manualLayout>
                  <c:x val="0.24108500840687089"/>
                  <c:y val="-0.32943382077240346"/>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638-44D0-892A-F2FDCF8BEBD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Četnosti!$C$15:$C$21</c:f>
              <c:strCache>
                <c:ptCount val="7"/>
                <c:pt idx="0">
                  <c:v>málo časté spoje, 
nevyhovující časy</c:v>
                </c:pt>
                <c:pt idx="1">
                  <c:v>fyzicky obtížný přístup</c:v>
                </c:pt>
                <c:pt idx="2">
                  <c:v>příliš dlouhá doba jízdy</c:v>
                </c:pt>
                <c:pt idx="3">
                  <c:v>v okolí není dostupná</c:v>
                </c:pt>
                <c:pt idx="4">
                  <c:v>příliš drahé</c:v>
                </c:pt>
                <c:pt idx="5">
                  <c:v>obavy o bezpečnost</c:v>
                </c:pt>
                <c:pt idx="6">
                  <c:v>nechci / nepotřebuji</c:v>
                </c:pt>
              </c:strCache>
            </c:strRef>
          </c:cat>
          <c:val>
            <c:numRef>
              <c:f>Četnosti!$D$15:$D$21</c:f>
              <c:numCache>
                <c:formatCode>General</c:formatCode>
                <c:ptCount val="7"/>
                <c:pt idx="0">
                  <c:v>6.6977273767038215</c:v>
                </c:pt>
                <c:pt idx="1">
                  <c:v>4.4554309987988479</c:v>
                </c:pt>
                <c:pt idx="2">
                  <c:v>1.4721720526528264</c:v>
                </c:pt>
                <c:pt idx="3">
                  <c:v>0.49219166167829398</c:v>
                </c:pt>
                <c:pt idx="4">
                  <c:v>0.45346249213740569</c:v>
                </c:pt>
                <c:pt idx="5">
                  <c:v>0.23554711026632363</c:v>
                </c:pt>
                <c:pt idx="6">
                  <c:v>86.1</c:v>
                </c:pt>
              </c:numCache>
            </c:numRef>
          </c:val>
          <c:extLst>
            <c:ext xmlns:c16="http://schemas.microsoft.com/office/drawing/2014/chart" uri="{C3380CC4-5D6E-409C-BE32-E72D297353CC}">
              <c16:uniqueId val="{0000000E-E638-44D0-892A-F2FDCF8BEBD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5463955846349664"/>
          <c:y val="4.0895768768147413E-2"/>
          <c:w val="0.28751386613005553"/>
          <c:h val="0.93819750296156679"/>
        </c:manualLayout>
      </c:layout>
      <c:overlay val="0"/>
      <c:spPr>
        <a:noFill/>
        <a:ln w="6350">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02140477182406"/>
          <c:y val="2.2033735167620451E-2"/>
          <c:w val="0.83290959089421379"/>
          <c:h val="0.74675321385813265"/>
        </c:manualLayout>
      </c:layout>
      <c:barChart>
        <c:barDir val="col"/>
        <c:grouping val="clustered"/>
        <c:varyColors val="0"/>
        <c:ser>
          <c:idx val="0"/>
          <c:order val="0"/>
          <c:tx>
            <c:strRef>
              <c:f>'T2_Průměrný příjem os_typ podle'!$D$3</c:f>
              <c:strCache>
                <c:ptCount val="1"/>
                <c:pt idx="0">
                  <c:v>2022</c:v>
                </c:pt>
              </c:strCache>
            </c:strRef>
          </c:tx>
          <c:spPr>
            <a:solidFill>
              <a:srgbClr val="0071BC"/>
            </a:solidFill>
          </c:spPr>
          <c:invertIfNegative val="0"/>
          <c:dPt>
            <c:idx val="1"/>
            <c:invertIfNegative val="0"/>
            <c:bubble3D val="0"/>
            <c:spPr>
              <a:solidFill>
                <a:srgbClr val="7CA5D8"/>
              </a:solidFill>
            </c:spPr>
            <c:extLst>
              <c:ext xmlns:c16="http://schemas.microsoft.com/office/drawing/2014/chart" uri="{C3380CC4-5D6E-409C-BE32-E72D297353CC}">
                <c16:uniqueId val="{00000001-0888-4610-B8D0-43E855330F68}"/>
              </c:ext>
            </c:extLst>
          </c:dPt>
          <c:dPt>
            <c:idx val="2"/>
            <c:invertIfNegative val="0"/>
            <c:bubble3D val="0"/>
            <c:spPr>
              <a:solidFill>
                <a:srgbClr val="7CA5D8"/>
              </a:solidFill>
            </c:spPr>
            <c:extLst>
              <c:ext xmlns:c16="http://schemas.microsoft.com/office/drawing/2014/chart" uri="{C3380CC4-5D6E-409C-BE32-E72D297353CC}">
                <c16:uniqueId val="{00000003-0888-4610-B8D0-43E855330F68}"/>
              </c:ext>
            </c:extLst>
          </c:dPt>
          <c:dPt>
            <c:idx val="3"/>
            <c:invertIfNegative val="0"/>
            <c:bubble3D val="0"/>
            <c:spPr>
              <a:solidFill>
                <a:srgbClr val="7CA5D8"/>
              </a:solidFill>
            </c:spPr>
            <c:extLst>
              <c:ext xmlns:c16="http://schemas.microsoft.com/office/drawing/2014/chart" uri="{C3380CC4-5D6E-409C-BE32-E72D297353CC}">
                <c16:uniqueId val="{00000005-0888-4610-B8D0-43E855330F68}"/>
              </c:ext>
            </c:extLst>
          </c:dPt>
          <c:dPt>
            <c:idx val="4"/>
            <c:invertIfNegative val="0"/>
            <c:bubble3D val="0"/>
            <c:spPr>
              <a:solidFill>
                <a:srgbClr val="7CA5D8"/>
              </a:solidFill>
            </c:spPr>
            <c:extLst>
              <c:ext xmlns:c16="http://schemas.microsoft.com/office/drawing/2014/chart" uri="{C3380CC4-5D6E-409C-BE32-E72D297353CC}">
                <c16:uniqueId val="{00000007-0888-4610-B8D0-43E855330F68}"/>
              </c:ext>
            </c:extLst>
          </c:dPt>
          <c:dLbls>
            <c:dLbl>
              <c:idx val="1"/>
              <c:numFmt formatCode="#,##0.0" sourceLinked="0"/>
              <c:spPr>
                <a:solidFill>
                  <a:schemeClr val="bg1"/>
                </a:solidFill>
                <a:ln>
                  <a:solidFill>
                    <a:srgbClr val="7CA5D8"/>
                  </a:solidFill>
                </a:ln>
                <a:effectLst/>
              </c:spPr>
              <c:txPr>
                <a:bodyPr wrap="square" lIns="38100" tIns="19050" rIns="38100" bIns="19050" anchor="ctr" anchorCtr="0">
                  <a:spAutoFit/>
                </a:bodyPr>
                <a:lstStyle/>
                <a:p>
                  <a:pPr algn="ctr">
                    <a:defRPr sz="900" b="0"/>
                  </a:pPr>
                  <a:endParaRPr lang="cs-CZ"/>
                </a:p>
              </c:txPr>
              <c:dLblPos val="inEnd"/>
              <c:showLegendKey val="0"/>
              <c:showVal val="1"/>
              <c:showCatName val="0"/>
              <c:showSerName val="0"/>
              <c:showPercent val="0"/>
              <c:showBubbleSize val="0"/>
              <c:extLst>
                <c:ext xmlns:c16="http://schemas.microsoft.com/office/drawing/2014/chart" uri="{C3380CC4-5D6E-409C-BE32-E72D297353CC}">
                  <c16:uniqueId val="{00000001-0888-4610-B8D0-43E855330F68}"/>
                </c:ext>
              </c:extLst>
            </c:dLbl>
            <c:dLbl>
              <c:idx val="2"/>
              <c:numFmt formatCode="#,##0.0" sourceLinked="0"/>
              <c:spPr>
                <a:solidFill>
                  <a:schemeClr val="bg1"/>
                </a:solidFill>
                <a:ln>
                  <a:solidFill>
                    <a:srgbClr val="7CA5D8"/>
                  </a:solidFill>
                </a:ln>
                <a:effectLst/>
              </c:spPr>
              <c:txPr>
                <a:bodyPr wrap="square" lIns="38100" tIns="19050" rIns="38100" bIns="19050" anchor="ctr" anchorCtr="0">
                  <a:spAutoFit/>
                </a:bodyPr>
                <a:lstStyle/>
                <a:p>
                  <a:pPr algn="ctr">
                    <a:defRPr sz="900" b="0"/>
                  </a:pPr>
                  <a:endParaRPr lang="cs-CZ"/>
                </a:p>
              </c:txPr>
              <c:dLblPos val="inEnd"/>
              <c:showLegendKey val="0"/>
              <c:showVal val="1"/>
              <c:showCatName val="0"/>
              <c:showSerName val="0"/>
              <c:showPercent val="0"/>
              <c:showBubbleSize val="0"/>
              <c:extLst>
                <c:ext xmlns:c16="http://schemas.microsoft.com/office/drawing/2014/chart" uri="{C3380CC4-5D6E-409C-BE32-E72D297353CC}">
                  <c16:uniqueId val="{00000003-0888-4610-B8D0-43E855330F68}"/>
                </c:ext>
              </c:extLst>
            </c:dLbl>
            <c:dLbl>
              <c:idx val="3"/>
              <c:numFmt formatCode="#,##0.0" sourceLinked="0"/>
              <c:spPr>
                <a:solidFill>
                  <a:schemeClr val="bg1"/>
                </a:solidFill>
                <a:ln>
                  <a:solidFill>
                    <a:srgbClr val="7CA5D8"/>
                  </a:solidFill>
                </a:ln>
                <a:effectLst/>
              </c:spPr>
              <c:txPr>
                <a:bodyPr wrap="square" lIns="38100" tIns="19050" rIns="38100" bIns="19050" anchor="ctr" anchorCtr="0">
                  <a:spAutoFit/>
                </a:bodyPr>
                <a:lstStyle/>
                <a:p>
                  <a:pPr algn="ctr">
                    <a:defRPr sz="900" b="0"/>
                  </a:pPr>
                  <a:endParaRPr lang="cs-CZ"/>
                </a:p>
              </c:txPr>
              <c:dLblPos val="inEnd"/>
              <c:showLegendKey val="0"/>
              <c:showVal val="1"/>
              <c:showCatName val="0"/>
              <c:showSerName val="0"/>
              <c:showPercent val="0"/>
              <c:showBubbleSize val="0"/>
              <c:extLst>
                <c:ext xmlns:c16="http://schemas.microsoft.com/office/drawing/2014/chart" uri="{C3380CC4-5D6E-409C-BE32-E72D297353CC}">
                  <c16:uniqueId val="{00000005-0888-4610-B8D0-43E855330F68}"/>
                </c:ext>
              </c:extLst>
            </c:dLbl>
            <c:dLbl>
              <c:idx val="4"/>
              <c:numFmt formatCode="#,##0.0" sourceLinked="0"/>
              <c:spPr>
                <a:solidFill>
                  <a:schemeClr val="bg1"/>
                </a:solidFill>
                <a:ln>
                  <a:solidFill>
                    <a:srgbClr val="7CA5D8"/>
                  </a:solidFill>
                </a:ln>
                <a:effectLst/>
              </c:spPr>
              <c:txPr>
                <a:bodyPr wrap="square" lIns="38100" tIns="19050" rIns="38100" bIns="19050" anchor="ctr" anchorCtr="0">
                  <a:spAutoFit/>
                </a:bodyPr>
                <a:lstStyle/>
                <a:p>
                  <a:pPr algn="ctr">
                    <a:defRPr sz="900" b="0"/>
                  </a:pPr>
                  <a:endParaRPr lang="cs-CZ"/>
                </a:p>
              </c:txPr>
              <c:dLblPos val="inEnd"/>
              <c:showLegendKey val="0"/>
              <c:showVal val="1"/>
              <c:showCatName val="0"/>
              <c:showSerName val="0"/>
              <c:showPercent val="0"/>
              <c:showBubbleSize val="0"/>
              <c:extLst>
                <c:ext xmlns:c16="http://schemas.microsoft.com/office/drawing/2014/chart" uri="{C3380CC4-5D6E-409C-BE32-E72D297353CC}">
                  <c16:uniqueId val="{00000007-0888-4610-B8D0-43E855330F68}"/>
                </c:ext>
              </c:extLst>
            </c:dLbl>
            <c:numFmt formatCode="#,##0.0" sourceLinked="0"/>
            <c:spPr>
              <a:solidFill>
                <a:schemeClr val="bg1"/>
              </a:solidFill>
              <a:ln>
                <a:solidFill>
                  <a:srgbClr val="0071BC"/>
                </a:solidFill>
              </a:ln>
              <a:effectLst/>
            </c:spPr>
            <c:txPr>
              <a:bodyPr wrap="square" lIns="38100" tIns="19050" rIns="38100" bIns="19050" anchor="ctr" anchorCtr="0">
                <a:spAutoFit/>
              </a:bodyPr>
              <a:lstStyle/>
              <a:p>
                <a:pPr algn="ctr">
                  <a:defRPr sz="900" b="0"/>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'T2_Průměrný příjem os_typ podle'!$A$89:$A$93</c:f>
              <c:strCache>
                <c:ptCount val="5"/>
                <c:pt idx="0">
                  <c:v>celkem</c:v>
                </c:pt>
                <c:pt idx="1">
                  <c:v>zaměstnanci</c:v>
                </c:pt>
                <c:pt idx="2">
                  <c:v>důchodci</c:v>
                </c:pt>
                <c:pt idx="3">
                  <c:v>úplné rodiny
 s dětmi</c:v>
                </c:pt>
                <c:pt idx="4">
                  <c:v>neúplné rodiny
 s dětmi</c:v>
                </c:pt>
              </c:strCache>
            </c:strRef>
          </c:cat>
          <c:val>
            <c:numRef>
              <c:f>'T2_Průměrný příjem os_typ podle'!$C$89:$C$93</c:f>
              <c:numCache>
                <c:formatCode>#,##0.00</c:formatCode>
                <c:ptCount val="5"/>
                <c:pt idx="0">
                  <c:v>259850.12</c:v>
                </c:pt>
                <c:pt idx="1">
                  <c:v>269315.59000000003</c:v>
                </c:pt>
                <c:pt idx="2">
                  <c:v>224160.51</c:v>
                </c:pt>
                <c:pt idx="3">
                  <c:v>218886.92</c:v>
                </c:pt>
                <c:pt idx="4">
                  <c:v>175465.79</c:v>
                </c:pt>
              </c:numCache>
            </c:numRef>
          </c:val>
          <c:extLst>
            <c:ext xmlns:c16="http://schemas.microsoft.com/office/drawing/2014/chart" uri="{C3380CC4-5D6E-409C-BE32-E72D297353CC}">
              <c16:uniqueId val="{00000008-0888-4610-B8D0-43E855330F68}"/>
            </c:ext>
          </c:extLst>
        </c:ser>
        <c:ser>
          <c:idx val="1"/>
          <c:order val="1"/>
          <c:tx>
            <c:strRef>
              <c:f>'T2_Průměrný příjem os_typ podle'!$G$47</c:f>
              <c:strCache>
                <c:ptCount val="1"/>
                <c:pt idx="0">
                  <c:v>2023</c:v>
                </c:pt>
              </c:strCache>
            </c:strRef>
          </c:tx>
          <c:spPr>
            <a:solidFill>
              <a:srgbClr val="BC091B"/>
            </a:solidFill>
          </c:spPr>
          <c:invertIfNegative val="0"/>
          <c:dPt>
            <c:idx val="1"/>
            <c:invertIfNegative val="0"/>
            <c:bubble3D val="0"/>
            <c:spPr>
              <a:solidFill>
                <a:srgbClr val="DC8468"/>
              </a:solidFill>
            </c:spPr>
            <c:extLst>
              <c:ext xmlns:c16="http://schemas.microsoft.com/office/drawing/2014/chart" uri="{C3380CC4-5D6E-409C-BE32-E72D297353CC}">
                <c16:uniqueId val="{0000000A-0888-4610-B8D0-43E855330F68}"/>
              </c:ext>
            </c:extLst>
          </c:dPt>
          <c:dPt>
            <c:idx val="2"/>
            <c:invertIfNegative val="0"/>
            <c:bubble3D val="0"/>
            <c:spPr>
              <a:solidFill>
                <a:srgbClr val="DC8468"/>
              </a:solidFill>
            </c:spPr>
            <c:extLst>
              <c:ext xmlns:c16="http://schemas.microsoft.com/office/drawing/2014/chart" uri="{C3380CC4-5D6E-409C-BE32-E72D297353CC}">
                <c16:uniqueId val="{0000000C-0888-4610-B8D0-43E855330F68}"/>
              </c:ext>
            </c:extLst>
          </c:dPt>
          <c:dPt>
            <c:idx val="3"/>
            <c:invertIfNegative val="0"/>
            <c:bubble3D val="0"/>
            <c:spPr>
              <a:solidFill>
                <a:srgbClr val="DC8468"/>
              </a:solidFill>
            </c:spPr>
            <c:extLst>
              <c:ext xmlns:c16="http://schemas.microsoft.com/office/drawing/2014/chart" uri="{C3380CC4-5D6E-409C-BE32-E72D297353CC}">
                <c16:uniqueId val="{0000000E-0888-4610-B8D0-43E855330F68}"/>
              </c:ext>
            </c:extLst>
          </c:dPt>
          <c:dPt>
            <c:idx val="4"/>
            <c:invertIfNegative val="0"/>
            <c:bubble3D val="0"/>
            <c:spPr>
              <a:solidFill>
                <a:srgbClr val="DC8468"/>
              </a:solidFill>
            </c:spPr>
            <c:extLst>
              <c:ext xmlns:c16="http://schemas.microsoft.com/office/drawing/2014/chart" uri="{C3380CC4-5D6E-409C-BE32-E72D297353CC}">
                <c16:uniqueId val="{00000010-0888-4610-B8D0-43E855330F68}"/>
              </c:ext>
            </c:extLst>
          </c:dPt>
          <c:dLbls>
            <c:dLbl>
              <c:idx val="1"/>
              <c:numFmt formatCode="#,##0.0" sourceLinked="0"/>
              <c:spPr>
                <a:solidFill>
                  <a:schemeClr val="bg1"/>
                </a:solidFill>
                <a:ln>
                  <a:solidFill>
                    <a:srgbClr val="DC8468"/>
                  </a:solidFill>
                </a:ln>
                <a:effectLst/>
              </c:spPr>
              <c:txPr>
                <a:bodyPr wrap="square" lIns="38100" tIns="19050" rIns="38100" bIns="19050" anchor="ctr">
                  <a:spAutoFit/>
                </a:bodyPr>
                <a:lstStyle/>
                <a:p>
                  <a:pPr>
                    <a:defRPr sz="900" b="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A-0888-4610-B8D0-43E855330F68}"/>
                </c:ext>
              </c:extLst>
            </c:dLbl>
            <c:dLbl>
              <c:idx val="2"/>
              <c:numFmt formatCode="#,##0.0" sourceLinked="0"/>
              <c:spPr>
                <a:solidFill>
                  <a:schemeClr val="bg1"/>
                </a:solidFill>
                <a:ln>
                  <a:solidFill>
                    <a:srgbClr val="DC8468"/>
                  </a:solidFill>
                </a:ln>
                <a:effectLst/>
              </c:spPr>
              <c:txPr>
                <a:bodyPr wrap="square" lIns="38100" tIns="19050" rIns="38100" bIns="19050" anchor="ctr">
                  <a:spAutoFit/>
                </a:bodyPr>
                <a:lstStyle/>
                <a:p>
                  <a:pPr>
                    <a:defRPr sz="900" b="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C-0888-4610-B8D0-43E855330F68}"/>
                </c:ext>
              </c:extLst>
            </c:dLbl>
            <c:dLbl>
              <c:idx val="3"/>
              <c:numFmt formatCode="#,##0.0" sourceLinked="0"/>
              <c:spPr>
                <a:solidFill>
                  <a:schemeClr val="bg1"/>
                </a:solidFill>
                <a:ln>
                  <a:solidFill>
                    <a:srgbClr val="DC8468"/>
                  </a:solidFill>
                </a:ln>
                <a:effectLst/>
              </c:spPr>
              <c:txPr>
                <a:bodyPr wrap="square" lIns="38100" tIns="19050" rIns="38100" bIns="19050" anchor="ctr">
                  <a:spAutoFit/>
                </a:bodyPr>
                <a:lstStyle/>
                <a:p>
                  <a:pPr>
                    <a:defRPr sz="900" b="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E-0888-4610-B8D0-43E855330F68}"/>
                </c:ext>
              </c:extLst>
            </c:dLbl>
            <c:dLbl>
              <c:idx val="4"/>
              <c:numFmt formatCode="#,##0.0" sourceLinked="0"/>
              <c:spPr>
                <a:solidFill>
                  <a:schemeClr val="bg1"/>
                </a:solidFill>
                <a:ln>
                  <a:solidFill>
                    <a:srgbClr val="DC8468"/>
                  </a:solidFill>
                </a:ln>
                <a:effectLst/>
              </c:spPr>
              <c:txPr>
                <a:bodyPr wrap="square" lIns="38100" tIns="19050" rIns="38100" bIns="19050" anchor="ctr">
                  <a:spAutoFit/>
                </a:bodyPr>
                <a:lstStyle/>
                <a:p>
                  <a:pPr>
                    <a:defRPr sz="900" b="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10-0888-4610-B8D0-43E855330F68}"/>
                </c:ext>
              </c:extLst>
            </c:dLbl>
            <c:numFmt formatCode="#,##0.0" sourceLinked="0"/>
            <c:spPr>
              <a:solidFill>
                <a:schemeClr val="bg1"/>
              </a:solidFill>
              <a:ln>
                <a:solidFill>
                  <a:srgbClr val="BC091B"/>
                </a:solidFill>
              </a:ln>
              <a:effectLst/>
            </c:spPr>
            <c:txPr>
              <a:bodyPr wrap="square" lIns="38100" tIns="19050" rIns="38100" bIns="19050" anchor="ctr">
                <a:spAutoFit/>
              </a:bodyPr>
              <a:lstStyle/>
              <a:p>
                <a:pPr>
                  <a:defRPr sz="900" b="0"/>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'T2_Průměrný příjem os_typ podle'!$A$89:$A$93</c:f>
              <c:strCache>
                <c:ptCount val="5"/>
                <c:pt idx="0">
                  <c:v>celkem</c:v>
                </c:pt>
                <c:pt idx="1">
                  <c:v>zaměstnanci</c:v>
                </c:pt>
                <c:pt idx="2">
                  <c:v>důchodci</c:v>
                </c:pt>
                <c:pt idx="3">
                  <c:v>úplné rodiny
 s dětmi</c:v>
                </c:pt>
                <c:pt idx="4">
                  <c:v>neúplné rodiny
 s dětmi</c:v>
                </c:pt>
              </c:strCache>
            </c:strRef>
          </c:cat>
          <c:val>
            <c:numRef>
              <c:f>'T2_Průměrný příjem os_typ podle'!$D$89:$D$93</c:f>
              <c:numCache>
                <c:formatCode>#,##0.00</c:formatCode>
                <c:ptCount val="5"/>
                <c:pt idx="0">
                  <c:v>278673.3</c:v>
                </c:pt>
                <c:pt idx="1">
                  <c:v>286953.77</c:v>
                </c:pt>
                <c:pt idx="2">
                  <c:v>257882.37</c:v>
                </c:pt>
                <c:pt idx="3">
                  <c:v>226505.07</c:v>
                </c:pt>
                <c:pt idx="4">
                  <c:v>184328.36</c:v>
                </c:pt>
              </c:numCache>
            </c:numRef>
          </c:val>
          <c:extLst>
            <c:ext xmlns:c16="http://schemas.microsoft.com/office/drawing/2014/chart" uri="{C3380CC4-5D6E-409C-BE32-E72D297353CC}">
              <c16:uniqueId val="{00000011-0888-4610-B8D0-43E855330F68}"/>
            </c:ext>
          </c:extLst>
        </c:ser>
        <c:dLbls>
          <c:dLblPos val="outEnd"/>
          <c:showLegendKey val="0"/>
          <c:showVal val="1"/>
          <c:showCatName val="0"/>
          <c:showSerName val="0"/>
          <c:showPercent val="0"/>
          <c:showBubbleSize val="0"/>
        </c:dLbls>
        <c:gapWidth val="180"/>
        <c:axId val="86780544"/>
        <c:axId val="86815104"/>
      </c:barChart>
      <c:scatterChart>
        <c:scatterStyle val="lineMarker"/>
        <c:varyColors val="0"/>
        <c:ser>
          <c:idx val="2"/>
          <c:order val="2"/>
          <c:tx>
            <c:strRef>
              <c:f>'T2_Průměrný příjem os_typ podle'!$E$88</c:f>
              <c:strCache>
                <c:ptCount val="1"/>
                <c:pt idx="0">
                  <c:v>index 23/22</c:v>
                </c:pt>
              </c:strCache>
            </c:strRef>
          </c:tx>
          <c:spPr>
            <a:ln w="19050">
              <a:noFill/>
            </a:ln>
          </c:spPr>
          <c:marker>
            <c:symbol val="diamond"/>
            <c:size val="8"/>
            <c:spPr>
              <a:solidFill>
                <a:schemeClr val="tx1"/>
              </a:solidFill>
              <a:ln>
                <a:noFill/>
              </a:ln>
            </c:spPr>
          </c:marker>
          <c:dLbls>
            <c:spPr>
              <a:noFill/>
              <a:ln>
                <a:noFill/>
              </a:ln>
              <a:effectLst/>
            </c:spPr>
            <c:txPr>
              <a:bodyPr wrap="square" lIns="38100" tIns="19050" rIns="38100" bIns="19050" anchor="ctr">
                <a:spAutoFit/>
              </a:bodyPr>
              <a:lstStyle/>
              <a:p>
                <a:pPr>
                  <a:defRPr sz="900" b="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strRef>
              <c:f>'T2_Průměrný příjem os_typ podle'!$A$48:$A$52</c:f>
              <c:strCache>
                <c:ptCount val="5"/>
                <c:pt idx="0">
                  <c:v>celkem</c:v>
                </c:pt>
                <c:pt idx="1">
                  <c:v>zaměstnanci</c:v>
                </c:pt>
                <c:pt idx="2">
                  <c:v>samostatně
činní</c:v>
                </c:pt>
                <c:pt idx="3">
                  <c:v>důchodci</c:v>
                </c:pt>
                <c:pt idx="4">
                  <c:v>nezaměstnaní</c:v>
                </c:pt>
              </c:strCache>
            </c:strRef>
          </c:xVal>
          <c:yVal>
            <c:numRef>
              <c:f>'T2_Průměrný příjem os_typ podle'!$E$89:$E$93</c:f>
              <c:numCache>
                <c:formatCode>0.0</c:formatCode>
                <c:ptCount val="5"/>
                <c:pt idx="0">
                  <c:v>107.24386042230807</c:v>
                </c:pt>
                <c:pt idx="1">
                  <c:v>106.54926066478365</c:v>
                </c:pt>
                <c:pt idx="2">
                  <c:v>115.04362209026023</c:v>
                </c:pt>
                <c:pt idx="3">
                  <c:v>103.4804044024193</c:v>
                </c:pt>
                <c:pt idx="4">
                  <c:v>105.05088199813764</c:v>
                </c:pt>
              </c:numCache>
            </c:numRef>
          </c:yVal>
          <c:smooth val="0"/>
          <c:extLst xmlns:c15="http://schemas.microsoft.com/office/drawing/2012/chart">
            <c:ext xmlns:c16="http://schemas.microsoft.com/office/drawing/2014/chart" uri="{C3380CC4-5D6E-409C-BE32-E72D297353CC}">
              <c16:uniqueId val="{00000012-0888-4610-B8D0-43E855330F68}"/>
            </c:ext>
          </c:extLst>
        </c:ser>
        <c:dLbls>
          <c:showLegendKey val="0"/>
          <c:showVal val="1"/>
          <c:showCatName val="0"/>
          <c:showSerName val="0"/>
          <c:showPercent val="0"/>
          <c:showBubbleSize val="0"/>
        </c:dLbls>
        <c:axId val="1697477119"/>
        <c:axId val="1814390799"/>
        <c:extLst/>
      </c:scatterChart>
      <c:catAx>
        <c:axId val="86780544"/>
        <c:scaling>
          <c:orientation val="minMax"/>
        </c:scaling>
        <c:delete val="0"/>
        <c:axPos val="b"/>
        <c:numFmt formatCode="General" sourceLinked="1"/>
        <c:majorTickMark val="out"/>
        <c:minorTickMark val="none"/>
        <c:tickLblPos val="nextTo"/>
        <c:spPr>
          <a:ln>
            <a:solidFill>
              <a:srgbClr val="D9D9D9"/>
            </a:solidFill>
          </a:ln>
        </c:spPr>
        <c:txPr>
          <a:bodyPr rot="0" vert="horz"/>
          <a:lstStyle/>
          <a:p>
            <a:pPr>
              <a:defRPr sz="900" b="0"/>
            </a:pPr>
            <a:endParaRPr lang="cs-CZ"/>
          </a:p>
        </c:txPr>
        <c:crossAx val="86815104"/>
        <c:crosses val="autoZero"/>
        <c:auto val="1"/>
        <c:lblAlgn val="ctr"/>
        <c:lblOffset val="100"/>
        <c:noMultiLvlLbl val="0"/>
      </c:catAx>
      <c:valAx>
        <c:axId val="86815104"/>
        <c:scaling>
          <c:orientation val="minMax"/>
          <c:max val="400000"/>
          <c:min val="0"/>
        </c:scaling>
        <c:delete val="0"/>
        <c:axPos val="l"/>
        <c:majorGridlines>
          <c:spPr>
            <a:ln>
              <a:noFill/>
              <a:prstDash val="dash"/>
            </a:ln>
          </c:spPr>
        </c:majorGridlines>
        <c:title>
          <c:tx>
            <c:rich>
              <a:bodyPr/>
              <a:lstStyle/>
              <a:p>
                <a:pPr>
                  <a:defRPr sz="900" b="0">
                    <a:solidFill>
                      <a:sysClr val="windowText" lastClr="000000"/>
                    </a:solidFill>
                  </a:defRPr>
                </a:pPr>
                <a:r>
                  <a:rPr lang="cs-CZ" sz="900" b="0">
                    <a:solidFill>
                      <a:sysClr val="windowText" lastClr="000000"/>
                    </a:solidFill>
                  </a:rPr>
                  <a:t>čisté roční příjmy na osobu (tis. Kč)</a:t>
                </a:r>
              </a:p>
            </c:rich>
          </c:tx>
          <c:layout>
            <c:manualLayout>
              <c:xMode val="edge"/>
              <c:yMode val="edge"/>
              <c:x val="7.2164513960656009E-3"/>
              <c:y val="0.1772540296317775"/>
            </c:manualLayout>
          </c:layout>
          <c:overlay val="0"/>
        </c:title>
        <c:numFmt formatCode="#,##0" sourceLinked="0"/>
        <c:majorTickMark val="out"/>
        <c:minorTickMark val="none"/>
        <c:tickLblPos val="nextTo"/>
        <c:spPr>
          <a:ln>
            <a:solidFill>
              <a:srgbClr val="D9D9D9"/>
            </a:solidFill>
          </a:ln>
        </c:spPr>
        <c:txPr>
          <a:bodyPr rot="0" vert="horz"/>
          <a:lstStyle/>
          <a:p>
            <a:pPr>
              <a:defRPr sz="900" b="0">
                <a:solidFill>
                  <a:sysClr val="windowText" lastClr="000000"/>
                </a:solidFill>
              </a:defRPr>
            </a:pPr>
            <a:endParaRPr lang="cs-CZ"/>
          </a:p>
        </c:txPr>
        <c:crossAx val="86780544"/>
        <c:crosses val="autoZero"/>
        <c:crossBetween val="between"/>
        <c:majorUnit val="50000"/>
        <c:minorUnit val="50000"/>
        <c:dispUnits>
          <c:builtInUnit val="thousands"/>
        </c:dispUnits>
      </c:valAx>
      <c:valAx>
        <c:axId val="1814390799"/>
        <c:scaling>
          <c:orientation val="minMax"/>
          <c:max val="116"/>
          <c:min val="0"/>
        </c:scaling>
        <c:delete val="0"/>
        <c:axPos val="r"/>
        <c:title>
          <c:tx>
            <c:rich>
              <a:bodyPr/>
              <a:lstStyle/>
              <a:p>
                <a:pPr>
                  <a:defRPr sz="900" b="0"/>
                </a:pPr>
                <a:r>
                  <a:rPr lang="cs-CZ" sz="900" b="0"/>
                  <a:t>m</a:t>
                </a:r>
                <a:r>
                  <a:rPr lang="en-US" sz="900" b="0"/>
                  <a:t>eziroční růst příjmů (%)</a:t>
                </a:r>
              </a:p>
            </c:rich>
          </c:tx>
          <c:layout>
            <c:manualLayout>
              <c:xMode val="edge"/>
              <c:yMode val="edge"/>
              <c:x val="0.958056117904871"/>
              <c:y val="0.26527007270363118"/>
            </c:manualLayout>
          </c:layout>
          <c:overlay val="0"/>
        </c:title>
        <c:numFmt formatCode="0" sourceLinked="0"/>
        <c:majorTickMark val="out"/>
        <c:minorTickMark val="none"/>
        <c:tickLblPos val="nextTo"/>
        <c:txPr>
          <a:bodyPr/>
          <a:lstStyle/>
          <a:p>
            <a:pPr>
              <a:defRPr sz="900" b="0"/>
            </a:pPr>
            <a:endParaRPr lang="cs-CZ"/>
          </a:p>
        </c:txPr>
        <c:crossAx val="1697477119"/>
        <c:crosses val="max"/>
        <c:crossBetween val="midCat"/>
        <c:majorUnit val="100"/>
      </c:valAx>
      <c:valAx>
        <c:axId val="1697477119"/>
        <c:scaling>
          <c:orientation val="minMax"/>
        </c:scaling>
        <c:delete val="1"/>
        <c:axPos val="t"/>
        <c:majorTickMark val="out"/>
        <c:minorTickMark val="none"/>
        <c:tickLblPos val="nextTo"/>
        <c:crossAx val="1814390799"/>
        <c:crosses val="max"/>
        <c:crossBetween val="midCat"/>
      </c:valAx>
    </c:plotArea>
    <c:legend>
      <c:legendPos val="b"/>
      <c:layout>
        <c:manualLayout>
          <c:xMode val="edge"/>
          <c:yMode val="edge"/>
          <c:x val="0.10395024633344037"/>
          <c:y val="0.92249227103058695"/>
          <c:w val="0.83068227000842099"/>
          <c:h val="4.3002308490918156E-2"/>
        </c:manualLayout>
      </c:layout>
      <c:overlay val="0"/>
      <c:spPr>
        <a:ln>
          <a:noFill/>
        </a:ln>
      </c:spPr>
      <c:txPr>
        <a:bodyPr/>
        <a:lstStyle/>
        <a:p>
          <a:pPr>
            <a:defRPr sz="900" b="0"/>
          </a:pPr>
          <a:endParaRPr lang="cs-CZ"/>
        </a:p>
      </c:txPr>
    </c:legend>
    <c:plotVisOnly val="1"/>
    <c:dispBlanksAs val="gap"/>
    <c:showDLblsOverMax val="0"/>
  </c:chart>
  <c:spPr>
    <a:noFill/>
    <a:ln>
      <a:noFill/>
    </a:ln>
  </c:spPr>
  <c:txPr>
    <a:bodyPr/>
    <a:lstStyle/>
    <a:p>
      <a:pPr>
        <a:defRPr sz="1800" b="1" i="0" u="none" strike="noStrike" baseline="0">
          <a:solidFill>
            <a:srgbClr val="000000"/>
          </a:solidFill>
          <a:latin typeface="Arial" pitchFamily="34" charset="0"/>
          <a:ea typeface="Calibri"/>
          <a:cs typeface="Arial" pitchFamily="34" charset="0"/>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41360597899115E-2"/>
          <c:y val="3.2163742690058478E-2"/>
          <c:w val="0.84771759386197387"/>
          <c:h val="0.78796680020260623"/>
        </c:manualLayout>
      </c:layout>
      <c:barChart>
        <c:barDir val="bar"/>
        <c:grouping val="stacked"/>
        <c:varyColors val="0"/>
        <c:ser>
          <c:idx val="0"/>
          <c:order val="0"/>
          <c:tx>
            <c:strRef>
              <c:f>'T3_HPříjmy - struktura'!$B$3</c:f>
              <c:strCache>
                <c:ptCount val="1"/>
                <c:pt idx="0">
                  <c:v>příjmy ze závislé činnosti</c:v>
                </c:pt>
              </c:strCache>
            </c:strRef>
          </c:tx>
          <c:spPr>
            <a:solidFill>
              <a:srgbClr val="0071BC"/>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'T3_HPříjmy - struktura'!$A$4:$A$7</c:f>
              <c:numCache>
                <c:formatCode>General</c:formatCode>
                <c:ptCount val="4"/>
                <c:pt idx="0">
                  <c:v>2020</c:v>
                </c:pt>
                <c:pt idx="1">
                  <c:v>2021</c:v>
                </c:pt>
                <c:pt idx="2">
                  <c:v>2022</c:v>
                </c:pt>
                <c:pt idx="3">
                  <c:v>2023</c:v>
                </c:pt>
              </c:numCache>
            </c:numRef>
          </c:cat>
          <c:val>
            <c:numRef>
              <c:f>'T3_HPříjmy - struktura'!$B$4:$B$7</c:f>
              <c:numCache>
                <c:formatCode>0.0</c:formatCode>
                <c:ptCount val="4"/>
                <c:pt idx="0">
                  <c:v>63.376906738168039</c:v>
                </c:pt>
                <c:pt idx="1">
                  <c:v>62.25738561016356</c:v>
                </c:pt>
                <c:pt idx="2">
                  <c:v>61.499903934376256</c:v>
                </c:pt>
                <c:pt idx="3">
                  <c:v>60.223061926731006</c:v>
                </c:pt>
              </c:numCache>
            </c:numRef>
          </c:val>
          <c:extLst>
            <c:ext xmlns:c16="http://schemas.microsoft.com/office/drawing/2014/chart" uri="{C3380CC4-5D6E-409C-BE32-E72D297353CC}">
              <c16:uniqueId val="{00000000-FC60-4FB6-B00A-EECA60351350}"/>
            </c:ext>
          </c:extLst>
        </c:ser>
        <c:ser>
          <c:idx val="1"/>
          <c:order val="1"/>
          <c:tx>
            <c:strRef>
              <c:f>'T3_HPříjmy - struktura'!$C$3</c:f>
              <c:strCache>
                <c:ptCount val="1"/>
                <c:pt idx="0">
                  <c:v>příjmy z podnikání</c:v>
                </c:pt>
              </c:strCache>
            </c:strRef>
          </c:tx>
          <c:spPr>
            <a:solidFill>
              <a:srgbClr val="CCECFF"/>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'T3_HPříjmy - struktura'!$A$4:$A$7</c:f>
              <c:numCache>
                <c:formatCode>General</c:formatCode>
                <c:ptCount val="4"/>
                <c:pt idx="0">
                  <c:v>2020</c:v>
                </c:pt>
                <c:pt idx="1">
                  <c:v>2021</c:v>
                </c:pt>
                <c:pt idx="2">
                  <c:v>2022</c:v>
                </c:pt>
                <c:pt idx="3">
                  <c:v>2023</c:v>
                </c:pt>
              </c:numCache>
            </c:numRef>
          </c:cat>
          <c:val>
            <c:numRef>
              <c:f>'T3_HPříjmy - struktura'!$C$4:$C$7</c:f>
              <c:numCache>
                <c:formatCode>0.0</c:formatCode>
                <c:ptCount val="4"/>
                <c:pt idx="0">
                  <c:v>13.544826702612825</c:v>
                </c:pt>
                <c:pt idx="1">
                  <c:v>13.255730575208574</c:v>
                </c:pt>
                <c:pt idx="2">
                  <c:v>13.850401786461635</c:v>
                </c:pt>
                <c:pt idx="3">
                  <c:v>13.852458324409083</c:v>
                </c:pt>
              </c:numCache>
            </c:numRef>
          </c:val>
          <c:extLst>
            <c:ext xmlns:c16="http://schemas.microsoft.com/office/drawing/2014/chart" uri="{C3380CC4-5D6E-409C-BE32-E72D297353CC}">
              <c16:uniqueId val="{00000001-FC60-4FB6-B00A-EECA60351350}"/>
            </c:ext>
          </c:extLst>
        </c:ser>
        <c:ser>
          <c:idx val="2"/>
          <c:order val="2"/>
          <c:tx>
            <c:strRef>
              <c:f>'T3_HPříjmy - struktura'!$D$3</c:f>
              <c:strCache>
                <c:ptCount val="1"/>
                <c:pt idx="0">
                  <c:v>jiné příjmy</c:v>
                </c:pt>
              </c:strCache>
            </c:strRef>
          </c:tx>
          <c:spPr>
            <a:solidFill>
              <a:srgbClr val="A5A5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'T3_HPříjmy - struktura'!$A$4:$A$7</c:f>
              <c:numCache>
                <c:formatCode>General</c:formatCode>
                <c:ptCount val="4"/>
                <c:pt idx="0">
                  <c:v>2020</c:v>
                </c:pt>
                <c:pt idx="1">
                  <c:v>2021</c:v>
                </c:pt>
                <c:pt idx="2">
                  <c:v>2022</c:v>
                </c:pt>
                <c:pt idx="3">
                  <c:v>2023</c:v>
                </c:pt>
              </c:numCache>
            </c:numRef>
          </c:cat>
          <c:val>
            <c:numRef>
              <c:f>'T3_HPříjmy - struktura'!$D$4:$D$7</c:f>
              <c:numCache>
                <c:formatCode>0.0</c:formatCode>
                <c:ptCount val="4"/>
                <c:pt idx="0">
                  <c:v>2.635068604567965</c:v>
                </c:pt>
                <c:pt idx="1">
                  <c:v>2.9407150317840345</c:v>
                </c:pt>
                <c:pt idx="2">
                  <c:v>3.0657535566299243</c:v>
                </c:pt>
                <c:pt idx="3">
                  <c:v>3.2334755480791628</c:v>
                </c:pt>
              </c:numCache>
            </c:numRef>
          </c:val>
          <c:extLst>
            <c:ext xmlns:c16="http://schemas.microsoft.com/office/drawing/2014/chart" uri="{C3380CC4-5D6E-409C-BE32-E72D297353CC}">
              <c16:uniqueId val="{00000002-FC60-4FB6-B00A-EECA60351350}"/>
            </c:ext>
          </c:extLst>
        </c:ser>
        <c:ser>
          <c:idx val="3"/>
          <c:order val="3"/>
          <c:tx>
            <c:strRef>
              <c:f>'T3_HPříjmy - struktura'!$E$3</c:f>
              <c:strCache>
                <c:ptCount val="1"/>
                <c:pt idx="0">
                  <c:v>důchody</c:v>
                </c:pt>
              </c:strCache>
            </c:strRef>
          </c:tx>
          <c:spPr>
            <a:solidFill>
              <a:srgbClr val="C0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'T3_HPříjmy - struktura'!$A$4:$A$7</c:f>
              <c:numCache>
                <c:formatCode>General</c:formatCode>
                <c:ptCount val="4"/>
                <c:pt idx="0">
                  <c:v>2020</c:v>
                </c:pt>
                <c:pt idx="1">
                  <c:v>2021</c:v>
                </c:pt>
                <c:pt idx="2">
                  <c:v>2022</c:v>
                </c:pt>
                <c:pt idx="3">
                  <c:v>2023</c:v>
                </c:pt>
              </c:numCache>
            </c:numRef>
          </c:cat>
          <c:val>
            <c:numRef>
              <c:f>'T3_HPříjmy - struktura'!$E$4:$E$7</c:f>
              <c:numCache>
                <c:formatCode>0.0</c:formatCode>
                <c:ptCount val="4"/>
                <c:pt idx="0">
                  <c:v>17.114474485806362</c:v>
                </c:pt>
                <c:pt idx="1">
                  <c:v>17.933815837616116</c:v>
                </c:pt>
                <c:pt idx="2">
                  <c:v>18.144456329124349</c:v>
                </c:pt>
                <c:pt idx="3">
                  <c:v>19.510958456514025</c:v>
                </c:pt>
              </c:numCache>
            </c:numRef>
          </c:val>
          <c:extLst>
            <c:ext xmlns:c16="http://schemas.microsoft.com/office/drawing/2014/chart" uri="{C3380CC4-5D6E-409C-BE32-E72D297353CC}">
              <c16:uniqueId val="{00000003-FC60-4FB6-B00A-EECA60351350}"/>
            </c:ext>
          </c:extLst>
        </c:ser>
        <c:ser>
          <c:idx val="4"/>
          <c:order val="4"/>
          <c:tx>
            <c:strRef>
              <c:f>'T3_HPříjmy - struktura'!$F$3</c:f>
              <c:strCache>
                <c:ptCount val="1"/>
                <c:pt idx="0">
                  <c:v>sociální dávky</c:v>
                </c:pt>
              </c:strCache>
            </c:strRef>
          </c:tx>
          <c:spPr>
            <a:solidFill>
              <a:srgbClr val="FF7C8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'T3_HPříjmy - struktura'!$A$4:$A$7</c:f>
              <c:numCache>
                <c:formatCode>General</c:formatCode>
                <c:ptCount val="4"/>
                <c:pt idx="0">
                  <c:v>2020</c:v>
                </c:pt>
                <c:pt idx="1">
                  <c:v>2021</c:v>
                </c:pt>
                <c:pt idx="2">
                  <c:v>2022</c:v>
                </c:pt>
                <c:pt idx="3">
                  <c:v>2023</c:v>
                </c:pt>
              </c:numCache>
            </c:numRef>
          </c:cat>
          <c:val>
            <c:numRef>
              <c:f>'T3_HPříjmy - struktura'!$F$4:$F$7</c:f>
              <c:numCache>
                <c:formatCode>0.0</c:formatCode>
                <c:ptCount val="4"/>
                <c:pt idx="0">
                  <c:v>3.3287234688448111</c:v>
                </c:pt>
                <c:pt idx="1">
                  <c:v>3.6123529452277148</c:v>
                </c:pt>
                <c:pt idx="2">
                  <c:v>3.443406612153102</c:v>
                </c:pt>
                <c:pt idx="3">
                  <c:v>3.1800551244991349</c:v>
                </c:pt>
              </c:numCache>
            </c:numRef>
          </c:val>
          <c:extLst>
            <c:ext xmlns:c16="http://schemas.microsoft.com/office/drawing/2014/chart" uri="{C3380CC4-5D6E-409C-BE32-E72D297353CC}">
              <c16:uniqueId val="{00000004-FC60-4FB6-B00A-EECA60351350}"/>
            </c:ext>
          </c:extLst>
        </c:ser>
        <c:dLbls>
          <c:showLegendKey val="0"/>
          <c:showVal val="0"/>
          <c:showCatName val="0"/>
          <c:showSerName val="0"/>
          <c:showPercent val="0"/>
          <c:showBubbleSize val="0"/>
        </c:dLbls>
        <c:gapWidth val="150"/>
        <c:overlap val="100"/>
        <c:axId val="1902069423"/>
        <c:axId val="1902069839"/>
      </c:barChart>
      <c:catAx>
        <c:axId val="1902069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902069839"/>
        <c:crosses val="autoZero"/>
        <c:auto val="1"/>
        <c:lblAlgn val="ctr"/>
        <c:lblOffset val="100"/>
        <c:noMultiLvlLbl val="0"/>
      </c:catAx>
      <c:valAx>
        <c:axId val="1902069839"/>
        <c:scaling>
          <c:orientation val="minMax"/>
          <c:max val="100"/>
        </c:scaling>
        <c:delete val="0"/>
        <c:axPos val="b"/>
        <c:numFmt formatCode="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902069423"/>
        <c:crosses val="autoZero"/>
        <c:crossBetween val="between"/>
      </c:valAx>
      <c:spPr>
        <a:noFill/>
        <a:ln>
          <a:noFill/>
        </a:ln>
        <a:effectLst/>
      </c:spPr>
    </c:plotArea>
    <c:legend>
      <c:legendPos val="b"/>
      <c:layout>
        <c:manualLayout>
          <c:xMode val="edge"/>
          <c:yMode val="edge"/>
          <c:x val="8.0324185783648888E-2"/>
          <c:y val="0.92548648524197641"/>
          <c:w val="0.84898548282805064"/>
          <c:h val="6.281760832527512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424940718547406E-2"/>
          <c:y val="0.11371522309711286"/>
          <c:w val="0.91942002004692747"/>
          <c:h val="0.77122615923009619"/>
        </c:manualLayout>
      </c:layout>
      <c:lineChart>
        <c:grouping val="standard"/>
        <c:varyColors val="0"/>
        <c:ser>
          <c:idx val="0"/>
          <c:order val="0"/>
          <c:tx>
            <c:strRef>
              <c:f>'Průměrný příjem na osobu (2)'!$I$2</c:f>
              <c:strCache>
                <c:ptCount val="1"/>
                <c:pt idx="0">
                  <c:v>čisté peněžní příjmy</c:v>
                </c:pt>
              </c:strCache>
            </c:strRef>
          </c:tx>
          <c:spPr>
            <a:ln w="28575" cap="rnd">
              <a:solidFill>
                <a:srgbClr val="0071BC"/>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C8EE-4A1A-856A-EEF49E0A75EA}"/>
                </c:ext>
              </c:extLst>
            </c:dLbl>
            <c:dLbl>
              <c:idx val="1"/>
              <c:delete val="1"/>
              <c:extLst>
                <c:ext xmlns:c15="http://schemas.microsoft.com/office/drawing/2012/chart" uri="{CE6537A1-D6FC-4f65-9D91-7224C49458BB}"/>
                <c:ext xmlns:c16="http://schemas.microsoft.com/office/drawing/2014/chart" uri="{C3380CC4-5D6E-409C-BE32-E72D297353CC}">
                  <c16:uniqueId val="{00000001-C8EE-4A1A-856A-EEF49E0A75EA}"/>
                </c:ext>
              </c:extLst>
            </c:dLbl>
            <c:dLbl>
              <c:idx val="2"/>
              <c:delete val="1"/>
              <c:extLst>
                <c:ext xmlns:c15="http://schemas.microsoft.com/office/drawing/2012/chart" uri="{CE6537A1-D6FC-4f65-9D91-7224C49458BB}"/>
                <c:ext xmlns:c16="http://schemas.microsoft.com/office/drawing/2014/chart" uri="{C3380CC4-5D6E-409C-BE32-E72D297353CC}">
                  <c16:uniqueId val="{00000002-C8EE-4A1A-856A-EEF49E0A75EA}"/>
                </c:ext>
              </c:extLst>
            </c:dLbl>
            <c:dLbl>
              <c:idx val="3"/>
              <c:delete val="1"/>
              <c:extLst>
                <c:ext xmlns:c15="http://schemas.microsoft.com/office/drawing/2012/chart" uri="{CE6537A1-D6FC-4f65-9D91-7224C49458BB}"/>
                <c:ext xmlns:c16="http://schemas.microsoft.com/office/drawing/2014/chart" uri="{C3380CC4-5D6E-409C-BE32-E72D297353CC}">
                  <c16:uniqueId val="{00000003-C8EE-4A1A-856A-EEF49E0A75EA}"/>
                </c:ext>
              </c:extLst>
            </c:dLbl>
            <c:dLbl>
              <c:idx val="4"/>
              <c:delete val="1"/>
              <c:extLst>
                <c:ext xmlns:c15="http://schemas.microsoft.com/office/drawing/2012/chart" uri="{CE6537A1-D6FC-4f65-9D91-7224C49458BB}"/>
                <c:ext xmlns:c16="http://schemas.microsoft.com/office/drawing/2014/chart" uri="{C3380CC4-5D6E-409C-BE32-E72D297353CC}">
                  <c16:uniqueId val="{00000004-C8EE-4A1A-856A-EEF49E0A75EA}"/>
                </c:ext>
              </c:extLst>
            </c:dLbl>
            <c:dLbl>
              <c:idx val="5"/>
              <c:delete val="1"/>
              <c:extLst>
                <c:ext xmlns:c15="http://schemas.microsoft.com/office/drawing/2012/chart" uri="{CE6537A1-D6FC-4f65-9D91-7224C49458BB}"/>
                <c:ext xmlns:c16="http://schemas.microsoft.com/office/drawing/2014/chart" uri="{C3380CC4-5D6E-409C-BE32-E72D297353CC}">
                  <c16:uniqueId val="{00000005-C8EE-4A1A-856A-EEF49E0A75EA}"/>
                </c:ext>
              </c:extLst>
            </c:dLbl>
            <c:dLbl>
              <c:idx val="6"/>
              <c:delete val="1"/>
              <c:extLst>
                <c:ext xmlns:c15="http://schemas.microsoft.com/office/drawing/2012/chart" uri="{CE6537A1-D6FC-4f65-9D91-7224C49458BB}"/>
                <c:ext xmlns:c16="http://schemas.microsoft.com/office/drawing/2014/chart" uri="{C3380CC4-5D6E-409C-BE32-E72D297353CC}">
                  <c16:uniqueId val="{00000006-C8EE-4A1A-856A-EEF49E0A75EA}"/>
                </c:ext>
              </c:extLst>
            </c:dLbl>
            <c:dLbl>
              <c:idx val="7"/>
              <c:delete val="1"/>
              <c:extLst>
                <c:ext xmlns:c15="http://schemas.microsoft.com/office/drawing/2012/chart" uri="{CE6537A1-D6FC-4f65-9D91-7224C49458BB}"/>
                <c:ext xmlns:c16="http://schemas.microsoft.com/office/drawing/2014/chart" uri="{C3380CC4-5D6E-409C-BE32-E72D297353CC}">
                  <c16:uniqueId val="{00000007-C8EE-4A1A-856A-EEF49E0A75EA}"/>
                </c:ext>
              </c:extLst>
            </c:dLbl>
            <c:dLbl>
              <c:idx val="8"/>
              <c:delete val="1"/>
              <c:extLst>
                <c:ext xmlns:c15="http://schemas.microsoft.com/office/drawing/2012/chart" uri="{CE6537A1-D6FC-4f65-9D91-7224C49458BB}"/>
                <c:ext xmlns:c16="http://schemas.microsoft.com/office/drawing/2014/chart" uri="{C3380CC4-5D6E-409C-BE32-E72D297353CC}">
                  <c16:uniqueId val="{00000008-C8EE-4A1A-856A-EEF49E0A75EA}"/>
                </c:ext>
              </c:extLst>
            </c:dLbl>
            <c:dLbl>
              <c:idx val="9"/>
              <c:delete val="1"/>
              <c:extLst>
                <c:ext xmlns:c15="http://schemas.microsoft.com/office/drawing/2012/chart" uri="{CE6537A1-D6FC-4f65-9D91-7224C49458BB}"/>
                <c:ext xmlns:c16="http://schemas.microsoft.com/office/drawing/2014/chart" uri="{C3380CC4-5D6E-409C-BE32-E72D297353CC}">
                  <c16:uniqueId val="{00000009-C8EE-4A1A-856A-EEF49E0A75EA}"/>
                </c:ext>
              </c:extLst>
            </c:dLbl>
            <c:dLbl>
              <c:idx val="10"/>
              <c:layout>
                <c:manualLayout>
                  <c:x val="0"/>
                  <c:y val="-8.1299212598422653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8EE-4A1A-856A-EEF49E0A75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1BC"/>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'Průměrný příjem na osobu (2)'!$G$11:$G$21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'Průměrný příjem na osobu (2)'!$I$11:$I$21</c:f>
              <c:numCache>
                <c:formatCode>0.0</c:formatCode>
                <c:ptCount val="11"/>
                <c:pt idx="0">
                  <c:v>2.3588024336002462</c:v>
                </c:pt>
                <c:pt idx="1">
                  <c:v>2.8407571002616407</c:v>
                </c:pt>
                <c:pt idx="2">
                  <c:v>4.5865704878095102</c:v>
                </c:pt>
                <c:pt idx="3">
                  <c:v>4.4408489068014774</c:v>
                </c:pt>
                <c:pt idx="4">
                  <c:v>5.9647213674312241</c:v>
                </c:pt>
                <c:pt idx="5">
                  <c:v>6.9216138739222686</c:v>
                </c:pt>
                <c:pt idx="6">
                  <c:v>7.5268799565286599</c:v>
                </c:pt>
                <c:pt idx="7">
                  <c:v>4.9355825611898467</c:v>
                </c:pt>
                <c:pt idx="8">
                  <c:v>9.5654541148362284</c:v>
                </c:pt>
                <c:pt idx="9" formatCode="0.00">
                  <c:v>7.7498678266133965</c:v>
                </c:pt>
                <c:pt idx="10">
                  <c:v>7.2437449711395061</c:v>
                </c:pt>
              </c:numCache>
            </c:numRef>
          </c:val>
          <c:smooth val="0"/>
          <c:extLst>
            <c:ext xmlns:c16="http://schemas.microsoft.com/office/drawing/2014/chart" uri="{C3380CC4-5D6E-409C-BE32-E72D297353CC}">
              <c16:uniqueId val="{0000000B-C8EE-4A1A-856A-EEF49E0A75EA}"/>
            </c:ext>
          </c:extLst>
        </c:ser>
        <c:ser>
          <c:idx val="1"/>
          <c:order val="1"/>
          <c:tx>
            <c:strRef>
              <c:f>'Průměrný příjem na osobu (2)'!$J$2</c:f>
              <c:strCache>
                <c:ptCount val="1"/>
                <c:pt idx="0">
                  <c:v>hrubé peněžní příjmy</c:v>
                </c:pt>
              </c:strCache>
            </c:strRef>
          </c:tx>
          <c:spPr>
            <a:ln w="28575" cap="rnd">
              <a:solidFill>
                <a:srgbClr val="BC091B"/>
              </a:solidFill>
              <a:round/>
            </a:ln>
            <a:effectLst/>
          </c:spPr>
          <c:marker>
            <c:symbol val="none"/>
          </c:marker>
          <c:cat>
            <c:numRef>
              <c:f>'Průměrný příjem na osobu (2)'!$G$11:$G$21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'Průměrný příjem na osobu (2)'!$J$11:$J$21</c:f>
              <c:numCache>
                <c:formatCode>0.0</c:formatCode>
                <c:ptCount val="11"/>
                <c:pt idx="0">
                  <c:v>2.6778000061340066</c:v>
                </c:pt>
                <c:pt idx="1">
                  <c:v>3.4414212735640035</c:v>
                </c:pt>
                <c:pt idx="2">
                  <c:v>4.9250363825679955</c:v>
                </c:pt>
                <c:pt idx="3">
                  <c:v>4.9473737231590036</c:v>
                </c:pt>
                <c:pt idx="4">
                  <c:v>6.7128380033280024</c:v>
                </c:pt>
                <c:pt idx="5">
                  <c:v>7.5932528118309932</c:v>
                </c:pt>
                <c:pt idx="6">
                  <c:v>8.1738315002150017</c:v>
                </c:pt>
                <c:pt idx="7">
                  <c:v>4.886929888723003</c:v>
                </c:pt>
                <c:pt idx="8">
                  <c:v>5.3366540159649958</c:v>
                </c:pt>
                <c:pt idx="9" formatCode="0.00">
                  <c:v>7.481349802310973</c:v>
                </c:pt>
                <c:pt idx="10">
                  <c:v>7.2947507710159556</c:v>
                </c:pt>
              </c:numCache>
            </c:numRef>
          </c:val>
          <c:smooth val="0"/>
          <c:extLst>
            <c:ext xmlns:c16="http://schemas.microsoft.com/office/drawing/2014/chart" uri="{C3380CC4-5D6E-409C-BE32-E72D297353CC}">
              <c16:uniqueId val="{0000000C-C8EE-4A1A-856A-EEF49E0A75EA}"/>
            </c:ext>
          </c:extLst>
        </c:ser>
        <c:ser>
          <c:idx val="2"/>
          <c:order val="2"/>
          <c:tx>
            <c:strRef>
              <c:f>'Průměrný příjem na osobu (2)'!$K$2</c:f>
              <c:strCache>
                <c:ptCount val="1"/>
                <c:pt idx="0">
                  <c:v>reálné čisté peněžní příjmy</c:v>
                </c:pt>
              </c:strCache>
            </c:strRef>
          </c:tx>
          <c:spPr>
            <a:ln w="28575" cap="rnd">
              <a:solidFill>
                <a:srgbClr val="86BF5E"/>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D-C8EE-4A1A-856A-EEF49E0A75EA}"/>
                </c:ext>
              </c:extLst>
            </c:dLbl>
            <c:dLbl>
              <c:idx val="1"/>
              <c:delete val="1"/>
              <c:extLst>
                <c:ext xmlns:c15="http://schemas.microsoft.com/office/drawing/2012/chart" uri="{CE6537A1-D6FC-4f65-9D91-7224C49458BB}"/>
                <c:ext xmlns:c16="http://schemas.microsoft.com/office/drawing/2014/chart" uri="{C3380CC4-5D6E-409C-BE32-E72D297353CC}">
                  <c16:uniqueId val="{0000000E-C8EE-4A1A-856A-EEF49E0A75EA}"/>
                </c:ext>
              </c:extLst>
            </c:dLbl>
            <c:dLbl>
              <c:idx val="2"/>
              <c:delete val="1"/>
              <c:extLst>
                <c:ext xmlns:c15="http://schemas.microsoft.com/office/drawing/2012/chart" uri="{CE6537A1-D6FC-4f65-9D91-7224C49458BB}"/>
                <c:ext xmlns:c16="http://schemas.microsoft.com/office/drawing/2014/chart" uri="{C3380CC4-5D6E-409C-BE32-E72D297353CC}">
                  <c16:uniqueId val="{0000000F-C8EE-4A1A-856A-EEF49E0A75EA}"/>
                </c:ext>
              </c:extLst>
            </c:dLbl>
            <c:dLbl>
              <c:idx val="3"/>
              <c:delete val="1"/>
              <c:extLst>
                <c:ext xmlns:c15="http://schemas.microsoft.com/office/drawing/2012/chart" uri="{CE6537A1-D6FC-4f65-9D91-7224C49458BB}"/>
                <c:ext xmlns:c16="http://schemas.microsoft.com/office/drawing/2014/chart" uri="{C3380CC4-5D6E-409C-BE32-E72D297353CC}">
                  <c16:uniqueId val="{00000010-C8EE-4A1A-856A-EEF49E0A75EA}"/>
                </c:ext>
              </c:extLst>
            </c:dLbl>
            <c:dLbl>
              <c:idx val="4"/>
              <c:delete val="1"/>
              <c:extLst>
                <c:ext xmlns:c15="http://schemas.microsoft.com/office/drawing/2012/chart" uri="{CE6537A1-D6FC-4f65-9D91-7224C49458BB}"/>
                <c:ext xmlns:c16="http://schemas.microsoft.com/office/drawing/2014/chart" uri="{C3380CC4-5D6E-409C-BE32-E72D297353CC}">
                  <c16:uniqueId val="{00000011-C8EE-4A1A-856A-EEF49E0A75EA}"/>
                </c:ext>
              </c:extLst>
            </c:dLbl>
            <c:dLbl>
              <c:idx val="5"/>
              <c:delete val="1"/>
              <c:extLst>
                <c:ext xmlns:c15="http://schemas.microsoft.com/office/drawing/2012/chart" uri="{CE6537A1-D6FC-4f65-9D91-7224C49458BB}"/>
                <c:ext xmlns:c16="http://schemas.microsoft.com/office/drawing/2014/chart" uri="{C3380CC4-5D6E-409C-BE32-E72D297353CC}">
                  <c16:uniqueId val="{00000012-C8EE-4A1A-856A-EEF49E0A75EA}"/>
                </c:ext>
              </c:extLst>
            </c:dLbl>
            <c:dLbl>
              <c:idx val="6"/>
              <c:delete val="1"/>
              <c:extLst>
                <c:ext xmlns:c15="http://schemas.microsoft.com/office/drawing/2012/chart" uri="{CE6537A1-D6FC-4f65-9D91-7224C49458BB}"/>
                <c:ext xmlns:c16="http://schemas.microsoft.com/office/drawing/2014/chart" uri="{C3380CC4-5D6E-409C-BE32-E72D297353CC}">
                  <c16:uniqueId val="{00000013-C8EE-4A1A-856A-EEF49E0A75EA}"/>
                </c:ext>
              </c:extLst>
            </c:dLbl>
            <c:dLbl>
              <c:idx val="7"/>
              <c:delete val="1"/>
              <c:extLst>
                <c:ext xmlns:c15="http://schemas.microsoft.com/office/drawing/2012/chart" uri="{CE6537A1-D6FC-4f65-9D91-7224C49458BB}"/>
                <c:ext xmlns:c16="http://schemas.microsoft.com/office/drawing/2014/chart" uri="{C3380CC4-5D6E-409C-BE32-E72D297353CC}">
                  <c16:uniqueId val="{00000014-C8EE-4A1A-856A-EEF49E0A75EA}"/>
                </c:ext>
              </c:extLst>
            </c:dLbl>
            <c:dLbl>
              <c:idx val="8"/>
              <c:delete val="1"/>
              <c:extLst>
                <c:ext xmlns:c15="http://schemas.microsoft.com/office/drawing/2012/chart" uri="{CE6537A1-D6FC-4f65-9D91-7224C49458BB}"/>
                <c:ext xmlns:c16="http://schemas.microsoft.com/office/drawing/2014/chart" uri="{C3380CC4-5D6E-409C-BE32-E72D297353CC}">
                  <c16:uniqueId val="{00000015-C8EE-4A1A-856A-EEF49E0A75EA}"/>
                </c:ext>
              </c:extLst>
            </c:dLbl>
            <c:dLbl>
              <c:idx val="9"/>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8EE-4A1A-856A-EEF49E0A75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6BF5E"/>
                    </a:solidFill>
                    <a:latin typeface="Arial" panose="020B0604020202020204" pitchFamily="34" charset="0"/>
                    <a:ea typeface="+mn-ea"/>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'Průměrný příjem na osobu (2)'!$G$11:$G$21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'Průměrný příjem na osobu (2)'!$K$11:$K$21</c:f>
              <c:numCache>
                <c:formatCode>0.0</c:formatCode>
                <c:ptCount val="11"/>
                <c:pt idx="0">
                  <c:v>0.94556453017800379</c:v>
                </c:pt>
                <c:pt idx="1">
                  <c:v>2.4310329683879957</c:v>
                </c:pt>
                <c:pt idx="2">
                  <c:v>4.2737492400890034</c:v>
                </c:pt>
                <c:pt idx="3">
                  <c:v>3.7148449918580013</c:v>
                </c:pt>
                <c:pt idx="4">
                  <c:v>3.3802159682259969</c:v>
                </c:pt>
                <c:pt idx="5">
                  <c:v>4.7224425797480052</c:v>
                </c:pt>
                <c:pt idx="6">
                  <c:v>4.5981322534329934</c:v>
                </c:pt>
                <c:pt idx="7">
                  <c:v>1.6817660476649934</c:v>
                </c:pt>
                <c:pt idx="8">
                  <c:v>5.5543873938690069</c:v>
                </c:pt>
                <c:pt idx="9">
                  <c:v>-6.5</c:v>
                </c:pt>
                <c:pt idx="10">
                  <c:v>-3.1221815978866374</c:v>
                </c:pt>
              </c:numCache>
            </c:numRef>
          </c:val>
          <c:smooth val="0"/>
          <c:extLst>
            <c:ext xmlns:c16="http://schemas.microsoft.com/office/drawing/2014/chart" uri="{C3380CC4-5D6E-409C-BE32-E72D297353CC}">
              <c16:uniqueId val="{00000017-C8EE-4A1A-856A-EEF49E0A75EA}"/>
            </c:ext>
          </c:extLst>
        </c:ser>
        <c:ser>
          <c:idx val="3"/>
          <c:order val="3"/>
          <c:tx>
            <c:strRef>
              <c:f>'Průměrný příjem na osobu (2)'!$R$2</c:f>
              <c:strCache>
                <c:ptCount val="1"/>
                <c:pt idx="0">
                  <c:v>průměrná roční míra inflace</c:v>
                </c:pt>
              </c:strCache>
            </c:strRef>
          </c:tx>
          <c:spPr>
            <a:ln w="28575" cap="rnd">
              <a:noFill/>
              <a:round/>
            </a:ln>
            <a:effectLst/>
          </c:spPr>
          <c:marker>
            <c:symbol val="diamond"/>
            <c:size val="8"/>
            <c:spPr>
              <a:solidFill>
                <a:schemeClr val="tx1"/>
              </a:solidFill>
              <a:ln>
                <a:solidFill>
                  <a:sysClr val="windowText" lastClr="000000"/>
                </a:solidFill>
              </a:ln>
            </c:spPr>
          </c:marker>
          <c:dLbls>
            <c:dLbl>
              <c:idx val="7"/>
              <c:layout>
                <c:manualLayout>
                  <c:x val="-3.5843526725642283E-2"/>
                  <c:y val="-3.99278418371078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8EE-4A1A-856A-EEF49E0A75EA}"/>
                </c:ext>
              </c:extLst>
            </c:dLbl>
            <c:dLbl>
              <c:idx val="8"/>
              <c:layout>
                <c:manualLayout>
                  <c:x val="-3.5843526725642207E-2"/>
                  <c:y val="4.6759464664440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8EE-4A1A-856A-EEF49E0A75EA}"/>
                </c:ext>
              </c:extLst>
            </c:dLbl>
            <c:spPr>
              <a:noFill/>
              <a:ln>
                <a:noFill/>
              </a:ln>
              <a:effectLst/>
            </c:spPr>
            <c:txPr>
              <a:bodyPr wrap="square" lIns="38100" tIns="19050" rIns="38100" bIns="19050" anchor="ctr">
                <a:spAutoFit/>
              </a:bodyPr>
              <a:lstStyle/>
              <a:p>
                <a:pPr>
                  <a:defRPr sz="900" b="1"/>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'Průměrný příjem na osobu (2)'!$G$11:$G$21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'Průměrný příjem na osobu (2)'!$R$11:$R$21</c:f>
              <c:numCache>
                <c:formatCode>General</c:formatCode>
                <c:ptCount val="11"/>
                <c:pt idx="0">
                  <c:v>1.4</c:v>
                </c:pt>
                <c:pt idx="1">
                  <c:v>0.4</c:v>
                </c:pt>
                <c:pt idx="2">
                  <c:v>0.3</c:v>
                </c:pt>
                <c:pt idx="3">
                  <c:v>0.7</c:v>
                </c:pt>
                <c:pt idx="4">
                  <c:v>2.5</c:v>
                </c:pt>
                <c:pt idx="5">
                  <c:v>2.1</c:v>
                </c:pt>
                <c:pt idx="6">
                  <c:v>2.8</c:v>
                </c:pt>
                <c:pt idx="7">
                  <c:v>3.2</c:v>
                </c:pt>
                <c:pt idx="8">
                  <c:v>3.8</c:v>
                </c:pt>
                <c:pt idx="9">
                  <c:v>15.1</c:v>
                </c:pt>
                <c:pt idx="10">
                  <c:v>10.7</c:v>
                </c:pt>
              </c:numCache>
            </c:numRef>
          </c:val>
          <c:smooth val="0"/>
          <c:extLst>
            <c:ext xmlns:c16="http://schemas.microsoft.com/office/drawing/2014/chart" uri="{C3380CC4-5D6E-409C-BE32-E72D297353CC}">
              <c16:uniqueId val="{0000001C-C8EE-4A1A-856A-EEF49E0A75EA}"/>
            </c:ext>
          </c:extLst>
        </c:ser>
        <c:dLbls>
          <c:showLegendKey val="0"/>
          <c:showVal val="0"/>
          <c:showCatName val="0"/>
          <c:showSerName val="0"/>
          <c:showPercent val="0"/>
          <c:showBubbleSize val="0"/>
        </c:dLbls>
        <c:smooth val="0"/>
        <c:axId val="1221306895"/>
        <c:axId val="1221298159"/>
      </c:lineChart>
      <c:catAx>
        <c:axId val="1221306895"/>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221298159"/>
        <c:crosses val="autoZero"/>
        <c:auto val="1"/>
        <c:lblAlgn val="ctr"/>
        <c:lblOffset val="100"/>
        <c:noMultiLvlLbl val="0"/>
      </c:catAx>
      <c:valAx>
        <c:axId val="1221298159"/>
        <c:scaling>
          <c:orientation val="minMax"/>
          <c:max val="16"/>
          <c:min val="-8"/>
        </c:scaling>
        <c:delete val="0"/>
        <c:axPos val="l"/>
        <c:majorGridlines>
          <c:spPr>
            <a:ln w="6350" cap="flat" cmpd="sng" algn="ctr">
              <a:solidFill>
                <a:srgbClr val="D9D9D9">
                  <a:alpha val="50000"/>
                </a:srgb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cs-CZ" sz="900"/>
                  <a:t>meziroční</a:t>
                </a:r>
                <a:r>
                  <a:rPr lang="cs-CZ" sz="900" baseline="0"/>
                  <a:t> růst příjmů (%)</a:t>
                </a:r>
                <a:endParaRPr lang="cs-CZ" sz="900"/>
              </a:p>
            </c:rich>
          </c:tx>
          <c:overlay val="0"/>
          <c:spPr>
            <a:noFill/>
            <a:ln>
              <a:noFill/>
            </a:ln>
            <a:effectLst/>
          </c:spPr>
        </c:title>
        <c:numFmt formatCode="0" sourceLinked="0"/>
        <c:majorTickMark val="out"/>
        <c:minorTickMark val="none"/>
        <c:tickLblPos val="nextTo"/>
        <c:spPr>
          <a:noFill/>
          <a:ln>
            <a:solidFill>
              <a:srgbClr val="D9D9D9"/>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221306895"/>
        <c:crosses val="autoZero"/>
        <c:crossBetween val="between"/>
        <c:majorUnit val="2"/>
      </c:valAx>
    </c:plotArea>
    <c:legend>
      <c:legendPos val="b"/>
      <c:layout>
        <c:manualLayout>
          <c:xMode val="edge"/>
          <c:yMode val="edge"/>
          <c:x val="6.6571728754296997E-2"/>
          <c:y val="0.93757839057625447"/>
          <c:w val="0.9196333181420856"/>
          <c:h val="5.967672790901137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cs-CZ"/>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846262387864416E-2"/>
          <c:y val="6.8149709632752589E-2"/>
          <c:w val="0.86378158437180019"/>
          <c:h val="0.69294111820928039"/>
        </c:manualLayout>
      </c:layout>
      <c:barChart>
        <c:barDir val="col"/>
        <c:grouping val="stacked"/>
        <c:varyColors val="0"/>
        <c:ser>
          <c:idx val="0"/>
          <c:order val="0"/>
          <c:tx>
            <c:strRef>
              <c:f>'Vycházení s příjmy_2'!$A$3</c:f>
              <c:strCache>
                <c:ptCount val="1"/>
                <c:pt idx="0">
                  <c:v>snadno 
až velmi snadno</c:v>
                </c:pt>
              </c:strCache>
            </c:strRef>
          </c:tx>
          <c:spPr>
            <a:solidFill>
              <a:srgbClr val="86BF5E"/>
            </a:solidFill>
          </c:spPr>
          <c:invertIfNegative val="0"/>
          <c:dLbls>
            <c:numFmt formatCode="#,##0.0" sourceLinked="0"/>
            <c:spPr>
              <a:noFill/>
              <a:ln>
                <a:noFill/>
              </a:ln>
            </c:spPr>
            <c:txPr>
              <a:bodyPr wrap="square" lIns="38100" tIns="19050" rIns="38100" bIns="19050" anchor="ctr">
                <a:spAutoFit/>
              </a:bodyPr>
              <a:lstStyle/>
              <a:p>
                <a:pPr>
                  <a:defRPr sz="900">
                    <a:solidFill>
                      <a:schemeClr val="bg1"/>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'Vycházení s příjmy_2'!$B$2:$H$2</c:f>
              <c:numCache>
                <c:formatCode>General</c:formatCode>
                <c:ptCount val="7"/>
                <c:pt idx="0">
                  <c:v>2018</c:v>
                </c:pt>
                <c:pt idx="1">
                  <c:v>2019</c:v>
                </c:pt>
                <c:pt idx="2">
                  <c:v>2020</c:v>
                </c:pt>
                <c:pt idx="3">
                  <c:v>2021</c:v>
                </c:pt>
                <c:pt idx="4">
                  <c:v>2022</c:v>
                </c:pt>
                <c:pt idx="5">
                  <c:v>2023</c:v>
                </c:pt>
                <c:pt idx="6">
                  <c:v>2024</c:v>
                </c:pt>
              </c:numCache>
            </c:numRef>
          </c:cat>
          <c:val>
            <c:numRef>
              <c:f>'Vycházení s příjmy_2'!$B$3:$H$3</c:f>
              <c:numCache>
                <c:formatCode>0.0</c:formatCode>
                <c:ptCount val="7"/>
                <c:pt idx="0">
                  <c:v>15.24</c:v>
                </c:pt>
                <c:pt idx="1">
                  <c:v>18.399999999999999</c:v>
                </c:pt>
                <c:pt idx="2">
                  <c:v>19.38</c:v>
                </c:pt>
                <c:pt idx="3">
                  <c:v>20</c:v>
                </c:pt>
                <c:pt idx="4">
                  <c:v>18.66</c:v>
                </c:pt>
                <c:pt idx="5">
                  <c:v>17.73</c:v>
                </c:pt>
                <c:pt idx="6">
                  <c:v>18.05</c:v>
                </c:pt>
              </c:numCache>
            </c:numRef>
          </c:val>
          <c:extLst>
            <c:ext xmlns:c16="http://schemas.microsoft.com/office/drawing/2014/chart" uri="{C3380CC4-5D6E-409C-BE32-E72D297353CC}">
              <c16:uniqueId val="{00000000-341D-4C8D-989E-15378742A32B}"/>
            </c:ext>
          </c:extLst>
        </c:ser>
        <c:ser>
          <c:idx val="1"/>
          <c:order val="1"/>
          <c:tx>
            <c:strRef>
              <c:f>'Vycházení s příjmy_2'!$A$4</c:f>
              <c:strCache>
                <c:ptCount val="1"/>
                <c:pt idx="0">
                  <c:v>s menšími obtížemi, 
docela snadno</c:v>
                </c:pt>
              </c:strCache>
            </c:strRef>
          </c:tx>
          <c:spPr>
            <a:solidFill>
              <a:srgbClr val="0071BC"/>
            </a:solidFill>
          </c:spPr>
          <c:invertIfNegative val="0"/>
          <c:dLbls>
            <c:numFmt formatCode="#,##0.0" sourceLinked="0"/>
            <c:spPr>
              <a:noFill/>
              <a:ln>
                <a:noFill/>
              </a:ln>
            </c:spPr>
            <c:txPr>
              <a:bodyPr wrap="square" lIns="38100" tIns="19050" rIns="38100" bIns="19050" anchor="ctr">
                <a:spAutoFit/>
              </a:bodyPr>
              <a:lstStyle/>
              <a:p>
                <a:pPr>
                  <a:defRPr sz="900">
                    <a:solidFill>
                      <a:schemeClr val="bg1"/>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'Vycházení s příjmy_2'!$B$2:$H$2</c:f>
              <c:numCache>
                <c:formatCode>General</c:formatCode>
                <c:ptCount val="7"/>
                <c:pt idx="0">
                  <c:v>2018</c:v>
                </c:pt>
                <c:pt idx="1">
                  <c:v>2019</c:v>
                </c:pt>
                <c:pt idx="2">
                  <c:v>2020</c:v>
                </c:pt>
                <c:pt idx="3">
                  <c:v>2021</c:v>
                </c:pt>
                <c:pt idx="4">
                  <c:v>2022</c:v>
                </c:pt>
                <c:pt idx="5">
                  <c:v>2023</c:v>
                </c:pt>
                <c:pt idx="6">
                  <c:v>2024</c:v>
                </c:pt>
              </c:numCache>
            </c:numRef>
          </c:cat>
          <c:val>
            <c:numRef>
              <c:f>'Vycházení s příjmy_2'!$B$4:$H$4</c:f>
              <c:numCache>
                <c:formatCode>0.0</c:formatCode>
                <c:ptCount val="7"/>
                <c:pt idx="0">
                  <c:v>67.180000000000007</c:v>
                </c:pt>
                <c:pt idx="1">
                  <c:v>67.33</c:v>
                </c:pt>
                <c:pt idx="2">
                  <c:v>67.62</c:v>
                </c:pt>
                <c:pt idx="3">
                  <c:v>68.05</c:v>
                </c:pt>
                <c:pt idx="4">
                  <c:v>68.14</c:v>
                </c:pt>
                <c:pt idx="5">
                  <c:v>68.55</c:v>
                </c:pt>
                <c:pt idx="6">
                  <c:v>68.11</c:v>
                </c:pt>
              </c:numCache>
            </c:numRef>
          </c:val>
          <c:extLst>
            <c:ext xmlns:c16="http://schemas.microsoft.com/office/drawing/2014/chart" uri="{C3380CC4-5D6E-409C-BE32-E72D297353CC}">
              <c16:uniqueId val="{00000001-341D-4C8D-989E-15378742A32B}"/>
            </c:ext>
          </c:extLst>
        </c:ser>
        <c:ser>
          <c:idx val="2"/>
          <c:order val="2"/>
          <c:tx>
            <c:strRef>
              <c:f>'Vycházení s příjmy_2'!$A$5</c:f>
              <c:strCache>
                <c:ptCount val="1"/>
                <c:pt idx="0">
                  <c:v>s obtížemi
až velkými obtížemi</c:v>
                </c:pt>
              </c:strCache>
            </c:strRef>
          </c:tx>
          <c:spPr>
            <a:solidFill>
              <a:srgbClr val="BD1B21"/>
            </a:solidFill>
          </c:spPr>
          <c:invertIfNegative val="0"/>
          <c:dLbls>
            <c:numFmt formatCode="#,##0.0" sourceLinked="0"/>
            <c:spPr>
              <a:noFill/>
              <a:ln>
                <a:noFill/>
              </a:ln>
            </c:spPr>
            <c:txPr>
              <a:bodyPr wrap="square" lIns="38100" tIns="19050" rIns="38100" bIns="19050" anchor="ctr">
                <a:spAutoFit/>
              </a:bodyPr>
              <a:lstStyle/>
              <a:p>
                <a:pPr>
                  <a:defRPr sz="900">
                    <a:solidFill>
                      <a:schemeClr val="bg1"/>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'Vycházení s příjmy_2'!$B$2:$H$2</c:f>
              <c:numCache>
                <c:formatCode>General</c:formatCode>
                <c:ptCount val="7"/>
                <c:pt idx="0">
                  <c:v>2018</c:v>
                </c:pt>
                <c:pt idx="1">
                  <c:v>2019</c:v>
                </c:pt>
                <c:pt idx="2">
                  <c:v>2020</c:v>
                </c:pt>
                <c:pt idx="3">
                  <c:v>2021</c:v>
                </c:pt>
                <c:pt idx="4">
                  <c:v>2022</c:v>
                </c:pt>
                <c:pt idx="5">
                  <c:v>2023</c:v>
                </c:pt>
                <c:pt idx="6">
                  <c:v>2024</c:v>
                </c:pt>
              </c:numCache>
            </c:numRef>
          </c:cat>
          <c:val>
            <c:numRef>
              <c:f>'Vycházení s příjmy_2'!$B$5:$H$5</c:f>
              <c:numCache>
                <c:formatCode>0.0</c:formatCode>
                <c:ptCount val="7"/>
                <c:pt idx="0">
                  <c:v>17.579999999999998</c:v>
                </c:pt>
                <c:pt idx="1">
                  <c:v>14.26</c:v>
                </c:pt>
                <c:pt idx="2">
                  <c:v>13</c:v>
                </c:pt>
                <c:pt idx="3">
                  <c:v>11.95</c:v>
                </c:pt>
                <c:pt idx="4">
                  <c:v>13.19</c:v>
                </c:pt>
                <c:pt idx="5">
                  <c:v>13.71</c:v>
                </c:pt>
                <c:pt idx="6">
                  <c:v>13.84</c:v>
                </c:pt>
              </c:numCache>
            </c:numRef>
          </c:val>
          <c:extLst>
            <c:ext xmlns:c16="http://schemas.microsoft.com/office/drawing/2014/chart" uri="{C3380CC4-5D6E-409C-BE32-E72D297353CC}">
              <c16:uniqueId val="{00000002-341D-4C8D-989E-15378742A32B}"/>
            </c:ext>
          </c:extLst>
        </c:ser>
        <c:dLbls>
          <c:showLegendKey val="0"/>
          <c:showVal val="0"/>
          <c:showCatName val="0"/>
          <c:showSerName val="0"/>
          <c:showPercent val="0"/>
          <c:showBubbleSize val="0"/>
        </c:dLbls>
        <c:gapWidth val="90"/>
        <c:overlap val="100"/>
        <c:axId val="250208256"/>
        <c:axId val="250209792"/>
      </c:barChart>
      <c:catAx>
        <c:axId val="250208256"/>
        <c:scaling>
          <c:orientation val="minMax"/>
        </c:scaling>
        <c:delete val="0"/>
        <c:axPos val="b"/>
        <c:numFmt formatCode="General" sourceLinked="1"/>
        <c:majorTickMark val="out"/>
        <c:minorTickMark val="none"/>
        <c:tickLblPos val="nextTo"/>
        <c:spPr>
          <a:ln>
            <a:solidFill>
              <a:srgbClr val="D9D9D9"/>
            </a:solidFill>
          </a:ln>
        </c:spPr>
        <c:txPr>
          <a:bodyPr rot="0" vert="horz"/>
          <a:lstStyle/>
          <a:p>
            <a:pPr>
              <a:defRPr sz="900">
                <a:solidFill>
                  <a:sysClr val="windowText" lastClr="000000"/>
                </a:solidFill>
              </a:defRPr>
            </a:pPr>
            <a:endParaRPr lang="cs-CZ"/>
          </a:p>
        </c:txPr>
        <c:crossAx val="250209792"/>
        <c:crossesAt val="0"/>
        <c:auto val="1"/>
        <c:lblAlgn val="ctr"/>
        <c:lblOffset val="100"/>
        <c:noMultiLvlLbl val="0"/>
      </c:catAx>
      <c:valAx>
        <c:axId val="250209792"/>
        <c:scaling>
          <c:orientation val="minMax"/>
          <c:max val="100"/>
          <c:min val="0"/>
        </c:scaling>
        <c:delete val="0"/>
        <c:axPos val="l"/>
        <c:majorGridlines>
          <c:spPr>
            <a:ln>
              <a:noFill/>
              <a:prstDash val="dash"/>
            </a:ln>
          </c:spPr>
        </c:majorGridlines>
        <c:numFmt formatCode="#,##0" sourceLinked="0"/>
        <c:majorTickMark val="out"/>
        <c:minorTickMark val="none"/>
        <c:tickLblPos val="nextTo"/>
        <c:spPr>
          <a:ln>
            <a:noFill/>
          </a:ln>
        </c:spPr>
        <c:txPr>
          <a:bodyPr rot="0" vert="horz"/>
          <a:lstStyle/>
          <a:p>
            <a:pPr>
              <a:defRPr sz="900">
                <a:solidFill>
                  <a:sysClr val="windowText" lastClr="000000"/>
                </a:solidFill>
              </a:defRPr>
            </a:pPr>
            <a:endParaRPr lang="cs-CZ"/>
          </a:p>
        </c:txPr>
        <c:crossAx val="250208256"/>
        <c:crosses val="autoZero"/>
        <c:crossBetween val="between"/>
        <c:majorUnit val="20"/>
      </c:valAx>
    </c:plotArea>
    <c:legend>
      <c:legendPos val="b"/>
      <c:layout>
        <c:manualLayout>
          <c:xMode val="edge"/>
          <c:yMode val="edge"/>
          <c:x val="7.1016805417796799E-2"/>
          <c:y val="0.87277478802313813"/>
          <c:w val="0.8701827907615366"/>
          <c:h val="0.1181194919472099"/>
        </c:manualLayout>
      </c:layout>
      <c:overlay val="0"/>
      <c:spPr>
        <a:ln>
          <a:noFill/>
        </a:ln>
      </c:spPr>
      <c:txPr>
        <a:bodyPr/>
        <a:lstStyle/>
        <a:p>
          <a:pPr>
            <a:defRPr sz="900"/>
          </a:pPr>
          <a:endParaRPr lang="cs-CZ"/>
        </a:p>
      </c:txPr>
    </c:legend>
    <c:plotVisOnly val="1"/>
    <c:dispBlanksAs val="gap"/>
    <c:showDLblsOverMax val="0"/>
  </c:chart>
  <c:spPr>
    <a:ln>
      <a:noFill/>
    </a:ln>
  </c:spPr>
  <c:txPr>
    <a:bodyPr/>
    <a:lstStyle/>
    <a:p>
      <a:pPr>
        <a:defRPr sz="1400" b="0" i="0" u="none" strike="noStrike" baseline="0">
          <a:solidFill>
            <a:srgbClr val="000000"/>
          </a:solidFill>
          <a:latin typeface="Arial" pitchFamily="34" charset="0"/>
          <a:ea typeface="Calibri"/>
          <a:cs typeface="Arial" pitchFamily="34" charset="0"/>
        </a:defRPr>
      </a:pPr>
      <a:endParaRPr lang="cs-CZ"/>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1.8173474459555602E-3"/>
          <c:y val="2.539674963754349E-2"/>
          <c:w val="0.92499833835709988"/>
          <c:h val="0.78537056642909842"/>
        </c:manualLayout>
      </c:layout>
      <c:barChart>
        <c:barDir val="col"/>
        <c:grouping val="clustered"/>
        <c:varyColors val="0"/>
        <c:ser>
          <c:idx val="0"/>
          <c:order val="0"/>
          <c:tx>
            <c:strRef>
              <c:f>'Podíl nákladů na CP_Prij'!$B$2</c:f>
              <c:strCache>
                <c:ptCount val="1"/>
                <c:pt idx="0">
                  <c:v>měsíční výdaje za bydlení</c:v>
                </c:pt>
              </c:strCache>
            </c:strRef>
          </c:tx>
          <c:spPr>
            <a:solidFill>
              <a:srgbClr val="0071BC"/>
            </a:solidFill>
          </c:spPr>
          <c:invertIfNegative val="0"/>
          <c:dPt>
            <c:idx val="1"/>
            <c:invertIfNegative val="0"/>
            <c:bubble3D val="0"/>
            <c:spPr>
              <a:solidFill>
                <a:srgbClr val="7CA5D8"/>
              </a:solidFill>
            </c:spPr>
            <c:extLst>
              <c:ext xmlns:c16="http://schemas.microsoft.com/office/drawing/2014/chart" uri="{C3380CC4-5D6E-409C-BE32-E72D297353CC}">
                <c16:uniqueId val="{00000001-2110-494A-83BF-C6B8EDB3F0ED}"/>
              </c:ext>
            </c:extLst>
          </c:dPt>
          <c:dPt>
            <c:idx val="2"/>
            <c:invertIfNegative val="0"/>
            <c:bubble3D val="0"/>
            <c:spPr>
              <a:solidFill>
                <a:srgbClr val="7CA5D8"/>
              </a:solidFill>
            </c:spPr>
            <c:extLst>
              <c:ext xmlns:c16="http://schemas.microsoft.com/office/drawing/2014/chart" uri="{C3380CC4-5D6E-409C-BE32-E72D297353CC}">
                <c16:uniqueId val="{00000003-2110-494A-83BF-C6B8EDB3F0ED}"/>
              </c:ext>
            </c:extLst>
          </c:dPt>
          <c:dPt>
            <c:idx val="3"/>
            <c:invertIfNegative val="0"/>
            <c:bubble3D val="0"/>
            <c:spPr>
              <a:solidFill>
                <a:srgbClr val="7CA5D8"/>
              </a:solidFill>
            </c:spPr>
            <c:extLst>
              <c:ext xmlns:c16="http://schemas.microsoft.com/office/drawing/2014/chart" uri="{C3380CC4-5D6E-409C-BE32-E72D297353CC}">
                <c16:uniqueId val="{00000005-2110-494A-83BF-C6B8EDB3F0ED}"/>
              </c:ext>
            </c:extLst>
          </c:dPt>
          <c:dPt>
            <c:idx val="4"/>
            <c:invertIfNegative val="0"/>
            <c:bubble3D val="0"/>
            <c:spPr>
              <a:solidFill>
                <a:srgbClr val="7CA5D8"/>
              </a:solidFill>
            </c:spPr>
            <c:extLst>
              <c:ext xmlns:c16="http://schemas.microsoft.com/office/drawing/2014/chart" uri="{C3380CC4-5D6E-409C-BE32-E72D297353CC}">
                <c16:uniqueId val="{00000007-2110-494A-83BF-C6B8EDB3F0ED}"/>
              </c:ext>
            </c:extLst>
          </c:dPt>
          <c:dLbls>
            <c:numFmt formatCode="#,##0\ \K\č" sourceLinked="0"/>
            <c:spPr>
              <a:noFill/>
              <a:ln>
                <a:noFill/>
              </a:ln>
              <a:effectLst/>
            </c:spPr>
            <c:txPr>
              <a:bodyPr wrap="square" lIns="38100" tIns="19050" rIns="38100" bIns="19050" anchor="ctr">
                <a:spAutoFit/>
              </a:bodyPr>
              <a:lstStyle/>
              <a:p>
                <a:pPr>
                  <a:defRPr sz="9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'Podíl nákladů na CP_Prij'!$A$17:$A$21</c:f>
              <c:strCache>
                <c:ptCount val="5"/>
                <c:pt idx="0">
                  <c:v>celkem</c:v>
                </c:pt>
                <c:pt idx="1">
                  <c:v>zaměstnanci</c:v>
                </c:pt>
                <c:pt idx="2">
                  <c:v>důchodci</c:v>
                </c:pt>
                <c:pt idx="3">
                  <c:v>úplné rodiny
s dětmi</c:v>
                </c:pt>
                <c:pt idx="4">
                  <c:v>neúplné rodiny 
s dětmi</c:v>
                </c:pt>
              </c:strCache>
            </c:strRef>
          </c:cat>
          <c:val>
            <c:numRef>
              <c:f>'Podíl nákladů na CP_Prij'!$B$17:$B$21</c:f>
              <c:numCache>
                <c:formatCode>_(* #,##0.00_);_(* \(#,##0.00\);_(* "-"??_);_(@_)</c:formatCode>
                <c:ptCount val="5"/>
                <c:pt idx="0">
                  <c:v>8869.1561000000002</c:v>
                </c:pt>
                <c:pt idx="1">
                  <c:v>8824.1299999999992</c:v>
                </c:pt>
                <c:pt idx="2">
                  <c:v>6772.36</c:v>
                </c:pt>
                <c:pt idx="3">
                  <c:v>10220.48</c:v>
                </c:pt>
                <c:pt idx="4">
                  <c:v>10910.25</c:v>
                </c:pt>
              </c:numCache>
            </c:numRef>
          </c:val>
          <c:extLst>
            <c:ext xmlns:c16="http://schemas.microsoft.com/office/drawing/2014/chart" uri="{C3380CC4-5D6E-409C-BE32-E72D297353CC}">
              <c16:uniqueId val="{00000008-2110-494A-83BF-C6B8EDB3F0ED}"/>
            </c:ext>
          </c:extLst>
        </c:ser>
        <c:dLbls>
          <c:showLegendKey val="0"/>
          <c:showVal val="1"/>
          <c:showCatName val="0"/>
          <c:showSerName val="0"/>
          <c:showPercent val="0"/>
          <c:showBubbleSize val="0"/>
        </c:dLbls>
        <c:gapWidth val="219"/>
        <c:overlap val="-27"/>
        <c:axId val="1219491040"/>
        <c:axId val="1219491872"/>
      </c:barChart>
      <c:scatterChart>
        <c:scatterStyle val="lineMarker"/>
        <c:varyColors val="0"/>
        <c:ser>
          <c:idx val="1"/>
          <c:order val="1"/>
          <c:tx>
            <c:strRef>
              <c:f>'Podíl nákladů na CP_Prij'!$E$16</c:f>
              <c:strCache>
                <c:ptCount val="1"/>
                <c:pt idx="0">
                  <c:v>podíl výdajů za bydlení k čistému příjmu (%)</c:v>
                </c:pt>
              </c:strCache>
            </c:strRef>
          </c:tx>
          <c:spPr>
            <a:ln w="19050">
              <a:noFill/>
            </a:ln>
          </c:spPr>
          <c:marker>
            <c:symbol val="diamond"/>
            <c:size val="12"/>
            <c:spPr>
              <a:solidFill>
                <a:srgbClr val="BC091B"/>
              </a:solidFill>
              <a:ln>
                <a:noFill/>
              </a:ln>
            </c:spPr>
          </c:marker>
          <c:dPt>
            <c:idx val="1"/>
            <c:marker>
              <c:spPr>
                <a:solidFill>
                  <a:srgbClr val="DC8468"/>
                </a:solidFill>
                <a:ln>
                  <a:noFill/>
                </a:ln>
              </c:spPr>
            </c:marker>
            <c:bubble3D val="0"/>
            <c:extLst>
              <c:ext xmlns:c16="http://schemas.microsoft.com/office/drawing/2014/chart" uri="{C3380CC4-5D6E-409C-BE32-E72D297353CC}">
                <c16:uniqueId val="{00000009-2110-494A-83BF-C6B8EDB3F0ED}"/>
              </c:ext>
            </c:extLst>
          </c:dPt>
          <c:dPt>
            <c:idx val="2"/>
            <c:marker>
              <c:spPr>
                <a:solidFill>
                  <a:srgbClr val="DC8468"/>
                </a:solidFill>
                <a:ln>
                  <a:noFill/>
                </a:ln>
              </c:spPr>
            </c:marker>
            <c:bubble3D val="0"/>
            <c:extLst>
              <c:ext xmlns:c16="http://schemas.microsoft.com/office/drawing/2014/chart" uri="{C3380CC4-5D6E-409C-BE32-E72D297353CC}">
                <c16:uniqueId val="{0000000A-2110-494A-83BF-C6B8EDB3F0ED}"/>
              </c:ext>
            </c:extLst>
          </c:dPt>
          <c:dPt>
            <c:idx val="3"/>
            <c:marker>
              <c:spPr>
                <a:solidFill>
                  <a:srgbClr val="DC8468"/>
                </a:solidFill>
                <a:ln>
                  <a:noFill/>
                </a:ln>
              </c:spPr>
            </c:marker>
            <c:bubble3D val="0"/>
            <c:extLst>
              <c:ext xmlns:c16="http://schemas.microsoft.com/office/drawing/2014/chart" uri="{C3380CC4-5D6E-409C-BE32-E72D297353CC}">
                <c16:uniqueId val="{0000000B-2110-494A-83BF-C6B8EDB3F0ED}"/>
              </c:ext>
            </c:extLst>
          </c:dPt>
          <c:dPt>
            <c:idx val="4"/>
            <c:marker>
              <c:spPr>
                <a:solidFill>
                  <a:srgbClr val="DC8468"/>
                </a:solidFill>
                <a:ln>
                  <a:noFill/>
                </a:ln>
              </c:spPr>
            </c:marker>
            <c:bubble3D val="0"/>
            <c:extLst>
              <c:ext xmlns:c16="http://schemas.microsoft.com/office/drawing/2014/chart" uri="{C3380CC4-5D6E-409C-BE32-E72D297353CC}">
                <c16:uniqueId val="{0000000C-2110-494A-83BF-C6B8EDB3F0ED}"/>
              </c:ext>
            </c:extLst>
          </c:dPt>
          <c:dLbls>
            <c:dLbl>
              <c:idx val="1"/>
              <c:spPr>
                <a:solidFill>
                  <a:schemeClr val="bg1"/>
                </a:solidFill>
                <a:ln>
                  <a:solidFill>
                    <a:srgbClr val="DC8468"/>
                  </a:solidFill>
                </a:ln>
                <a:effectLst/>
              </c:spPr>
              <c:txPr>
                <a:bodyPr wrap="square" lIns="38100" tIns="19050" rIns="38100" bIns="19050" anchor="ctr">
                  <a:spAutoFit/>
                </a:bodyPr>
                <a:lstStyle/>
                <a:p>
                  <a:pPr>
                    <a:defRPr sz="900" b="1"/>
                  </a:pPr>
                  <a:endParaRPr lang="cs-CZ"/>
                </a:p>
              </c:txPr>
              <c:showLegendKey val="0"/>
              <c:showVal val="1"/>
              <c:showCatName val="0"/>
              <c:showSerName val="0"/>
              <c:showPercent val="0"/>
              <c:showBubbleSize val="0"/>
              <c:extLst>
                <c:ext xmlns:c16="http://schemas.microsoft.com/office/drawing/2014/chart" uri="{C3380CC4-5D6E-409C-BE32-E72D297353CC}">
                  <c16:uniqueId val="{00000009-2110-494A-83BF-C6B8EDB3F0ED}"/>
                </c:ext>
              </c:extLst>
            </c:dLbl>
            <c:dLbl>
              <c:idx val="2"/>
              <c:spPr>
                <a:solidFill>
                  <a:schemeClr val="bg1"/>
                </a:solidFill>
                <a:ln>
                  <a:solidFill>
                    <a:srgbClr val="DC8468"/>
                  </a:solidFill>
                </a:ln>
                <a:effectLst/>
              </c:spPr>
              <c:txPr>
                <a:bodyPr wrap="square" lIns="38100" tIns="19050" rIns="38100" bIns="19050" anchor="ctr">
                  <a:spAutoFit/>
                </a:bodyPr>
                <a:lstStyle/>
                <a:p>
                  <a:pPr>
                    <a:defRPr sz="900" b="1"/>
                  </a:pPr>
                  <a:endParaRPr lang="cs-CZ"/>
                </a:p>
              </c:txPr>
              <c:showLegendKey val="0"/>
              <c:showVal val="1"/>
              <c:showCatName val="0"/>
              <c:showSerName val="0"/>
              <c:showPercent val="0"/>
              <c:showBubbleSize val="0"/>
              <c:extLst>
                <c:ext xmlns:c16="http://schemas.microsoft.com/office/drawing/2014/chart" uri="{C3380CC4-5D6E-409C-BE32-E72D297353CC}">
                  <c16:uniqueId val="{0000000A-2110-494A-83BF-C6B8EDB3F0ED}"/>
                </c:ext>
              </c:extLst>
            </c:dLbl>
            <c:dLbl>
              <c:idx val="3"/>
              <c:spPr>
                <a:solidFill>
                  <a:schemeClr val="bg1"/>
                </a:solidFill>
                <a:ln>
                  <a:solidFill>
                    <a:srgbClr val="DC8468"/>
                  </a:solidFill>
                </a:ln>
                <a:effectLst/>
              </c:spPr>
              <c:txPr>
                <a:bodyPr wrap="square" lIns="38100" tIns="19050" rIns="38100" bIns="19050" anchor="ctr">
                  <a:spAutoFit/>
                </a:bodyPr>
                <a:lstStyle/>
                <a:p>
                  <a:pPr>
                    <a:defRPr sz="900" b="1"/>
                  </a:pPr>
                  <a:endParaRPr lang="cs-CZ"/>
                </a:p>
              </c:txPr>
              <c:showLegendKey val="0"/>
              <c:showVal val="1"/>
              <c:showCatName val="0"/>
              <c:showSerName val="0"/>
              <c:showPercent val="0"/>
              <c:showBubbleSize val="0"/>
              <c:extLst>
                <c:ext xmlns:c16="http://schemas.microsoft.com/office/drawing/2014/chart" uri="{C3380CC4-5D6E-409C-BE32-E72D297353CC}">
                  <c16:uniqueId val="{0000000B-2110-494A-83BF-C6B8EDB3F0ED}"/>
                </c:ext>
              </c:extLst>
            </c:dLbl>
            <c:dLbl>
              <c:idx val="4"/>
              <c:spPr>
                <a:solidFill>
                  <a:schemeClr val="bg1"/>
                </a:solidFill>
                <a:ln>
                  <a:solidFill>
                    <a:srgbClr val="DC8468"/>
                  </a:solidFill>
                </a:ln>
                <a:effectLst/>
              </c:spPr>
              <c:txPr>
                <a:bodyPr wrap="square" lIns="38100" tIns="19050" rIns="38100" bIns="19050" anchor="ctr">
                  <a:spAutoFit/>
                </a:bodyPr>
                <a:lstStyle/>
                <a:p>
                  <a:pPr>
                    <a:defRPr sz="900" b="1"/>
                  </a:pPr>
                  <a:endParaRPr lang="cs-CZ"/>
                </a:p>
              </c:txPr>
              <c:showLegendKey val="0"/>
              <c:showVal val="1"/>
              <c:showCatName val="0"/>
              <c:showSerName val="0"/>
              <c:showPercent val="0"/>
              <c:showBubbleSize val="0"/>
              <c:extLst>
                <c:ext xmlns:c16="http://schemas.microsoft.com/office/drawing/2014/chart" uri="{C3380CC4-5D6E-409C-BE32-E72D297353CC}">
                  <c16:uniqueId val="{0000000C-2110-494A-83BF-C6B8EDB3F0ED}"/>
                </c:ext>
              </c:extLst>
            </c:dLbl>
            <c:spPr>
              <a:solidFill>
                <a:schemeClr val="bg1"/>
              </a:solidFill>
              <a:ln>
                <a:solidFill>
                  <a:srgbClr val="BC091B"/>
                </a:solidFill>
              </a:ln>
              <a:effectLst/>
            </c:spPr>
            <c:txPr>
              <a:bodyPr wrap="square" lIns="38100" tIns="19050" rIns="38100" bIns="19050" anchor="ctr">
                <a:spAutoFit/>
              </a:bodyPr>
              <a:lstStyle/>
              <a:p>
                <a:pPr>
                  <a:defRPr sz="9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'Podíl nákladů na CP_Prij'!$A$17:$A$21</c:f>
              <c:strCache>
                <c:ptCount val="5"/>
                <c:pt idx="0">
                  <c:v>celkem</c:v>
                </c:pt>
                <c:pt idx="1">
                  <c:v>zaměstnanci</c:v>
                </c:pt>
                <c:pt idx="2">
                  <c:v>důchodci</c:v>
                </c:pt>
                <c:pt idx="3">
                  <c:v>úplné rodiny
s dětmi</c:v>
                </c:pt>
                <c:pt idx="4">
                  <c:v>neúplné rodiny 
s dětmi</c:v>
                </c:pt>
              </c:strCache>
            </c:strRef>
          </c:xVal>
          <c:yVal>
            <c:numRef>
              <c:f>'Podíl nákladů na CP_Prij'!$E$17:$E$21</c:f>
              <c:numCache>
                <c:formatCode>0.0</c:formatCode>
                <c:ptCount val="5"/>
                <c:pt idx="0">
                  <c:v>16.639879113315242</c:v>
                </c:pt>
                <c:pt idx="1">
                  <c:v>13.912345238968483</c:v>
                </c:pt>
                <c:pt idx="2">
                  <c:v>20.871858700425516</c:v>
                </c:pt>
                <c:pt idx="3">
                  <c:v>14.411693171977266</c:v>
                </c:pt>
                <c:pt idx="4">
                  <c:v>28.250421691321243</c:v>
                </c:pt>
              </c:numCache>
            </c:numRef>
          </c:yVal>
          <c:smooth val="0"/>
          <c:extLst>
            <c:ext xmlns:c16="http://schemas.microsoft.com/office/drawing/2014/chart" uri="{C3380CC4-5D6E-409C-BE32-E72D297353CC}">
              <c16:uniqueId val="{0000000D-2110-494A-83BF-C6B8EDB3F0ED}"/>
            </c:ext>
          </c:extLst>
        </c:ser>
        <c:dLbls>
          <c:showLegendKey val="0"/>
          <c:showVal val="1"/>
          <c:showCatName val="0"/>
          <c:showSerName val="0"/>
          <c:showPercent val="0"/>
          <c:showBubbleSize val="0"/>
        </c:dLbls>
        <c:axId val="1219493120"/>
        <c:axId val="1225822240"/>
      </c:scatterChart>
      <c:catAx>
        <c:axId val="1219491040"/>
        <c:scaling>
          <c:orientation val="minMax"/>
        </c:scaling>
        <c:delete val="0"/>
        <c:axPos val="b"/>
        <c:numFmt formatCode="General" sourceLinked="1"/>
        <c:majorTickMark val="out"/>
        <c:minorTickMark val="none"/>
        <c:tickLblPos val="nextTo"/>
        <c:txPr>
          <a:bodyPr/>
          <a:lstStyle/>
          <a:p>
            <a:pPr>
              <a:defRPr sz="900"/>
            </a:pPr>
            <a:endParaRPr lang="cs-CZ"/>
          </a:p>
        </c:txPr>
        <c:crossAx val="1219491872"/>
        <c:crosses val="autoZero"/>
        <c:auto val="1"/>
        <c:lblAlgn val="ctr"/>
        <c:lblOffset val="100"/>
        <c:noMultiLvlLbl val="0"/>
      </c:catAx>
      <c:valAx>
        <c:axId val="1219491872"/>
        <c:scaling>
          <c:orientation val="minMax"/>
          <c:max val="11500"/>
          <c:min val="0"/>
        </c:scaling>
        <c:delete val="0"/>
        <c:axPos val="l"/>
        <c:numFmt formatCode="#,##0" sourceLinked="0"/>
        <c:majorTickMark val="out"/>
        <c:minorTickMark val="none"/>
        <c:tickLblPos val="nextTo"/>
        <c:spPr>
          <a:ln>
            <a:solidFill>
              <a:schemeClr val="bg1"/>
            </a:solidFill>
          </a:ln>
        </c:spPr>
        <c:txPr>
          <a:bodyPr/>
          <a:lstStyle/>
          <a:p>
            <a:pPr>
              <a:defRPr>
                <a:solidFill>
                  <a:schemeClr val="bg1"/>
                </a:solidFill>
              </a:defRPr>
            </a:pPr>
            <a:endParaRPr lang="cs-CZ"/>
          </a:p>
        </c:txPr>
        <c:crossAx val="1219491040"/>
        <c:crosses val="autoZero"/>
        <c:crossBetween val="between"/>
      </c:valAx>
      <c:valAx>
        <c:axId val="1225822240"/>
        <c:scaling>
          <c:orientation val="minMax"/>
          <c:max val="40"/>
        </c:scaling>
        <c:delete val="0"/>
        <c:axPos val="r"/>
        <c:numFmt formatCode="0" sourceLinked="0"/>
        <c:majorTickMark val="out"/>
        <c:minorTickMark val="none"/>
        <c:tickLblPos val="nextTo"/>
        <c:spPr>
          <a:ln>
            <a:solidFill>
              <a:schemeClr val="bg1"/>
            </a:solidFill>
          </a:ln>
        </c:spPr>
        <c:txPr>
          <a:bodyPr/>
          <a:lstStyle/>
          <a:p>
            <a:pPr>
              <a:defRPr>
                <a:solidFill>
                  <a:schemeClr val="bg1"/>
                </a:solidFill>
              </a:defRPr>
            </a:pPr>
            <a:endParaRPr lang="cs-CZ"/>
          </a:p>
        </c:txPr>
        <c:crossAx val="1219493120"/>
        <c:crosses val="max"/>
        <c:crossBetween val="midCat"/>
      </c:valAx>
      <c:valAx>
        <c:axId val="1219493120"/>
        <c:scaling>
          <c:orientation val="minMax"/>
        </c:scaling>
        <c:delete val="1"/>
        <c:axPos val="t"/>
        <c:numFmt formatCode="General" sourceLinked="1"/>
        <c:majorTickMark val="out"/>
        <c:minorTickMark val="none"/>
        <c:tickLblPos val="nextTo"/>
        <c:crossAx val="1225822240"/>
        <c:crosses val="max"/>
        <c:crossBetween val="midCat"/>
      </c:valAx>
    </c:plotArea>
    <c:legend>
      <c:legendPos val="b"/>
      <c:layout>
        <c:manualLayout>
          <c:xMode val="edge"/>
          <c:yMode val="edge"/>
          <c:x val="9.0407938257993384E-2"/>
          <c:y val="0.9440502895623063"/>
          <c:w val="0.86264382883782309"/>
          <c:h val="5.4492136289846199E-2"/>
        </c:manualLayout>
      </c:layout>
      <c:overlay val="0"/>
      <c:spPr>
        <a:ln>
          <a:noFill/>
        </a:ln>
      </c:spPr>
      <c:txPr>
        <a:bodyPr/>
        <a:lstStyle/>
        <a:p>
          <a:pPr>
            <a:defRPr sz="900"/>
          </a:pPr>
          <a:endParaRPr lang="cs-CZ"/>
        </a:p>
      </c:txPr>
    </c:legend>
    <c:plotVisOnly val="1"/>
    <c:dispBlanksAs val="gap"/>
    <c:showDLblsOverMax val="0"/>
  </c:chart>
  <c:spPr>
    <a:ln>
      <a:noFill/>
    </a:ln>
  </c:spPr>
  <c:txPr>
    <a:bodyPr/>
    <a:lstStyle/>
    <a:p>
      <a:pPr>
        <a:defRPr>
          <a:solidFill>
            <a:sysClr val="windowText" lastClr="000000"/>
          </a:solidFill>
          <a:latin typeface="Arial" panose="020B0604020202020204" pitchFamily="34" charset="0"/>
          <a:cs typeface="Arial" panose="020B0604020202020204" pitchFamily="34" charset="0"/>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05036225713051"/>
          <c:y val="2.0119581521338789E-2"/>
          <c:w val="0.77546730951476328"/>
          <c:h val="0.75320119467825153"/>
        </c:manualLayout>
      </c:layout>
      <c:barChart>
        <c:barDir val="col"/>
        <c:grouping val="clustered"/>
        <c:varyColors val="0"/>
        <c:ser>
          <c:idx val="0"/>
          <c:order val="0"/>
          <c:tx>
            <c:strRef>
              <c:f>'Míra ohrožení p. chudobou'!$A$3</c:f>
              <c:strCache>
                <c:ptCount val="1"/>
                <c:pt idx="0">
                  <c:v>míra ohrožení příjmovou chudobou</c:v>
                </c:pt>
              </c:strCache>
            </c:strRef>
          </c:tx>
          <c:spPr>
            <a:solidFill>
              <a:srgbClr val="0071BC"/>
            </a:solidFill>
            <a:ln>
              <a:noFill/>
            </a:ln>
            <a:effectLst/>
          </c:spPr>
          <c:invertIfNegative val="0"/>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'Míra ohrožení p. chudobou'!$G$2:$Q$2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'Míra ohrožení p. chudobou'!$G$3:$Q$3</c:f>
              <c:numCache>
                <c:formatCode>General</c:formatCode>
                <c:ptCount val="11"/>
                <c:pt idx="0">
                  <c:v>9.6999999999999993</c:v>
                </c:pt>
                <c:pt idx="1">
                  <c:v>9.6999999999999993</c:v>
                </c:pt>
                <c:pt idx="2">
                  <c:v>9.6999999999999993</c:v>
                </c:pt>
                <c:pt idx="3">
                  <c:v>9.1</c:v>
                </c:pt>
                <c:pt idx="4">
                  <c:v>9.6</c:v>
                </c:pt>
                <c:pt idx="5">
                  <c:v>10.1</c:v>
                </c:pt>
                <c:pt idx="6">
                  <c:v>9.5</c:v>
                </c:pt>
                <c:pt idx="7">
                  <c:v>8.6</c:v>
                </c:pt>
                <c:pt idx="8">
                  <c:v>10.199999999999999</c:v>
                </c:pt>
                <c:pt idx="9" formatCode="0.0">
                  <c:v>9.81</c:v>
                </c:pt>
                <c:pt idx="10" formatCode="0.0">
                  <c:v>9.51</c:v>
                </c:pt>
              </c:numCache>
            </c:numRef>
          </c:val>
          <c:extLst>
            <c:ext xmlns:c16="http://schemas.microsoft.com/office/drawing/2014/chart" uri="{C3380CC4-5D6E-409C-BE32-E72D297353CC}">
              <c16:uniqueId val="{00000000-48AE-4D73-AD06-130F816233C0}"/>
            </c:ext>
          </c:extLst>
        </c:ser>
        <c:dLbls>
          <c:showLegendKey val="0"/>
          <c:showVal val="0"/>
          <c:showCatName val="0"/>
          <c:showSerName val="0"/>
          <c:showPercent val="0"/>
          <c:showBubbleSize val="0"/>
        </c:dLbls>
        <c:gapWidth val="80"/>
        <c:axId val="422312224"/>
        <c:axId val="336696512"/>
      </c:barChart>
      <c:lineChart>
        <c:grouping val="standard"/>
        <c:varyColors val="0"/>
        <c:ser>
          <c:idx val="1"/>
          <c:order val="1"/>
          <c:tx>
            <c:strRef>
              <c:f>'Míra ohrožení p. chudobou'!$A$4</c:f>
              <c:strCache>
                <c:ptCount val="1"/>
                <c:pt idx="0">
                  <c:v>hranice příjmové chudoby</c:v>
                </c:pt>
              </c:strCache>
            </c:strRef>
          </c:tx>
          <c:spPr>
            <a:ln w="28575" cap="rnd">
              <a:solidFill>
                <a:srgbClr val="BC091B"/>
              </a:solidFill>
              <a:round/>
            </a:ln>
            <a:effectLst/>
          </c:spPr>
          <c:marker>
            <c:symbol val="none"/>
          </c:marker>
          <c:dLbls>
            <c:dLbl>
              <c:idx val="9"/>
              <c:tx>
                <c:rich>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800"/>
                      <a:t>16 774</a:t>
                    </a:r>
                  </a:p>
                </c:rich>
              </c:tx>
              <c:numFmt formatCode="#,##0" sourceLinked="0"/>
              <c:spPr>
                <a:solidFill>
                  <a:schemeClr val="bg1"/>
                </a:solidFill>
                <a:ln>
                  <a:solidFill>
                    <a:srgbClr val="BC091B"/>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48AE-4D73-AD06-130F816233C0}"/>
                </c:ext>
              </c:extLst>
            </c:dLbl>
            <c:dLbl>
              <c:idx val="10"/>
              <c:numFmt formatCode="#,##0" sourceLinked="0"/>
              <c:spPr>
                <a:solidFill>
                  <a:schemeClr val="bg1"/>
                </a:solidFill>
                <a:ln>
                  <a:solidFill>
                    <a:srgbClr val="BC091B"/>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2-48AE-4D73-AD06-130F816233C0}"/>
                </c:ext>
              </c:extLst>
            </c:dLbl>
            <c:numFmt formatCode="#,##0" sourceLinked="0"/>
            <c:spPr>
              <a:solidFill>
                <a:schemeClr val="lt1"/>
              </a:solidFill>
              <a:ln>
                <a:solidFill>
                  <a:srgbClr val="BC091B"/>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'Míra ohrožení p. chudobou'!$E$2:$N$2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'Míra ohrožení p. chudobou'!$G$4:$Q$4</c:f>
              <c:numCache>
                <c:formatCode>_-* #\ ##0_-;\-* #\ ##0_-;_-* "-"??_-;_-@_-</c:formatCode>
                <c:ptCount val="11"/>
                <c:pt idx="0">
                  <c:v>9901</c:v>
                </c:pt>
                <c:pt idx="1">
                  <c:v>10220</c:v>
                </c:pt>
                <c:pt idx="2">
                  <c:v>10691</c:v>
                </c:pt>
                <c:pt idx="3">
                  <c:v>11195</c:v>
                </c:pt>
                <c:pt idx="4">
                  <c:v>11963</c:v>
                </c:pt>
                <c:pt idx="5">
                  <c:v>12818</c:v>
                </c:pt>
                <c:pt idx="6">
                  <c:v>13640</c:v>
                </c:pt>
                <c:pt idx="7">
                  <c:v>14055</c:v>
                </c:pt>
                <c:pt idx="8">
                  <c:v>15571</c:v>
                </c:pt>
                <c:pt idx="9">
                  <c:v>16773.583333333332</c:v>
                </c:pt>
                <c:pt idx="10">
                  <c:v>18162.633333333335</c:v>
                </c:pt>
              </c:numCache>
            </c:numRef>
          </c:val>
          <c:smooth val="0"/>
          <c:extLst>
            <c:ext xmlns:c16="http://schemas.microsoft.com/office/drawing/2014/chart" uri="{C3380CC4-5D6E-409C-BE32-E72D297353CC}">
              <c16:uniqueId val="{00000003-48AE-4D73-AD06-130F816233C0}"/>
            </c:ext>
          </c:extLst>
        </c:ser>
        <c:dLbls>
          <c:showLegendKey val="0"/>
          <c:showVal val="0"/>
          <c:showCatName val="0"/>
          <c:showSerName val="0"/>
          <c:showPercent val="0"/>
          <c:showBubbleSize val="0"/>
        </c:dLbls>
        <c:marker val="1"/>
        <c:smooth val="0"/>
        <c:axId val="424748560"/>
        <c:axId val="448713456"/>
      </c:lineChart>
      <c:catAx>
        <c:axId val="422312224"/>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336696512"/>
        <c:crossesAt val="0"/>
        <c:auto val="1"/>
        <c:lblAlgn val="ctr"/>
        <c:lblOffset val="100"/>
        <c:noMultiLvlLbl val="0"/>
      </c:catAx>
      <c:valAx>
        <c:axId val="336696512"/>
        <c:scaling>
          <c:orientation val="minMax"/>
          <c:max val="14"/>
          <c:min val="0"/>
        </c:scaling>
        <c:delete val="0"/>
        <c:axPos val="l"/>
        <c:majorGridlines>
          <c:spPr>
            <a:ln w="6350" cap="flat" cmpd="sng" algn="ctr">
              <a:solidFill>
                <a:srgbClr val="D9D9D9">
                  <a:alpha val="50000"/>
                </a:srgbClr>
              </a:solidFill>
              <a:round/>
            </a:ln>
            <a:effectLst/>
          </c:spPr>
        </c:majorGridlines>
        <c:title>
          <c:tx>
            <c:rich>
              <a:bodyPr rot="-5400000" spcFirstLastPara="1" vertOverflow="ellipsis" vert="horz" wrap="square" anchor="ctr" anchorCtr="1"/>
              <a:lstStyle/>
              <a:p>
                <a:pPr>
                  <a:defRPr sz="900" b="0" i="0" u="none" strike="noStrike" kern="1200" baseline="0">
                    <a:solidFill>
                      <a:srgbClr val="0071BC"/>
                    </a:solidFill>
                    <a:latin typeface="Arial" panose="020B0604020202020204" pitchFamily="34" charset="0"/>
                    <a:ea typeface="+mn-ea"/>
                    <a:cs typeface="Arial" panose="020B0604020202020204" pitchFamily="34" charset="0"/>
                  </a:defRPr>
                </a:pPr>
                <a:r>
                  <a:rPr lang="cs-CZ" sz="900">
                    <a:solidFill>
                      <a:srgbClr val="0071BC"/>
                    </a:solidFill>
                  </a:rPr>
                  <a:t>podíl osob pod hranicí           chudoby (%)</a:t>
                </a:r>
                <a:endParaRPr lang="en-US" sz="900">
                  <a:solidFill>
                    <a:srgbClr val="0071BC"/>
                  </a:solidFill>
                </a:endParaRPr>
              </a:p>
            </c:rich>
          </c:tx>
          <c:layout>
            <c:manualLayout>
              <c:xMode val="edge"/>
              <c:yMode val="edge"/>
              <c:x val="8.6382712976185803E-3"/>
              <c:y val="0.130200170761787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0071BC"/>
                  </a:solidFill>
                  <a:latin typeface="Arial" panose="020B0604020202020204" pitchFamily="34" charset="0"/>
                  <a:ea typeface="+mn-ea"/>
                  <a:cs typeface="Arial" panose="020B0604020202020204" pitchFamily="34" charset="0"/>
                </a:defRPr>
              </a:pPr>
              <a:endParaRPr lang="cs-CZ"/>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71BC"/>
                </a:solidFill>
                <a:latin typeface="Arial" panose="020B0604020202020204" pitchFamily="34" charset="0"/>
                <a:ea typeface="+mn-ea"/>
                <a:cs typeface="Arial" panose="020B0604020202020204" pitchFamily="34" charset="0"/>
              </a:defRPr>
            </a:pPr>
            <a:endParaRPr lang="cs-CZ"/>
          </a:p>
        </c:txPr>
        <c:crossAx val="422312224"/>
        <c:crosses val="autoZero"/>
        <c:crossBetween val="between"/>
        <c:majorUnit val="2"/>
      </c:valAx>
      <c:valAx>
        <c:axId val="448713456"/>
        <c:scaling>
          <c:orientation val="minMax"/>
          <c:max val="20000"/>
          <c:min val="0"/>
        </c:scaling>
        <c:delete val="0"/>
        <c:axPos val="r"/>
        <c:title>
          <c:tx>
            <c:rich>
              <a:bodyPr rot="-5400000" spcFirstLastPara="1" vertOverflow="ellipsis" vert="horz" wrap="square" anchor="ctr" anchorCtr="1"/>
              <a:lstStyle/>
              <a:p>
                <a:pPr>
                  <a:defRPr sz="900" b="0" i="0" u="none" strike="noStrike" kern="1200" baseline="0">
                    <a:solidFill>
                      <a:srgbClr val="BC091B"/>
                    </a:solidFill>
                    <a:latin typeface="Arial" panose="020B0604020202020204" pitchFamily="34" charset="0"/>
                    <a:ea typeface="+mn-ea"/>
                    <a:cs typeface="Arial" panose="020B0604020202020204" pitchFamily="34" charset="0"/>
                  </a:defRPr>
                </a:pPr>
                <a:r>
                  <a:rPr lang="cs-CZ" sz="900" baseline="0">
                    <a:solidFill>
                      <a:srgbClr val="BC091B"/>
                    </a:solidFill>
                  </a:rPr>
                  <a:t>hranice chudoby (Kč/měsíc)</a:t>
                </a:r>
                <a:endParaRPr lang="en-US" sz="900" baseline="0">
                  <a:solidFill>
                    <a:srgbClr val="BC091B"/>
                  </a:solidFill>
                </a:endParaRPr>
              </a:p>
            </c:rich>
          </c:tx>
          <c:layout>
            <c:manualLayout>
              <c:xMode val="edge"/>
              <c:yMode val="edge"/>
              <c:x val="0.96874799871918027"/>
              <c:y val="0.133670658031651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BC091B"/>
                  </a:solidFill>
                  <a:latin typeface="Arial" panose="020B0604020202020204" pitchFamily="34" charset="0"/>
                  <a:ea typeface="+mn-ea"/>
                  <a:cs typeface="Arial" panose="020B0604020202020204" pitchFamily="34" charset="0"/>
                </a:defRPr>
              </a:pPr>
              <a:endParaRPr lang="cs-CZ"/>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BC091B"/>
                </a:solidFill>
                <a:latin typeface="Arial" panose="020B0604020202020204" pitchFamily="34" charset="0"/>
                <a:ea typeface="+mn-ea"/>
                <a:cs typeface="Arial" panose="020B0604020202020204" pitchFamily="34" charset="0"/>
              </a:defRPr>
            </a:pPr>
            <a:endParaRPr lang="cs-CZ"/>
          </a:p>
        </c:txPr>
        <c:crossAx val="424748560"/>
        <c:crosses val="max"/>
        <c:crossBetween val="between"/>
        <c:majorUnit val="2000"/>
      </c:valAx>
      <c:catAx>
        <c:axId val="424748560"/>
        <c:scaling>
          <c:orientation val="minMax"/>
        </c:scaling>
        <c:delete val="1"/>
        <c:axPos val="t"/>
        <c:numFmt formatCode="General" sourceLinked="1"/>
        <c:majorTickMark val="out"/>
        <c:minorTickMark val="none"/>
        <c:tickLblPos val="nextTo"/>
        <c:crossAx val="448713456"/>
        <c:crosses val="max"/>
        <c:auto val="1"/>
        <c:lblAlgn val="ctr"/>
        <c:lblOffset val="100"/>
        <c:noMultiLvlLbl val="0"/>
      </c:catAx>
      <c:spPr>
        <a:noFill/>
        <a:ln>
          <a:noFill/>
        </a:ln>
        <a:effectLst/>
      </c:spPr>
    </c:plotArea>
    <c:legend>
      <c:legendPos val="b"/>
      <c:layout>
        <c:manualLayout>
          <c:xMode val="edge"/>
          <c:yMode val="edge"/>
          <c:x val="6.9208691802168598E-2"/>
          <c:y val="0.88786959101376695"/>
          <c:w val="0.82189132642873886"/>
          <c:h val="8.147906799006446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Arial" panose="020B0604020202020204" pitchFamily="34" charset="0"/>
          <a:cs typeface="Arial" panose="020B0604020202020204" pitchFamily="34" charset="0"/>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15044890591249"/>
          <c:y val="7.6164602164351156E-2"/>
          <c:w val="0.86542920279945657"/>
          <c:h val="0.6887146654351014"/>
        </c:manualLayout>
      </c:layout>
      <c:barChart>
        <c:barDir val="col"/>
        <c:grouping val="clustered"/>
        <c:varyColors val="0"/>
        <c:ser>
          <c:idx val="0"/>
          <c:order val="0"/>
          <c:tx>
            <c:strRef>
              <c:f>'Složení chudých'!$E$2</c:f>
              <c:strCache>
                <c:ptCount val="1"/>
                <c:pt idx="0">
                  <c:v>2023</c:v>
                </c:pt>
              </c:strCache>
            </c:strRef>
          </c:tx>
          <c:spPr>
            <a:solidFill>
              <a:srgbClr val="0071BC"/>
            </a:solidFill>
          </c:spPr>
          <c:invertIfNegative val="0"/>
          <c:dPt>
            <c:idx val="1"/>
            <c:invertIfNegative val="0"/>
            <c:bubble3D val="0"/>
            <c:spPr>
              <a:solidFill>
                <a:srgbClr val="7CA5D8"/>
              </a:solidFill>
            </c:spPr>
            <c:extLst xmlns:c15="http://schemas.microsoft.com/office/drawing/2012/chart">
              <c:ext xmlns:c16="http://schemas.microsoft.com/office/drawing/2014/chart" uri="{C3380CC4-5D6E-409C-BE32-E72D297353CC}">
                <c16:uniqueId val="{00000001-1A18-4CC3-A7B5-0CD1032BD8C5}"/>
              </c:ext>
            </c:extLst>
          </c:dPt>
          <c:dPt>
            <c:idx val="2"/>
            <c:invertIfNegative val="0"/>
            <c:bubble3D val="0"/>
            <c:spPr>
              <a:solidFill>
                <a:srgbClr val="7CA5D8"/>
              </a:solidFill>
            </c:spPr>
            <c:extLst xmlns:c15="http://schemas.microsoft.com/office/drawing/2012/chart">
              <c:ext xmlns:c16="http://schemas.microsoft.com/office/drawing/2014/chart" uri="{C3380CC4-5D6E-409C-BE32-E72D297353CC}">
                <c16:uniqueId val="{00000003-1A18-4CC3-A7B5-0CD1032BD8C5}"/>
              </c:ext>
            </c:extLst>
          </c:dPt>
          <c:dPt>
            <c:idx val="3"/>
            <c:invertIfNegative val="0"/>
            <c:bubble3D val="0"/>
            <c:spPr>
              <a:solidFill>
                <a:srgbClr val="7CA5D8"/>
              </a:solidFill>
            </c:spPr>
            <c:extLst xmlns:c15="http://schemas.microsoft.com/office/drawing/2012/chart">
              <c:ext xmlns:c16="http://schemas.microsoft.com/office/drawing/2014/chart" uri="{C3380CC4-5D6E-409C-BE32-E72D297353CC}">
                <c16:uniqueId val="{00000005-1A18-4CC3-A7B5-0CD1032BD8C5}"/>
              </c:ext>
            </c:extLst>
          </c:dPt>
          <c:dPt>
            <c:idx val="4"/>
            <c:invertIfNegative val="0"/>
            <c:bubble3D val="0"/>
            <c:spPr>
              <a:solidFill>
                <a:srgbClr val="7CA5D8"/>
              </a:solidFill>
            </c:spPr>
            <c:extLst xmlns:c15="http://schemas.microsoft.com/office/drawing/2012/chart">
              <c:ext xmlns:c16="http://schemas.microsoft.com/office/drawing/2014/chart" uri="{C3380CC4-5D6E-409C-BE32-E72D297353CC}">
                <c16:uniqueId val="{00000007-1A18-4CC3-A7B5-0CD1032BD8C5}"/>
              </c:ext>
            </c:extLst>
          </c:dPt>
          <c:dPt>
            <c:idx val="5"/>
            <c:invertIfNegative val="0"/>
            <c:bubble3D val="0"/>
            <c:spPr>
              <a:solidFill>
                <a:srgbClr val="7CA5D8"/>
              </a:solidFill>
            </c:spPr>
            <c:extLst>
              <c:ext xmlns:c16="http://schemas.microsoft.com/office/drawing/2014/chart" uri="{C3380CC4-5D6E-409C-BE32-E72D297353CC}">
                <c16:uniqueId val="{00000009-1A18-4CC3-A7B5-0CD1032BD8C5}"/>
              </c:ext>
            </c:extLst>
          </c:dPt>
          <c:dLbls>
            <c:dLbl>
              <c:idx val="1"/>
              <c:spPr>
                <a:noFill/>
                <a:ln>
                  <a:solidFill>
                    <a:srgbClr val="7CA5D8"/>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1-1A18-4CC3-A7B5-0CD1032BD8C5}"/>
                </c:ext>
              </c:extLst>
            </c:dLbl>
            <c:dLbl>
              <c:idx val="2"/>
              <c:spPr>
                <a:noFill/>
                <a:ln>
                  <a:solidFill>
                    <a:srgbClr val="7CA5D8"/>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3-1A18-4CC3-A7B5-0CD1032BD8C5}"/>
                </c:ext>
              </c:extLst>
            </c:dLbl>
            <c:dLbl>
              <c:idx val="3"/>
              <c:spPr>
                <a:noFill/>
                <a:ln>
                  <a:solidFill>
                    <a:srgbClr val="7CA5D8"/>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5-1A18-4CC3-A7B5-0CD1032BD8C5}"/>
                </c:ext>
              </c:extLst>
            </c:dLbl>
            <c:dLbl>
              <c:idx val="4"/>
              <c:spPr>
                <a:noFill/>
                <a:ln>
                  <a:solidFill>
                    <a:srgbClr val="7CA5D8"/>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7-1A18-4CC3-A7B5-0CD1032BD8C5}"/>
                </c:ext>
              </c:extLst>
            </c:dLbl>
            <c:dLbl>
              <c:idx val="5"/>
              <c:spPr>
                <a:noFill/>
                <a:ln>
                  <a:solidFill>
                    <a:srgbClr val="7CA5D8"/>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9-1A18-4CC3-A7B5-0CD1032BD8C5}"/>
                </c:ext>
              </c:extLst>
            </c:dLbl>
            <c:spPr>
              <a:noFill/>
              <a:ln>
                <a:solidFill>
                  <a:srgbClr val="0071BC"/>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'Složení chudých'!$B$16:$B$20</c:f>
              <c:strCache>
                <c:ptCount val="5"/>
                <c:pt idx="0">
                  <c:v>celkem</c:v>
                </c:pt>
                <c:pt idx="1">
                  <c:v>zaměstnanci</c:v>
                </c:pt>
                <c:pt idx="2">
                  <c:v>důchodci</c:v>
                </c:pt>
                <c:pt idx="3">
                  <c:v>úplné rodiny 
s dětmi</c:v>
                </c:pt>
                <c:pt idx="4">
                  <c:v>neúplné rodiny
s dětmi</c:v>
                </c:pt>
              </c:strCache>
            </c:strRef>
          </c:cat>
          <c:val>
            <c:numRef>
              <c:f>'Složení chudých'!$E$16:$E$20</c:f>
              <c:numCache>
                <c:formatCode>0.0</c:formatCode>
                <c:ptCount val="5"/>
                <c:pt idx="0">
                  <c:v>9.81</c:v>
                </c:pt>
                <c:pt idx="1">
                  <c:v>4.1324399999999999</c:v>
                </c:pt>
                <c:pt idx="2">
                  <c:v>18.86233</c:v>
                </c:pt>
                <c:pt idx="3">
                  <c:v>7.4081299999999999</c:v>
                </c:pt>
                <c:pt idx="4">
                  <c:v>32.989980000000003</c:v>
                </c:pt>
              </c:numCache>
            </c:numRef>
          </c:val>
          <c:extLst xmlns:c15="http://schemas.microsoft.com/office/drawing/2012/chart">
            <c:ext xmlns:c16="http://schemas.microsoft.com/office/drawing/2014/chart" uri="{C3380CC4-5D6E-409C-BE32-E72D297353CC}">
              <c16:uniqueId val="{0000000A-1A18-4CC3-A7B5-0CD1032BD8C5}"/>
            </c:ext>
          </c:extLst>
        </c:ser>
        <c:ser>
          <c:idx val="1"/>
          <c:order val="1"/>
          <c:tx>
            <c:strRef>
              <c:f>'Složení chudých'!$F$2</c:f>
              <c:strCache>
                <c:ptCount val="1"/>
                <c:pt idx="0">
                  <c:v>2024</c:v>
                </c:pt>
              </c:strCache>
            </c:strRef>
          </c:tx>
          <c:spPr>
            <a:solidFill>
              <a:srgbClr val="BC091B"/>
            </a:solidFill>
          </c:spPr>
          <c:invertIfNegative val="0"/>
          <c:dPt>
            <c:idx val="1"/>
            <c:invertIfNegative val="0"/>
            <c:bubble3D val="0"/>
            <c:spPr>
              <a:solidFill>
                <a:srgbClr val="DC8468"/>
              </a:solidFill>
            </c:spPr>
            <c:extLst>
              <c:ext xmlns:c16="http://schemas.microsoft.com/office/drawing/2014/chart" uri="{C3380CC4-5D6E-409C-BE32-E72D297353CC}">
                <c16:uniqueId val="{0000000C-1A18-4CC3-A7B5-0CD1032BD8C5}"/>
              </c:ext>
            </c:extLst>
          </c:dPt>
          <c:dPt>
            <c:idx val="2"/>
            <c:invertIfNegative val="0"/>
            <c:bubble3D val="0"/>
            <c:spPr>
              <a:solidFill>
                <a:srgbClr val="DC8468"/>
              </a:solidFill>
            </c:spPr>
            <c:extLst>
              <c:ext xmlns:c16="http://schemas.microsoft.com/office/drawing/2014/chart" uri="{C3380CC4-5D6E-409C-BE32-E72D297353CC}">
                <c16:uniqueId val="{0000000E-1A18-4CC3-A7B5-0CD1032BD8C5}"/>
              </c:ext>
            </c:extLst>
          </c:dPt>
          <c:dPt>
            <c:idx val="3"/>
            <c:invertIfNegative val="0"/>
            <c:bubble3D val="0"/>
            <c:spPr>
              <a:solidFill>
                <a:srgbClr val="DC8468"/>
              </a:solidFill>
            </c:spPr>
            <c:extLst>
              <c:ext xmlns:c16="http://schemas.microsoft.com/office/drawing/2014/chart" uri="{C3380CC4-5D6E-409C-BE32-E72D297353CC}">
                <c16:uniqueId val="{00000010-1A18-4CC3-A7B5-0CD1032BD8C5}"/>
              </c:ext>
            </c:extLst>
          </c:dPt>
          <c:dPt>
            <c:idx val="4"/>
            <c:invertIfNegative val="0"/>
            <c:bubble3D val="0"/>
            <c:spPr>
              <a:solidFill>
                <a:srgbClr val="DC8468"/>
              </a:solidFill>
            </c:spPr>
            <c:extLst>
              <c:ext xmlns:c16="http://schemas.microsoft.com/office/drawing/2014/chart" uri="{C3380CC4-5D6E-409C-BE32-E72D297353CC}">
                <c16:uniqueId val="{00000012-1A18-4CC3-A7B5-0CD1032BD8C5}"/>
              </c:ext>
            </c:extLst>
          </c:dPt>
          <c:dPt>
            <c:idx val="5"/>
            <c:invertIfNegative val="0"/>
            <c:bubble3D val="0"/>
            <c:spPr>
              <a:solidFill>
                <a:srgbClr val="DC8468"/>
              </a:solidFill>
            </c:spPr>
            <c:extLst>
              <c:ext xmlns:c16="http://schemas.microsoft.com/office/drawing/2014/chart" uri="{C3380CC4-5D6E-409C-BE32-E72D297353CC}">
                <c16:uniqueId val="{00000014-1A18-4CC3-A7B5-0CD1032BD8C5}"/>
              </c:ext>
            </c:extLst>
          </c:dPt>
          <c:dLbls>
            <c:dLbl>
              <c:idx val="1"/>
              <c:spPr>
                <a:noFill/>
                <a:ln>
                  <a:solidFill>
                    <a:srgbClr val="DC8468"/>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C-1A18-4CC3-A7B5-0CD1032BD8C5}"/>
                </c:ext>
              </c:extLst>
            </c:dLbl>
            <c:dLbl>
              <c:idx val="2"/>
              <c:spPr>
                <a:noFill/>
                <a:ln>
                  <a:solidFill>
                    <a:srgbClr val="DC8468"/>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E-1A18-4CC3-A7B5-0CD1032BD8C5}"/>
                </c:ext>
              </c:extLst>
            </c:dLbl>
            <c:dLbl>
              <c:idx val="3"/>
              <c:spPr>
                <a:noFill/>
                <a:ln>
                  <a:solidFill>
                    <a:srgbClr val="DC8468"/>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10-1A18-4CC3-A7B5-0CD1032BD8C5}"/>
                </c:ext>
              </c:extLst>
            </c:dLbl>
            <c:dLbl>
              <c:idx val="4"/>
              <c:spPr>
                <a:noFill/>
                <a:ln>
                  <a:solidFill>
                    <a:srgbClr val="DC8468"/>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12-1A18-4CC3-A7B5-0CD1032BD8C5}"/>
                </c:ext>
              </c:extLst>
            </c:dLbl>
            <c:dLbl>
              <c:idx val="5"/>
              <c:spPr>
                <a:noFill/>
                <a:ln>
                  <a:solidFill>
                    <a:srgbClr val="DC8468"/>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14-1A18-4CC3-A7B5-0CD1032BD8C5}"/>
                </c:ext>
              </c:extLst>
            </c:dLbl>
            <c:spPr>
              <a:noFill/>
              <a:ln>
                <a:solidFill>
                  <a:srgbClr val="BC091B"/>
                </a:solidFill>
              </a:ln>
              <a:effectLst/>
            </c:spPr>
            <c:txPr>
              <a:bodyPr wrap="square" lIns="38100" tIns="19050" rIns="38100" bIns="19050" anchor="ctr">
                <a:spAutoFit/>
              </a:bodyPr>
              <a:lstStyle/>
              <a:p>
                <a:pPr>
                  <a:defRPr sz="900"/>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'Složení chudých'!$B$16:$B$20</c:f>
              <c:strCache>
                <c:ptCount val="5"/>
                <c:pt idx="0">
                  <c:v>celkem</c:v>
                </c:pt>
                <c:pt idx="1">
                  <c:v>zaměstnanci</c:v>
                </c:pt>
                <c:pt idx="2">
                  <c:v>důchodci</c:v>
                </c:pt>
                <c:pt idx="3">
                  <c:v>úplné rodiny 
s dětmi</c:v>
                </c:pt>
                <c:pt idx="4">
                  <c:v>neúplné rodiny
s dětmi</c:v>
                </c:pt>
              </c:strCache>
            </c:strRef>
          </c:cat>
          <c:val>
            <c:numRef>
              <c:f>'Složení chudých'!$F$16:$F$20</c:f>
              <c:numCache>
                <c:formatCode>0.0</c:formatCode>
                <c:ptCount val="5"/>
                <c:pt idx="0">
                  <c:v>9.5</c:v>
                </c:pt>
                <c:pt idx="1">
                  <c:v>5.4674699999999996</c:v>
                </c:pt>
                <c:pt idx="2">
                  <c:v>12.46814</c:v>
                </c:pt>
                <c:pt idx="3">
                  <c:v>9.0326699999999995</c:v>
                </c:pt>
                <c:pt idx="4">
                  <c:v>36.309933999999998</c:v>
                </c:pt>
              </c:numCache>
            </c:numRef>
          </c:val>
          <c:extLst>
            <c:ext xmlns:c16="http://schemas.microsoft.com/office/drawing/2014/chart" uri="{C3380CC4-5D6E-409C-BE32-E72D297353CC}">
              <c16:uniqueId val="{00000015-1A18-4CC3-A7B5-0CD1032BD8C5}"/>
            </c:ext>
          </c:extLst>
        </c:ser>
        <c:dLbls>
          <c:dLblPos val="outEnd"/>
          <c:showLegendKey val="0"/>
          <c:showVal val="1"/>
          <c:showCatName val="0"/>
          <c:showSerName val="0"/>
          <c:showPercent val="0"/>
          <c:showBubbleSize val="0"/>
        </c:dLbls>
        <c:gapWidth val="100"/>
        <c:axId val="1642414128"/>
        <c:axId val="1642417872"/>
        <c:extLst/>
      </c:barChart>
      <c:catAx>
        <c:axId val="1642414128"/>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60000000" vert="horz"/>
          <a:lstStyle/>
          <a:p>
            <a:pPr>
              <a:defRPr sz="900"/>
            </a:pPr>
            <a:endParaRPr lang="cs-CZ"/>
          </a:p>
        </c:txPr>
        <c:crossAx val="1642417872"/>
        <c:crosses val="autoZero"/>
        <c:auto val="1"/>
        <c:lblAlgn val="ctr"/>
        <c:lblOffset val="100"/>
        <c:noMultiLvlLbl val="0"/>
      </c:catAx>
      <c:valAx>
        <c:axId val="1642417872"/>
        <c:scaling>
          <c:orientation val="minMax"/>
        </c:scaling>
        <c:delete val="0"/>
        <c:axPos val="l"/>
        <c:majorGridlines>
          <c:spPr>
            <a:ln w="9525" cap="flat" cmpd="sng" algn="ctr">
              <a:noFill/>
              <a:round/>
            </a:ln>
            <a:effectLst/>
          </c:spPr>
        </c:majorGridlines>
        <c:title>
          <c:tx>
            <c:rich>
              <a:bodyPr rot="-5400000" vert="horz"/>
              <a:lstStyle/>
              <a:p>
                <a:pPr>
                  <a:defRPr sz="900" b="0"/>
                </a:pPr>
                <a:r>
                  <a:rPr lang="cs-CZ" sz="900" b="0"/>
                  <a:t>podíl osob pod hranicí       příjmové chudoby (%)</a:t>
                </a:r>
              </a:p>
            </c:rich>
          </c:tx>
          <c:layout>
            <c:manualLayout>
              <c:xMode val="edge"/>
              <c:yMode val="edge"/>
              <c:x val="1.6954570314873817E-2"/>
              <c:y val="0.17449825021872267"/>
            </c:manualLayout>
          </c:layout>
          <c:overlay val="0"/>
          <c:spPr>
            <a:noFill/>
            <a:ln>
              <a:noFill/>
            </a:ln>
            <a:effectLst/>
          </c:spPr>
        </c:title>
        <c:numFmt formatCode="0" sourceLinked="0"/>
        <c:majorTickMark val="out"/>
        <c:minorTickMark val="none"/>
        <c:tickLblPos val="nextTo"/>
        <c:spPr>
          <a:solidFill>
            <a:schemeClr val="bg1"/>
          </a:solidFill>
          <a:ln>
            <a:solidFill>
              <a:srgbClr val="D9D9D9"/>
            </a:solidFill>
          </a:ln>
          <a:effectLst/>
        </c:spPr>
        <c:txPr>
          <a:bodyPr rot="-60000000" vert="horz"/>
          <a:lstStyle/>
          <a:p>
            <a:pPr>
              <a:defRPr sz="900"/>
            </a:pPr>
            <a:endParaRPr lang="cs-CZ"/>
          </a:p>
        </c:txPr>
        <c:crossAx val="1642414128"/>
        <c:crosses val="autoZero"/>
        <c:crossBetween val="between"/>
      </c:valAx>
      <c:spPr>
        <a:noFill/>
        <a:ln>
          <a:noFill/>
        </a:ln>
        <a:effectLst/>
      </c:spPr>
    </c:plotArea>
    <c:legend>
      <c:legendPos val="b"/>
      <c:layout>
        <c:manualLayout>
          <c:xMode val="edge"/>
          <c:yMode val="edge"/>
          <c:x val="0.24814938926459992"/>
          <c:y val="0.92697677241211884"/>
          <c:w val="0.52652180329718989"/>
          <c:h val="6.1462533946262499E-2"/>
        </c:manualLayout>
      </c:layout>
      <c:overlay val="0"/>
      <c:spPr>
        <a:ln>
          <a:noFill/>
        </a:ln>
      </c:spPr>
      <c:txPr>
        <a:bodyPr/>
        <a:lstStyle/>
        <a:p>
          <a:pPr>
            <a:defRPr sz="900"/>
          </a:pPr>
          <a:endParaRPr lang="cs-CZ"/>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cs-CZ"/>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34376546371615"/>
          <c:y val="1.9345192189863962E-2"/>
          <c:w val="0.87114984937797879"/>
          <c:h val="0.74982703909235393"/>
        </c:manualLayout>
      </c:layout>
      <c:barChart>
        <c:barDir val="col"/>
        <c:grouping val="clustered"/>
        <c:varyColors val="0"/>
        <c:ser>
          <c:idx val="0"/>
          <c:order val="0"/>
          <c:tx>
            <c:strRef>
              <c:f>'Materální a soc. deprivace'!$I$2</c:f>
              <c:strCache>
                <c:ptCount val="1"/>
                <c:pt idx="0">
                  <c:v>2023</c:v>
                </c:pt>
              </c:strCache>
            </c:strRef>
          </c:tx>
          <c:spPr>
            <a:solidFill>
              <a:srgbClr val="0071BC"/>
            </a:solidFill>
            <a:ln>
              <a:noFill/>
            </a:ln>
            <a:effectLst/>
          </c:spPr>
          <c:invertIfNegative val="0"/>
          <c:dPt>
            <c:idx val="1"/>
            <c:invertIfNegative val="0"/>
            <c:bubble3D val="0"/>
            <c:spPr>
              <a:solidFill>
                <a:srgbClr val="7CA5D8"/>
              </a:solidFill>
              <a:ln>
                <a:noFill/>
              </a:ln>
              <a:effectLst/>
            </c:spPr>
            <c:extLst>
              <c:ext xmlns:c16="http://schemas.microsoft.com/office/drawing/2014/chart" uri="{C3380CC4-5D6E-409C-BE32-E72D297353CC}">
                <c16:uniqueId val="{00000001-D637-42B0-9154-5536F56C4C46}"/>
              </c:ext>
            </c:extLst>
          </c:dPt>
          <c:dPt>
            <c:idx val="2"/>
            <c:invertIfNegative val="0"/>
            <c:bubble3D val="0"/>
            <c:spPr>
              <a:solidFill>
                <a:srgbClr val="7CA5D8"/>
              </a:solidFill>
              <a:ln>
                <a:noFill/>
              </a:ln>
              <a:effectLst/>
            </c:spPr>
            <c:extLst>
              <c:ext xmlns:c16="http://schemas.microsoft.com/office/drawing/2014/chart" uri="{C3380CC4-5D6E-409C-BE32-E72D297353CC}">
                <c16:uniqueId val="{00000003-D637-42B0-9154-5536F56C4C46}"/>
              </c:ext>
            </c:extLst>
          </c:dPt>
          <c:dPt>
            <c:idx val="3"/>
            <c:invertIfNegative val="0"/>
            <c:bubble3D val="0"/>
            <c:spPr>
              <a:solidFill>
                <a:srgbClr val="7CA5D8"/>
              </a:solidFill>
              <a:ln>
                <a:noFill/>
              </a:ln>
              <a:effectLst/>
            </c:spPr>
            <c:extLst>
              <c:ext xmlns:c16="http://schemas.microsoft.com/office/drawing/2014/chart" uri="{C3380CC4-5D6E-409C-BE32-E72D297353CC}">
                <c16:uniqueId val="{00000005-D637-42B0-9154-5536F56C4C46}"/>
              </c:ext>
            </c:extLst>
          </c:dPt>
          <c:dPt>
            <c:idx val="4"/>
            <c:invertIfNegative val="0"/>
            <c:bubble3D val="0"/>
            <c:spPr>
              <a:solidFill>
                <a:srgbClr val="7CA5D8"/>
              </a:solidFill>
              <a:ln>
                <a:noFill/>
              </a:ln>
              <a:effectLst/>
            </c:spPr>
            <c:extLst>
              <c:ext xmlns:c16="http://schemas.microsoft.com/office/drawing/2014/chart" uri="{C3380CC4-5D6E-409C-BE32-E72D297353CC}">
                <c16:uniqueId val="{00000007-D637-42B0-9154-5536F56C4C46}"/>
              </c:ext>
            </c:extLst>
          </c:dPt>
          <c:dLbls>
            <c:dLbl>
              <c:idx val="0"/>
              <c:spPr>
                <a:noFill/>
                <a:ln>
                  <a:solidFill>
                    <a:srgbClr val="0071BC"/>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8-D637-42B0-9154-5536F56C4C46}"/>
                </c:ext>
              </c:extLst>
            </c:dLbl>
            <c:spPr>
              <a:noFill/>
              <a:ln>
                <a:solidFill>
                  <a:srgbClr val="7CA5D8"/>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'Materální a soc. deprivace'!$G$3:$G$7</c:f>
              <c:strCache>
                <c:ptCount val="5"/>
                <c:pt idx="0">
                  <c:v>celkem</c:v>
                </c:pt>
                <c:pt idx="1">
                  <c:v>zaměstnanci</c:v>
                </c:pt>
                <c:pt idx="2">
                  <c:v>důchodci</c:v>
                </c:pt>
                <c:pt idx="3">
                  <c:v>úplné rodiny
s dětmi</c:v>
                </c:pt>
                <c:pt idx="4">
                  <c:v>neúplné rodiny
s dětmi</c:v>
                </c:pt>
              </c:strCache>
            </c:strRef>
          </c:cat>
          <c:val>
            <c:numRef>
              <c:f>'Materální a soc. deprivace'!$I$3:$I$7</c:f>
              <c:numCache>
                <c:formatCode>0.0</c:formatCode>
                <c:ptCount val="5"/>
                <c:pt idx="0">
                  <c:v>6.26</c:v>
                </c:pt>
                <c:pt idx="1">
                  <c:v>4.3187699999999998</c:v>
                </c:pt>
                <c:pt idx="2">
                  <c:v>8.7239699999999996</c:v>
                </c:pt>
                <c:pt idx="3">
                  <c:v>5.0397299999999996</c:v>
                </c:pt>
                <c:pt idx="4">
                  <c:v>26.746929999999999</c:v>
                </c:pt>
              </c:numCache>
            </c:numRef>
          </c:val>
          <c:extLst>
            <c:ext xmlns:c16="http://schemas.microsoft.com/office/drawing/2014/chart" uri="{C3380CC4-5D6E-409C-BE32-E72D297353CC}">
              <c16:uniqueId val="{00000009-D637-42B0-9154-5536F56C4C46}"/>
            </c:ext>
          </c:extLst>
        </c:ser>
        <c:ser>
          <c:idx val="1"/>
          <c:order val="1"/>
          <c:tx>
            <c:strRef>
              <c:f>'Materální a soc. deprivace'!$J$2</c:f>
              <c:strCache>
                <c:ptCount val="1"/>
                <c:pt idx="0">
                  <c:v>2024</c:v>
                </c:pt>
              </c:strCache>
            </c:strRef>
          </c:tx>
          <c:spPr>
            <a:solidFill>
              <a:srgbClr val="BC091B"/>
            </a:solidFill>
            <a:ln>
              <a:noFill/>
            </a:ln>
            <a:effectLst/>
          </c:spPr>
          <c:invertIfNegative val="0"/>
          <c:dPt>
            <c:idx val="1"/>
            <c:invertIfNegative val="0"/>
            <c:bubble3D val="0"/>
            <c:spPr>
              <a:solidFill>
                <a:srgbClr val="DC8468"/>
              </a:solidFill>
              <a:ln>
                <a:noFill/>
              </a:ln>
              <a:effectLst/>
            </c:spPr>
            <c:extLst>
              <c:ext xmlns:c16="http://schemas.microsoft.com/office/drawing/2014/chart" uri="{C3380CC4-5D6E-409C-BE32-E72D297353CC}">
                <c16:uniqueId val="{0000000B-D637-42B0-9154-5536F56C4C46}"/>
              </c:ext>
            </c:extLst>
          </c:dPt>
          <c:dPt>
            <c:idx val="2"/>
            <c:invertIfNegative val="0"/>
            <c:bubble3D val="0"/>
            <c:spPr>
              <a:solidFill>
                <a:srgbClr val="DC8468"/>
              </a:solidFill>
              <a:ln>
                <a:noFill/>
              </a:ln>
              <a:effectLst/>
            </c:spPr>
            <c:extLst>
              <c:ext xmlns:c16="http://schemas.microsoft.com/office/drawing/2014/chart" uri="{C3380CC4-5D6E-409C-BE32-E72D297353CC}">
                <c16:uniqueId val="{0000000D-D637-42B0-9154-5536F56C4C46}"/>
              </c:ext>
            </c:extLst>
          </c:dPt>
          <c:dPt>
            <c:idx val="3"/>
            <c:invertIfNegative val="0"/>
            <c:bubble3D val="0"/>
            <c:spPr>
              <a:solidFill>
                <a:srgbClr val="DC8468"/>
              </a:solidFill>
              <a:ln>
                <a:noFill/>
              </a:ln>
              <a:effectLst/>
            </c:spPr>
            <c:extLst>
              <c:ext xmlns:c16="http://schemas.microsoft.com/office/drawing/2014/chart" uri="{C3380CC4-5D6E-409C-BE32-E72D297353CC}">
                <c16:uniqueId val="{0000000F-D637-42B0-9154-5536F56C4C46}"/>
              </c:ext>
            </c:extLst>
          </c:dPt>
          <c:dPt>
            <c:idx val="4"/>
            <c:invertIfNegative val="0"/>
            <c:bubble3D val="0"/>
            <c:spPr>
              <a:solidFill>
                <a:srgbClr val="DC8468"/>
              </a:solidFill>
              <a:ln>
                <a:noFill/>
              </a:ln>
              <a:effectLst/>
            </c:spPr>
            <c:extLst>
              <c:ext xmlns:c16="http://schemas.microsoft.com/office/drawing/2014/chart" uri="{C3380CC4-5D6E-409C-BE32-E72D297353CC}">
                <c16:uniqueId val="{00000011-D637-42B0-9154-5536F56C4C46}"/>
              </c:ext>
            </c:extLst>
          </c:dPt>
          <c:dLbls>
            <c:dLbl>
              <c:idx val="0"/>
              <c:spPr>
                <a:noFill/>
                <a:ln>
                  <a:solidFill>
                    <a:srgbClr val="BC091B"/>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12-D637-42B0-9154-5536F56C4C46}"/>
                </c:ext>
              </c:extLst>
            </c:dLbl>
            <c:spPr>
              <a:noFill/>
              <a:ln>
                <a:solidFill>
                  <a:srgbClr val="DC8468"/>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'Materální a soc. deprivace'!$G$3:$G$7</c:f>
              <c:strCache>
                <c:ptCount val="5"/>
                <c:pt idx="0">
                  <c:v>celkem</c:v>
                </c:pt>
                <c:pt idx="1">
                  <c:v>zaměstnanci</c:v>
                </c:pt>
                <c:pt idx="2">
                  <c:v>důchodci</c:v>
                </c:pt>
                <c:pt idx="3">
                  <c:v>úplné rodiny
s dětmi</c:v>
                </c:pt>
                <c:pt idx="4">
                  <c:v>neúplné rodiny
s dětmi</c:v>
                </c:pt>
              </c:strCache>
            </c:strRef>
          </c:cat>
          <c:val>
            <c:numRef>
              <c:f>'Materální a soc. deprivace'!$J$3:$J$7</c:f>
              <c:numCache>
                <c:formatCode>0.0</c:formatCode>
                <c:ptCount val="5"/>
                <c:pt idx="0">
                  <c:v>6.11</c:v>
                </c:pt>
                <c:pt idx="1">
                  <c:v>4.0976400000000002</c:v>
                </c:pt>
                <c:pt idx="2">
                  <c:v>7.9695799999999997</c:v>
                </c:pt>
                <c:pt idx="3">
                  <c:v>5.5128700000000004</c:v>
                </c:pt>
                <c:pt idx="4">
                  <c:v>27.088519999999999</c:v>
                </c:pt>
              </c:numCache>
            </c:numRef>
          </c:val>
          <c:extLst>
            <c:ext xmlns:c16="http://schemas.microsoft.com/office/drawing/2014/chart" uri="{C3380CC4-5D6E-409C-BE32-E72D297353CC}">
              <c16:uniqueId val="{00000013-D637-42B0-9154-5536F56C4C46}"/>
            </c:ext>
          </c:extLst>
        </c:ser>
        <c:dLbls>
          <c:dLblPos val="outEnd"/>
          <c:showLegendKey val="0"/>
          <c:showVal val="1"/>
          <c:showCatName val="0"/>
          <c:showSerName val="0"/>
          <c:showPercent val="0"/>
          <c:showBubbleSize val="0"/>
        </c:dLbls>
        <c:gapWidth val="130"/>
        <c:axId val="1938816864"/>
        <c:axId val="1938806048"/>
      </c:barChart>
      <c:catAx>
        <c:axId val="19388168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938806048"/>
        <c:crosses val="autoZero"/>
        <c:auto val="1"/>
        <c:lblAlgn val="ctr"/>
        <c:lblOffset val="100"/>
        <c:noMultiLvlLbl val="0"/>
      </c:catAx>
      <c:valAx>
        <c:axId val="1938806048"/>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cs-CZ" sz="900" dirty="0">
                    <a:solidFill>
                      <a:sysClr val="windowText" lastClr="000000"/>
                    </a:solidFill>
                  </a:rPr>
                  <a:t>m</a:t>
                </a:r>
                <a:r>
                  <a:rPr lang="cs-CZ" sz="900" dirty="0" smtClean="0">
                    <a:solidFill>
                      <a:sysClr val="windowText" lastClr="000000"/>
                    </a:solidFill>
                  </a:rPr>
                  <a:t>íra </a:t>
                </a:r>
                <a:r>
                  <a:rPr lang="cs-CZ" sz="900" dirty="0">
                    <a:solidFill>
                      <a:sysClr val="windowText" lastClr="000000"/>
                    </a:solidFill>
                  </a:rPr>
                  <a:t>materiální a sociální deprivace (%)</a:t>
                </a:r>
              </a:p>
            </c:rich>
          </c:tx>
          <c:layout>
            <c:manualLayout>
              <c:xMode val="edge"/>
              <c:yMode val="edge"/>
              <c:x val="1.0166248513312904E-2"/>
              <c:y val="1.9765395146341045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title>
        <c:numFmt formatCode="0" sourceLinked="0"/>
        <c:majorTickMark val="out"/>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1938816864"/>
        <c:crosses val="autoZero"/>
        <c:crossBetween val="between"/>
      </c:valAx>
      <c:spPr>
        <a:noFill/>
        <a:ln>
          <a:noFill/>
        </a:ln>
        <a:effectLst/>
      </c:spPr>
    </c:plotArea>
    <c:legend>
      <c:legendPos val="b"/>
      <c:layout>
        <c:manualLayout>
          <c:xMode val="edge"/>
          <c:yMode val="edge"/>
          <c:x val="0.21452204637595607"/>
          <c:y val="0.92737184795075012"/>
          <c:w val="0.51131271215133389"/>
          <c:h val="7.262815204924988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ČSÚ">
    <a:dk1>
      <a:sysClr val="windowText" lastClr="000000"/>
    </a:dk1>
    <a:lt1>
      <a:sysClr val="window" lastClr="FFFFFF"/>
    </a:lt1>
    <a:dk2>
      <a:srgbClr val="747678"/>
    </a:dk2>
    <a:lt2>
      <a:srgbClr val="DCDCDC"/>
    </a:lt2>
    <a:accent1>
      <a:srgbClr val="0071BC"/>
    </a:accent1>
    <a:accent2>
      <a:srgbClr val="BC091B"/>
    </a:accent2>
    <a:accent3>
      <a:srgbClr val="84878B"/>
    </a:accent3>
    <a:accent4>
      <a:srgbClr val="B5852B"/>
    </a:accent4>
    <a:accent5>
      <a:srgbClr val="AA4F7A"/>
    </a:accent5>
    <a:accent6>
      <a:srgbClr val="5D9D4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otiv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ČSÚ">
    <a:dk1>
      <a:sysClr val="windowText" lastClr="000000"/>
    </a:dk1>
    <a:lt1>
      <a:sysClr val="window" lastClr="FFFFFF"/>
    </a:lt1>
    <a:dk2>
      <a:srgbClr val="747678"/>
    </a:dk2>
    <a:lt2>
      <a:srgbClr val="DCDCDC"/>
    </a:lt2>
    <a:accent1>
      <a:srgbClr val="0071BC"/>
    </a:accent1>
    <a:accent2>
      <a:srgbClr val="BC091B"/>
    </a:accent2>
    <a:accent3>
      <a:srgbClr val="84878B"/>
    </a:accent3>
    <a:accent4>
      <a:srgbClr val="B5852B"/>
    </a:accent4>
    <a:accent5>
      <a:srgbClr val="AA4F7A"/>
    </a:accent5>
    <a:accent6>
      <a:srgbClr val="5D9D4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otiv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4" ma:contentTypeDescription="Vytvoří nový dokument" ma:contentTypeScope="" ma:versionID="38b78e38c05c9c65d8c8188cfb59c0b8">
  <xsd:schema xmlns:xsd="http://www.w3.org/2001/XMLSchema" xmlns:xs="http://www.w3.org/2001/XMLSchema" xmlns:p="http://schemas.microsoft.com/office/2006/metadata/properties" xmlns:ns2="6f5a4aca-455c-4012-a902-4d97d6c174df" targetNamespace="http://schemas.microsoft.com/office/2006/metadata/properties" ma:root="true" ma:fieldsID="cc0b9f12064dfd5747374f588f0c5227"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0A6E2-44D3-45DE-AAA5-CAE035EADA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785E02-F239-489D-8E49-92C93A2E9350}">
  <ds:schemaRefs>
    <ds:schemaRef ds:uri="http://schemas.microsoft.com/sharepoint/v3/contenttype/forms"/>
  </ds:schemaRefs>
</ds:datastoreItem>
</file>

<file path=customXml/itemProps3.xml><?xml version="1.0" encoding="utf-8"?>
<ds:datastoreItem xmlns:ds="http://schemas.openxmlformats.org/officeDocument/2006/customXml" ds:itemID="{F2571A49-BFF7-4956-94B0-FBF56CA30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a4aca-455c-4012-a902-4d97d6c17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28944D-3C37-460F-8885-DFB72B904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16</Pages>
  <Words>3380</Words>
  <Characters>19948</Characters>
  <Application>Microsoft Office Word</Application>
  <DocSecurity>0</DocSecurity>
  <Lines>166</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Vážení,</vt:lpstr>
      <vt:lpstr>Vážení,</vt:lpstr>
    </vt:vector>
  </TitlesOfParts>
  <Company>VŠE</Company>
  <LinksUpToDate>false</LinksUpToDate>
  <CharactersWithSpaces>23282</CharactersWithSpaces>
  <SharedDoc>false</SharedDoc>
  <HLinks>
    <vt:vector size="6" baseType="variant">
      <vt:variant>
        <vt:i4>131166</vt:i4>
      </vt:variant>
      <vt:variant>
        <vt:i4>69</vt:i4>
      </vt:variant>
      <vt:variant>
        <vt:i4>0</vt:i4>
      </vt:variant>
      <vt:variant>
        <vt:i4>5</vt:i4>
      </vt:variant>
      <vt:variant>
        <vt:lpwstr>https://www.czso.cz/csu/czso/prijmy-a-zivotni-podminky-domacnosti-rn2to6gtkz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Vážení,</dc:title>
  <dc:creator>Martina Šimková</dc:creator>
  <cp:lastModifiedBy>TD</cp:lastModifiedBy>
  <cp:revision>13</cp:revision>
  <cp:lastPrinted>2023-01-31T07:55:00Z</cp:lastPrinted>
  <dcterms:created xsi:type="dcterms:W3CDTF">2025-03-04T14:22:00Z</dcterms:created>
  <dcterms:modified xsi:type="dcterms:W3CDTF">2025-03-05T08:13:00Z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ies>
</file>