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D8B" w:rsidRDefault="00267D8B">
      <w:pPr>
        <w:pStyle w:val="Nadpis1"/>
        <w:rPr>
          <w:caps/>
        </w:rPr>
      </w:pPr>
      <w:r>
        <w:rPr>
          <w:caps/>
        </w:rPr>
        <w:t>Poznámky k elektronické formě pramenného díla</w:t>
      </w:r>
    </w:p>
    <w:p w:rsidR="00203AFF" w:rsidRDefault="00203AFF">
      <w:pPr>
        <w:ind w:firstLine="709"/>
        <w:jc w:val="both"/>
        <w:rPr>
          <w:rFonts w:ascii="Arial" w:hAnsi="Arial" w:cs="Arial"/>
          <w:sz w:val="20"/>
          <w:szCs w:val="20"/>
        </w:rPr>
      </w:pPr>
    </w:p>
    <w:p w:rsidR="00141B6F" w:rsidRDefault="00141B6F">
      <w:pPr>
        <w:ind w:firstLine="709"/>
        <w:jc w:val="both"/>
        <w:rPr>
          <w:rFonts w:ascii="Arial" w:hAnsi="Arial" w:cs="Arial"/>
          <w:sz w:val="20"/>
          <w:szCs w:val="20"/>
        </w:rPr>
      </w:pPr>
      <w:r w:rsidRPr="00141B6F">
        <w:rPr>
          <w:rFonts w:ascii="Arial" w:hAnsi="Arial" w:cs="Arial"/>
          <w:sz w:val="20"/>
          <w:szCs w:val="20"/>
        </w:rPr>
        <w:t>Základem pro označení souborů v elektronické podobě byl stav označení jednotlivých oddílů PD v roce 1991 (počátek převodu historických PD do elektronické formy), který odpovídá současné identifikaci. Důvodem bylo zachování kontinuity označování souborů (např. pod písmenem „g“ vždy najdeme zemřelé podle příčiny smrti bez ohledu na rok vydání demografické ročenky), protože se po dobu vydávání PD měnilo označení a zařazení jednotlivých oddílů, přibývaly nové oddíly. Pro označení samotných tabulek však byla zachována historická identifikace (ulehčení hledání v tištěném PD), čímž se vysvětluje rozpor mezi označením souboru a samotné tabulky.</w:t>
      </w:r>
      <w:r w:rsidR="00B34B44">
        <w:rPr>
          <w:rFonts w:ascii="Arial" w:hAnsi="Arial" w:cs="Arial"/>
          <w:sz w:val="20"/>
          <w:szCs w:val="20"/>
        </w:rPr>
        <w:t xml:space="preserve"> </w:t>
      </w:r>
    </w:p>
    <w:p w:rsidR="00DC6B9F" w:rsidRDefault="00DC6B9F" w:rsidP="00DC6B9F">
      <w:pPr>
        <w:ind w:firstLine="709"/>
        <w:jc w:val="both"/>
        <w:rPr>
          <w:rFonts w:ascii="Arial" w:hAnsi="Arial" w:cs="Arial"/>
          <w:sz w:val="20"/>
          <w:szCs w:val="20"/>
        </w:rPr>
      </w:pPr>
      <w:r>
        <w:rPr>
          <w:rFonts w:ascii="Arial" w:hAnsi="Arial" w:cs="Arial"/>
          <w:sz w:val="20"/>
          <w:szCs w:val="20"/>
        </w:rPr>
        <w:t>Svazek 1</w:t>
      </w:r>
      <w:r w:rsidR="00324C92">
        <w:rPr>
          <w:rFonts w:ascii="Arial" w:hAnsi="Arial" w:cs="Arial"/>
          <w:sz w:val="20"/>
          <w:szCs w:val="20"/>
        </w:rPr>
        <w:t>45</w:t>
      </w:r>
      <w:r>
        <w:rPr>
          <w:rFonts w:ascii="Arial" w:hAnsi="Arial" w:cs="Arial"/>
          <w:sz w:val="20"/>
          <w:szCs w:val="20"/>
        </w:rPr>
        <w:t xml:space="preserve"> Pramenného díla obsahuje demografická data za roky 193</w:t>
      </w:r>
      <w:r w:rsidR="00324C92">
        <w:rPr>
          <w:rFonts w:ascii="Arial" w:hAnsi="Arial" w:cs="Arial"/>
          <w:sz w:val="20"/>
          <w:szCs w:val="20"/>
        </w:rPr>
        <w:t>1</w:t>
      </w:r>
      <w:r>
        <w:rPr>
          <w:rFonts w:ascii="Arial" w:hAnsi="Arial" w:cs="Arial"/>
          <w:sz w:val="20"/>
          <w:szCs w:val="20"/>
        </w:rPr>
        <w:t>-19</w:t>
      </w:r>
      <w:r w:rsidR="004C65BB">
        <w:rPr>
          <w:rFonts w:ascii="Arial" w:hAnsi="Arial" w:cs="Arial"/>
          <w:sz w:val="20"/>
          <w:szCs w:val="20"/>
        </w:rPr>
        <w:t>3</w:t>
      </w:r>
      <w:r w:rsidR="00324C92">
        <w:rPr>
          <w:rFonts w:ascii="Arial" w:hAnsi="Arial" w:cs="Arial"/>
          <w:sz w:val="20"/>
          <w:szCs w:val="20"/>
        </w:rPr>
        <w:t>3</w:t>
      </w:r>
      <w:r>
        <w:rPr>
          <w:rFonts w:ascii="Arial" w:hAnsi="Arial" w:cs="Arial"/>
          <w:sz w:val="20"/>
          <w:szCs w:val="20"/>
        </w:rPr>
        <w:t xml:space="preserve"> dohromady. V elektronické podobě jsou údaje separovány vždy podle jednotlivých roků (193</w:t>
      </w:r>
      <w:r w:rsidR="00324C92">
        <w:rPr>
          <w:rFonts w:ascii="Arial" w:hAnsi="Arial" w:cs="Arial"/>
          <w:sz w:val="20"/>
          <w:szCs w:val="20"/>
        </w:rPr>
        <w:t>1</w:t>
      </w:r>
      <w:r>
        <w:rPr>
          <w:rFonts w:ascii="Arial" w:hAnsi="Arial" w:cs="Arial"/>
          <w:sz w:val="20"/>
          <w:szCs w:val="20"/>
        </w:rPr>
        <w:t>, 193</w:t>
      </w:r>
      <w:r w:rsidR="00324C92">
        <w:rPr>
          <w:rFonts w:ascii="Arial" w:hAnsi="Arial" w:cs="Arial"/>
          <w:sz w:val="20"/>
          <w:szCs w:val="20"/>
        </w:rPr>
        <w:t>2</w:t>
      </w:r>
      <w:r>
        <w:rPr>
          <w:rFonts w:ascii="Arial" w:hAnsi="Arial" w:cs="Arial"/>
          <w:sz w:val="20"/>
          <w:szCs w:val="20"/>
        </w:rPr>
        <w:t>, 19</w:t>
      </w:r>
      <w:r w:rsidR="004C65BB">
        <w:rPr>
          <w:rFonts w:ascii="Arial" w:hAnsi="Arial" w:cs="Arial"/>
          <w:sz w:val="20"/>
          <w:szCs w:val="20"/>
        </w:rPr>
        <w:t>3</w:t>
      </w:r>
      <w:r w:rsidR="00324C92">
        <w:rPr>
          <w:rFonts w:ascii="Arial" w:hAnsi="Arial" w:cs="Arial"/>
          <w:sz w:val="20"/>
          <w:szCs w:val="20"/>
        </w:rPr>
        <w:t>3</w:t>
      </w:r>
      <w:r>
        <w:rPr>
          <w:rFonts w:ascii="Arial" w:hAnsi="Arial" w:cs="Arial"/>
          <w:sz w:val="20"/>
          <w:szCs w:val="20"/>
        </w:rPr>
        <w:t xml:space="preserve">). </w:t>
      </w:r>
      <w:r w:rsidR="0071218B">
        <w:rPr>
          <w:rFonts w:ascii="Arial" w:hAnsi="Arial" w:cs="Arial"/>
          <w:sz w:val="20"/>
          <w:szCs w:val="20"/>
        </w:rPr>
        <w:t xml:space="preserve">Části tabulek, které z úsporných důvodů byly uváděny v PD pouze v souhrnu za 3 roky, jsou opakovaně připojovány k tabulkám za jednotlivé roky. </w:t>
      </w:r>
    </w:p>
    <w:p w:rsidR="00141B6F" w:rsidRDefault="004F22B4" w:rsidP="00141B6F">
      <w:pPr>
        <w:ind w:firstLine="709"/>
        <w:jc w:val="both"/>
        <w:rPr>
          <w:rFonts w:ascii="Arial" w:hAnsi="Arial" w:cs="Arial"/>
          <w:sz w:val="20"/>
          <w:szCs w:val="24"/>
        </w:rPr>
      </w:pPr>
      <w:r>
        <w:rPr>
          <w:rFonts w:ascii="Arial" w:hAnsi="Arial" w:cs="Arial"/>
          <w:sz w:val="20"/>
          <w:szCs w:val="24"/>
        </w:rPr>
        <w:t xml:space="preserve">V elektronické podobě se při větším množství poznámek používá „komentář“ </w:t>
      </w:r>
      <w:r w:rsidR="009822B4">
        <w:rPr>
          <w:rFonts w:ascii="Arial" w:hAnsi="Arial" w:cs="Arial"/>
          <w:sz w:val="20"/>
          <w:szCs w:val="24"/>
        </w:rPr>
        <w:t>označený</w:t>
      </w:r>
      <w:r>
        <w:rPr>
          <w:rFonts w:ascii="Arial" w:hAnsi="Arial" w:cs="Arial"/>
          <w:sz w:val="20"/>
          <w:szCs w:val="24"/>
        </w:rPr>
        <w:t xml:space="preserve"> červeným trojúhelníkem v pravém horním rohu buňky.</w:t>
      </w:r>
      <w:r w:rsidR="00141B6F" w:rsidRPr="00141B6F">
        <w:rPr>
          <w:rFonts w:ascii="Arial" w:hAnsi="Arial" w:cs="Arial"/>
          <w:sz w:val="20"/>
          <w:szCs w:val="24"/>
        </w:rPr>
        <w:t xml:space="preserve"> </w:t>
      </w:r>
    </w:p>
    <w:p w:rsidR="00141B6F" w:rsidRDefault="00141B6F" w:rsidP="00141B6F">
      <w:pPr>
        <w:ind w:firstLine="709"/>
        <w:jc w:val="both"/>
        <w:rPr>
          <w:rFonts w:ascii="Arial" w:hAnsi="Arial" w:cs="Arial"/>
          <w:sz w:val="20"/>
          <w:szCs w:val="24"/>
        </w:rPr>
      </w:pPr>
      <w:r w:rsidRPr="004A1532">
        <w:rPr>
          <w:rFonts w:ascii="Arial" w:hAnsi="Arial" w:cs="Arial"/>
          <w:sz w:val="20"/>
          <w:szCs w:val="24"/>
        </w:rPr>
        <w:t xml:space="preserve">Proloženým písmem pod tabulkou je </w:t>
      </w:r>
      <w:r w:rsidR="00360AB2">
        <w:rPr>
          <w:rFonts w:ascii="Arial" w:hAnsi="Arial" w:cs="Arial"/>
          <w:sz w:val="20"/>
          <w:szCs w:val="24"/>
        </w:rPr>
        <w:t>číslo stra</w:t>
      </w:r>
      <w:r w:rsidRPr="004A1532">
        <w:rPr>
          <w:rFonts w:ascii="Arial" w:hAnsi="Arial" w:cs="Arial"/>
          <w:sz w:val="20"/>
          <w:szCs w:val="24"/>
        </w:rPr>
        <w:t>n</w:t>
      </w:r>
      <w:r w:rsidR="00360AB2">
        <w:rPr>
          <w:rFonts w:ascii="Arial" w:hAnsi="Arial" w:cs="Arial"/>
          <w:sz w:val="20"/>
          <w:szCs w:val="24"/>
        </w:rPr>
        <w:t>y</w:t>
      </w:r>
      <w:r w:rsidRPr="004A1532">
        <w:rPr>
          <w:rFonts w:ascii="Arial" w:hAnsi="Arial" w:cs="Arial"/>
          <w:sz w:val="20"/>
          <w:szCs w:val="24"/>
        </w:rPr>
        <w:t>, na které je tabulka uvedena v tištěném pramenném díle.</w:t>
      </w:r>
    </w:p>
    <w:p w:rsidR="00A745ED" w:rsidRDefault="007D3EB5" w:rsidP="00141B6F">
      <w:pPr>
        <w:ind w:firstLine="709"/>
        <w:jc w:val="both"/>
        <w:rPr>
          <w:rFonts w:ascii="Arial" w:hAnsi="Arial" w:cs="Arial"/>
          <w:sz w:val="20"/>
          <w:szCs w:val="24"/>
        </w:rPr>
      </w:pPr>
      <w:r>
        <w:rPr>
          <w:rFonts w:ascii="Arial" w:hAnsi="Arial" w:cs="Arial"/>
          <w:sz w:val="20"/>
          <w:szCs w:val="24"/>
        </w:rPr>
        <w:t xml:space="preserve">Tabulky </w:t>
      </w:r>
      <w:proofErr w:type="gramStart"/>
      <w:r>
        <w:rPr>
          <w:rFonts w:ascii="Arial" w:hAnsi="Arial" w:cs="Arial"/>
          <w:sz w:val="20"/>
          <w:szCs w:val="24"/>
        </w:rPr>
        <w:t>A.I.</w:t>
      </w:r>
      <w:proofErr w:type="gramEnd"/>
      <w:r>
        <w:rPr>
          <w:rFonts w:ascii="Arial" w:hAnsi="Arial" w:cs="Arial"/>
          <w:sz w:val="20"/>
          <w:szCs w:val="24"/>
        </w:rPr>
        <w:t xml:space="preserve"> Přehled přirozené měny obyvatelstva v číslech absolutních a </w:t>
      </w:r>
      <w:proofErr w:type="gramStart"/>
      <w:r>
        <w:rPr>
          <w:rFonts w:ascii="Arial" w:hAnsi="Arial" w:cs="Arial"/>
          <w:sz w:val="20"/>
          <w:szCs w:val="24"/>
        </w:rPr>
        <w:t>A.II</w:t>
      </w:r>
      <w:proofErr w:type="gramEnd"/>
      <w:r>
        <w:rPr>
          <w:rFonts w:ascii="Arial" w:hAnsi="Arial" w:cs="Arial"/>
          <w:sz w:val="20"/>
          <w:szCs w:val="24"/>
        </w:rPr>
        <w:t xml:space="preserve">. Přehled přirozené měny obyvatelstva v číslech poměrných jsou spojeny do jedné tabulky </w:t>
      </w:r>
      <w:proofErr w:type="gramStart"/>
      <w:r>
        <w:rPr>
          <w:rFonts w:ascii="Arial" w:hAnsi="Arial" w:cs="Arial"/>
          <w:sz w:val="20"/>
          <w:szCs w:val="24"/>
        </w:rPr>
        <w:t>A.I.</w:t>
      </w:r>
      <w:proofErr w:type="gramEnd"/>
      <w:r>
        <w:rPr>
          <w:rFonts w:ascii="Arial" w:hAnsi="Arial" w:cs="Arial"/>
          <w:sz w:val="20"/>
          <w:szCs w:val="24"/>
        </w:rPr>
        <w:t xml:space="preserve"> Přehled přirozené měny obyvatelstva v číslech absolutních a poměrných.</w:t>
      </w:r>
    </w:p>
    <w:p w:rsidR="007D3EB5" w:rsidRDefault="007D3EB5" w:rsidP="00141B6F">
      <w:pPr>
        <w:ind w:firstLine="709"/>
        <w:jc w:val="both"/>
        <w:rPr>
          <w:rFonts w:ascii="Arial" w:hAnsi="Arial" w:cs="Arial"/>
          <w:sz w:val="20"/>
          <w:szCs w:val="24"/>
        </w:rPr>
      </w:pPr>
      <w:proofErr w:type="gramStart"/>
      <w:r>
        <w:rPr>
          <w:rFonts w:ascii="Arial" w:hAnsi="Arial" w:cs="Arial"/>
          <w:sz w:val="20"/>
          <w:szCs w:val="24"/>
        </w:rPr>
        <w:t>Tabulky B.I.</w:t>
      </w:r>
      <w:proofErr w:type="gramEnd"/>
      <w:r>
        <w:rPr>
          <w:rFonts w:ascii="Arial" w:hAnsi="Arial" w:cs="Arial"/>
          <w:sz w:val="20"/>
          <w:szCs w:val="24"/>
        </w:rPr>
        <w:t xml:space="preserve"> </w:t>
      </w:r>
      <w:r w:rsidR="003D1B1A" w:rsidRPr="003D1B1A">
        <w:rPr>
          <w:rFonts w:ascii="Arial" w:hAnsi="Arial" w:cs="Arial"/>
          <w:sz w:val="20"/>
          <w:szCs w:val="24"/>
        </w:rPr>
        <w:t xml:space="preserve">Věk ženichův podle posledního bydliště </w:t>
      </w:r>
      <w:proofErr w:type="gramStart"/>
      <w:r w:rsidR="003D1B1A" w:rsidRPr="003D1B1A">
        <w:rPr>
          <w:rFonts w:ascii="Arial" w:hAnsi="Arial" w:cs="Arial"/>
          <w:sz w:val="20"/>
          <w:szCs w:val="24"/>
        </w:rPr>
        <w:t>nevěstina</w:t>
      </w:r>
      <w:r w:rsidR="003D1B1A">
        <w:rPr>
          <w:rFonts w:ascii="Arial" w:hAnsi="Arial" w:cs="Arial"/>
          <w:sz w:val="20"/>
          <w:szCs w:val="24"/>
        </w:rPr>
        <w:t xml:space="preserve"> </w:t>
      </w:r>
      <w:r>
        <w:rPr>
          <w:rFonts w:ascii="Arial" w:hAnsi="Arial" w:cs="Arial"/>
          <w:sz w:val="20"/>
          <w:szCs w:val="24"/>
        </w:rPr>
        <w:t>a B.II</w:t>
      </w:r>
      <w:proofErr w:type="gramEnd"/>
      <w:r>
        <w:rPr>
          <w:rFonts w:ascii="Arial" w:hAnsi="Arial" w:cs="Arial"/>
          <w:sz w:val="20"/>
          <w:szCs w:val="24"/>
        </w:rPr>
        <w:t xml:space="preserve">. </w:t>
      </w:r>
      <w:r w:rsidR="003D1B1A" w:rsidRPr="003D1B1A">
        <w:rPr>
          <w:rFonts w:ascii="Arial" w:hAnsi="Arial" w:cs="Arial"/>
          <w:sz w:val="20"/>
          <w:szCs w:val="24"/>
        </w:rPr>
        <w:t xml:space="preserve">Věk nevěstin podle posledního bydliště </w:t>
      </w:r>
      <w:r>
        <w:rPr>
          <w:rFonts w:ascii="Arial" w:hAnsi="Arial" w:cs="Arial"/>
          <w:sz w:val="20"/>
          <w:szCs w:val="24"/>
        </w:rPr>
        <w:t xml:space="preserve">jsou spojeny do jedné </w:t>
      </w:r>
      <w:proofErr w:type="gramStart"/>
      <w:r>
        <w:rPr>
          <w:rFonts w:ascii="Arial" w:hAnsi="Arial" w:cs="Arial"/>
          <w:sz w:val="20"/>
          <w:szCs w:val="24"/>
        </w:rPr>
        <w:t xml:space="preserve">tabulky </w:t>
      </w:r>
      <w:r w:rsidR="003D1B1A">
        <w:rPr>
          <w:rFonts w:ascii="Arial" w:hAnsi="Arial" w:cs="Arial"/>
          <w:sz w:val="20"/>
          <w:szCs w:val="24"/>
        </w:rPr>
        <w:t>B</w:t>
      </w:r>
      <w:r>
        <w:rPr>
          <w:rFonts w:ascii="Arial" w:hAnsi="Arial" w:cs="Arial"/>
          <w:sz w:val="20"/>
          <w:szCs w:val="24"/>
        </w:rPr>
        <w:t>.I.</w:t>
      </w:r>
      <w:proofErr w:type="gramEnd"/>
      <w:r>
        <w:rPr>
          <w:rFonts w:ascii="Arial" w:hAnsi="Arial" w:cs="Arial"/>
          <w:sz w:val="20"/>
          <w:szCs w:val="24"/>
        </w:rPr>
        <w:t xml:space="preserve"> </w:t>
      </w:r>
      <w:r w:rsidR="003D1B1A" w:rsidRPr="003D1B1A">
        <w:rPr>
          <w:rFonts w:ascii="Arial" w:hAnsi="Arial" w:cs="Arial"/>
          <w:sz w:val="20"/>
          <w:szCs w:val="24"/>
        </w:rPr>
        <w:t>Věk ženichův a nevěstin podle posledního bydliště nevěstina</w:t>
      </w:r>
      <w:r w:rsidR="00360AB2">
        <w:rPr>
          <w:rFonts w:ascii="Arial" w:hAnsi="Arial" w:cs="Arial"/>
          <w:sz w:val="20"/>
          <w:szCs w:val="24"/>
        </w:rPr>
        <w:t>,</w:t>
      </w:r>
      <w:r w:rsidR="003D1B1A">
        <w:rPr>
          <w:rFonts w:ascii="Arial" w:hAnsi="Arial" w:cs="Arial"/>
          <w:sz w:val="20"/>
          <w:szCs w:val="24"/>
        </w:rPr>
        <w:t xml:space="preserve"> jak </w:t>
      </w:r>
      <w:r w:rsidR="00360AB2">
        <w:rPr>
          <w:rFonts w:ascii="Arial" w:hAnsi="Arial" w:cs="Arial"/>
          <w:sz w:val="20"/>
          <w:szCs w:val="24"/>
        </w:rPr>
        <w:t xml:space="preserve">je </w:t>
      </w:r>
      <w:r w:rsidR="003D1B1A">
        <w:rPr>
          <w:rFonts w:ascii="Arial" w:hAnsi="Arial" w:cs="Arial"/>
          <w:sz w:val="20"/>
          <w:szCs w:val="24"/>
        </w:rPr>
        <w:t>tomu v PD pozdějších let</w:t>
      </w:r>
      <w:r>
        <w:rPr>
          <w:rFonts w:ascii="Arial" w:hAnsi="Arial" w:cs="Arial"/>
          <w:sz w:val="20"/>
          <w:szCs w:val="24"/>
        </w:rPr>
        <w:t>.</w:t>
      </w:r>
    </w:p>
    <w:p w:rsidR="005F65F4" w:rsidRDefault="008F28A4" w:rsidP="005F65F4">
      <w:pPr>
        <w:pStyle w:val="Zkladntext"/>
        <w:ind w:firstLine="708"/>
      </w:pPr>
      <w:proofErr w:type="gramStart"/>
      <w:r w:rsidRPr="00F46BBE">
        <w:t xml:space="preserve">Tabulka </w:t>
      </w:r>
      <w:r w:rsidR="00660320">
        <w:t>D</w:t>
      </w:r>
      <w:r>
        <w:t>.</w:t>
      </w:r>
      <w:r w:rsidR="000C5A5D">
        <w:t>III</w:t>
      </w:r>
      <w:proofErr w:type="gramEnd"/>
      <w:r>
        <w:t>.</w:t>
      </w:r>
      <w:r w:rsidRPr="00F46BBE">
        <w:t xml:space="preserve"> Zemřelí v roce 19</w:t>
      </w:r>
      <w:r w:rsidR="004C4184">
        <w:t>3</w:t>
      </w:r>
      <w:r w:rsidR="00324C92">
        <w:t>3</w:t>
      </w:r>
      <w:r w:rsidRPr="00F46BBE">
        <w:t xml:space="preserve"> podle „Podrobného seznamu“ příči</w:t>
      </w:r>
      <w:r w:rsidR="00456688">
        <w:t>n</w:t>
      </w:r>
      <w:r w:rsidRPr="00F46BBE">
        <w:t xml:space="preserve"> smrti (19</w:t>
      </w:r>
      <w:r w:rsidR="00E2141B">
        <w:t>29</w:t>
      </w:r>
      <w:r w:rsidRPr="00F46BBE">
        <w:t xml:space="preserve">), věkových skupin a pohlaví </w:t>
      </w:r>
      <w:r w:rsidR="000C5A5D">
        <w:t>(soubor 4019</w:t>
      </w:r>
      <w:r w:rsidR="004C4184">
        <w:t>3</w:t>
      </w:r>
      <w:r w:rsidR="00324C92">
        <w:t>3</w:t>
      </w:r>
      <w:r w:rsidR="000C5A5D">
        <w:t>g02)</w:t>
      </w:r>
      <w:r w:rsidRPr="00F46BBE">
        <w:t xml:space="preserve"> se v elektronické formě PD po</w:t>
      </w:r>
      <w:r w:rsidR="00CF0406">
        <w:t xml:space="preserve"> formální stránce mírně liší od </w:t>
      </w:r>
      <w:r w:rsidRPr="00F46BBE">
        <w:t>podoby, jak byla uvedena v tištěném pramenném díle.</w:t>
      </w:r>
      <w:r w:rsidR="002E1BB4" w:rsidRPr="002E1BB4">
        <w:t xml:space="preserve"> </w:t>
      </w:r>
      <w:r w:rsidR="002E1BB4">
        <w:t>Data v původním PD jsou odděleně za Čechy a Moravu, v digitalizované formě jsou za celé území Čech a Moravy dohromady.</w:t>
      </w:r>
      <w:r w:rsidR="002E1BB4" w:rsidRPr="00F46BBE">
        <w:t xml:space="preserve"> </w:t>
      </w:r>
      <w:r w:rsidRPr="00F46BBE">
        <w:t>Protože se jedná o mimořádně rozsáhlou tabulku</w:t>
      </w:r>
      <w:r>
        <w:t>,</w:t>
      </w:r>
      <w:r w:rsidRPr="00F46BBE">
        <w:t xml:space="preserve"> bylo využito podkladů zpracovaných pro publikaci e-4017-07 Zemřelí podle podrobného seznamu příčin smrti, pohlaví a věku v ČR (1919 až 2006)</w:t>
      </w:r>
    </w:p>
    <w:p w:rsidR="008F28A4" w:rsidRDefault="008F28A4" w:rsidP="005F65F4">
      <w:pPr>
        <w:pStyle w:val="Zkladntext"/>
        <w:ind w:firstLine="708"/>
      </w:pPr>
      <w:r w:rsidRPr="00F46BBE">
        <w:t xml:space="preserve"> </w:t>
      </w:r>
      <w:hyperlink r:id="rId7" w:history="1">
        <w:r w:rsidRPr="0070449E">
          <w:rPr>
            <w:rStyle w:val="Hypertextovodkaz"/>
          </w:rPr>
          <w:t>http://www.czso.cz/csu/2007edicniplan.nsf/p/4017-07</w:t>
        </w:r>
      </w:hyperlink>
      <w:r>
        <w:t>.</w:t>
      </w:r>
    </w:p>
    <w:p w:rsidR="00267D8B" w:rsidRDefault="00267D8B">
      <w:pPr>
        <w:ind w:firstLine="709"/>
        <w:jc w:val="both"/>
        <w:rPr>
          <w:rFonts w:ascii="Arial" w:hAnsi="Arial" w:cs="Arial"/>
          <w:sz w:val="20"/>
          <w:szCs w:val="24"/>
        </w:rPr>
      </w:pPr>
      <w:r w:rsidRPr="004A1532">
        <w:rPr>
          <w:rFonts w:ascii="Arial" w:hAnsi="Arial" w:cs="Arial"/>
          <w:sz w:val="20"/>
          <w:szCs w:val="24"/>
        </w:rPr>
        <w:t xml:space="preserve">Oproti PD v tištěné formě je v elektronické formě používáno současné označování věkových nebo velikostních intervalů. Změna se týká prvních intervalů. Např. věkový interval uváděný v PD v tištěné podobě jako „-15“ (přičemž druhý interval je uváděn jako </w:t>
      </w:r>
      <w:r w:rsidR="00B40092">
        <w:rPr>
          <w:rFonts w:ascii="Arial" w:hAnsi="Arial" w:cs="Arial"/>
          <w:sz w:val="20"/>
          <w:szCs w:val="24"/>
        </w:rPr>
        <w:t>„</w:t>
      </w:r>
      <w:r w:rsidRPr="004A1532">
        <w:rPr>
          <w:rFonts w:ascii="Arial" w:hAnsi="Arial" w:cs="Arial"/>
          <w:sz w:val="20"/>
          <w:szCs w:val="24"/>
        </w:rPr>
        <w:t>15-19</w:t>
      </w:r>
      <w:r w:rsidR="00B40092">
        <w:rPr>
          <w:rFonts w:ascii="Arial" w:hAnsi="Arial" w:cs="Arial"/>
          <w:sz w:val="20"/>
          <w:szCs w:val="24"/>
        </w:rPr>
        <w:t>“</w:t>
      </w:r>
      <w:r w:rsidRPr="004A1532">
        <w:rPr>
          <w:rFonts w:ascii="Arial" w:hAnsi="Arial" w:cs="Arial"/>
          <w:sz w:val="20"/>
          <w:szCs w:val="24"/>
        </w:rPr>
        <w:t>) je v elektronické podobě PD označen jako „-14“ (a</w:t>
      </w:r>
      <w:r w:rsidR="004A1532">
        <w:rPr>
          <w:rFonts w:ascii="Arial" w:hAnsi="Arial" w:cs="Arial"/>
          <w:sz w:val="20"/>
          <w:szCs w:val="24"/>
        </w:rPr>
        <w:t> </w:t>
      </w:r>
      <w:r w:rsidRPr="004A1532">
        <w:rPr>
          <w:rFonts w:ascii="Arial" w:hAnsi="Arial" w:cs="Arial"/>
          <w:sz w:val="20"/>
          <w:szCs w:val="24"/>
        </w:rPr>
        <w:t xml:space="preserve">druhý a další intervaly již zůstávají shodné s tištěnou formou PD, to je „15-19“, atd.“). </w:t>
      </w:r>
    </w:p>
    <w:p w:rsidR="00267D8B" w:rsidRPr="004A1532" w:rsidRDefault="00267D8B">
      <w:pPr>
        <w:ind w:firstLine="709"/>
        <w:jc w:val="both"/>
        <w:rPr>
          <w:rFonts w:ascii="Arial" w:hAnsi="Arial" w:cs="Arial"/>
          <w:sz w:val="20"/>
          <w:szCs w:val="24"/>
        </w:rPr>
      </w:pPr>
      <w:r w:rsidRPr="004A1532">
        <w:rPr>
          <w:rFonts w:ascii="Arial" w:hAnsi="Arial" w:cs="Arial"/>
          <w:sz w:val="20"/>
          <w:szCs w:val="24"/>
        </w:rPr>
        <w:t>V tištěné formě PD není tam, kde zápis není možný z logických důvodů, používána značka „</w:t>
      </w:r>
      <w:r w:rsidR="00203AFF">
        <w:rPr>
          <w:rFonts w:ascii="Arial" w:hAnsi="Arial" w:cs="Arial"/>
          <w:sz w:val="20"/>
          <w:szCs w:val="24"/>
        </w:rPr>
        <w:t>x“, ale </w:t>
      </w:r>
      <w:r w:rsidRPr="004A1532">
        <w:rPr>
          <w:rFonts w:ascii="Arial" w:hAnsi="Arial" w:cs="Arial"/>
          <w:sz w:val="20"/>
          <w:szCs w:val="24"/>
        </w:rPr>
        <w:t xml:space="preserve">značka „-„ nebo „.“. V elektronické formě PD je v souladu se současnými pravidly v těchto případech uváděna značka „x“. </w:t>
      </w:r>
      <w:r w:rsidR="007661E5">
        <w:rPr>
          <w:rFonts w:ascii="Arial" w:hAnsi="Arial" w:cs="Arial"/>
          <w:sz w:val="20"/>
          <w:szCs w:val="24"/>
        </w:rPr>
        <w:t>Zároveň jsou výrazy</w:t>
      </w:r>
      <w:r w:rsidR="00670C24">
        <w:rPr>
          <w:rFonts w:ascii="Arial" w:hAnsi="Arial" w:cs="Arial"/>
          <w:sz w:val="20"/>
          <w:szCs w:val="24"/>
        </w:rPr>
        <w:t xml:space="preserve"> </w:t>
      </w:r>
      <w:r w:rsidR="007661E5">
        <w:rPr>
          <w:rFonts w:ascii="Arial" w:hAnsi="Arial" w:cs="Arial"/>
          <w:sz w:val="20"/>
          <w:szCs w:val="24"/>
        </w:rPr>
        <w:t xml:space="preserve">„z toho“ a „v </w:t>
      </w:r>
      <w:r w:rsidR="00906093">
        <w:rPr>
          <w:rFonts w:ascii="Arial" w:hAnsi="Arial" w:cs="Arial"/>
          <w:sz w:val="20"/>
          <w:szCs w:val="24"/>
        </w:rPr>
        <w:t>tom“ uváděny</w:t>
      </w:r>
      <w:r w:rsidR="007661E5">
        <w:rPr>
          <w:rFonts w:ascii="Arial" w:hAnsi="Arial" w:cs="Arial"/>
          <w:sz w:val="20"/>
          <w:szCs w:val="24"/>
        </w:rPr>
        <w:t xml:space="preserve"> d</w:t>
      </w:r>
      <w:r w:rsidR="0061184B">
        <w:rPr>
          <w:rFonts w:ascii="Arial" w:hAnsi="Arial" w:cs="Arial"/>
          <w:sz w:val="20"/>
          <w:szCs w:val="24"/>
        </w:rPr>
        <w:t>le současných pravidel</w:t>
      </w:r>
      <w:r w:rsidR="00906093">
        <w:rPr>
          <w:rFonts w:ascii="Arial" w:hAnsi="Arial" w:cs="Arial"/>
          <w:sz w:val="20"/>
          <w:szCs w:val="24"/>
        </w:rPr>
        <w:t>, a sice „z </w:t>
      </w:r>
      <w:r w:rsidR="007661E5">
        <w:rPr>
          <w:rFonts w:ascii="Arial" w:hAnsi="Arial" w:cs="Arial"/>
          <w:sz w:val="20"/>
          <w:szCs w:val="24"/>
        </w:rPr>
        <w:t>toho“ znamená částečný výčet položek z demografického ukazatele a „v tom“ znamená kompletní výčet položek</w:t>
      </w:r>
      <w:r w:rsidR="0061184B">
        <w:rPr>
          <w:rFonts w:ascii="Arial" w:hAnsi="Arial" w:cs="Arial"/>
          <w:sz w:val="20"/>
          <w:szCs w:val="24"/>
        </w:rPr>
        <w:t>.</w:t>
      </w:r>
    </w:p>
    <w:p w:rsidR="00EB7BA9" w:rsidRPr="004A1532" w:rsidRDefault="00267D8B" w:rsidP="00EB7BA9">
      <w:pPr>
        <w:ind w:firstLine="709"/>
        <w:jc w:val="both"/>
        <w:rPr>
          <w:rFonts w:ascii="Arial" w:hAnsi="Arial" w:cs="Arial"/>
          <w:sz w:val="20"/>
          <w:szCs w:val="24"/>
        </w:rPr>
      </w:pPr>
      <w:r w:rsidRPr="004A1532">
        <w:rPr>
          <w:rFonts w:ascii="Arial" w:hAnsi="Arial" w:cs="Arial"/>
          <w:sz w:val="20"/>
          <w:szCs w:val="24"/>
        </w:rPr>
        <w:t>Opravy a odchylky v tabulkách oproti pramenn</w:t>
      </w:r>
      <w:r w:rsidR="004A1532">
        <w:rPr>
          <w:rFonts w:ascii="Arial" w:hAnsi="Arial" w:cs="Arial"/>
          <w:sz w:val="20"/>
          <w:szCs w:val="24"/>
        </w:rPr>
        <w:t>ému</w:t>
      </w:r>
      <w:r w:rsidRPr="004A1532">
        <w:rPr>
          <w:rFonts w:ascii="Arial" w:hAnsi="Arial" w:cs="Arial"/>
          <w:sz w:val="20"/>
          <w:szCs w:val="24"/>
        </w:rPr>
        <w:t xml:space="preserve"> díl</w:t>
      </w:r>
      <w:r w:rsidR="004A1532">
        <w:rPr>
          <w:rFonts w:ascii="Arial" w:hAnsi="Arial" w:cs="Arial"/>
          <w:sz w:val="20"/>
          <w:szCs w:val="24"/>
        </w:rPr>
        <w:t>u</w:t>
      </w:r>
      <w:r w:rsidRPr="004A1532">
        <w:rPr>
          <w:rFonts w:ascii="Arial" w:hAnsi="Arial" w:cs="Arial"/>
          <w:sz w:val="20"/>
          <w:szCs w:val="24"/>
        </w:rPr>
        <w:t xml:space="preserve"> v tištěné formě jsou v následujících přehledech za jednotlivé</w:t>
      </w:r>
      <w:r w:rsidR="00203AFF">
        <w:rPr>
          <w:rFonts w:ascii="Arial" w:hAnsi="Arial" w:cs="Arial"/>
          <w:sz w:val="20"/>
          <w:szCs w:val="24"/>
        </w:rPr>
        <w:t xml:space="preserve"> roky rozděleny do čtyř oddílů:</w:t>
      </w:r>
    </w:p>
    <w:p w:rsidR="00EB7BA9" w:rsidRDefault="00EB7BA9">
      <w:pPr>
        <w:spacing w:after="0"/>
        <w:jc w:val="both"/>
        <w:rPr>
          <w:rFonts w:ascii="Arial" w:hAnsi="Arial" w:cs="Arial"/>
          <w:sz w:val="20"/>
          <w:szCs w:val="24"/>
        </w:rPr>
      </w:pP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A – odchylky v názvech tabulek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B – odchylky a opravy v hlavičce nebo legendě </w:t>
      </w:r>
    </w:p>
    <w:p w:rsidR="00267D8B" w:rsidRPr="004A1532" w:rsidRDefault="00267D8B">
      <w:pPr>
        <w:spacing w:after="0"/>
        <w:jc w:val="both"/>
        <w:rPr>
          <w:rFonts w:ascii="Arial" w:hAnsi="Arial" w:cs="Arial"/>
          <w:sz w:val="20"/>
          <w:szCs w:val="24"/>
        </w:rPr>
      </w:pPr>
      <w:r w:rsidRPr="004A1532">
        <w:rPr>
          <w:rFonts w:ascii="Arial" w:hAnsi="Arial" w:cs="Arial"/>
          <w:sz w:val="20"/>
          <w:szCs w:val="24"/>
        </w:rPr>
        <w:t xml:space="preserve">oddíl C – opravy číselných údajů </w:t>
      </w:r>
    </w:p>
    <w:p w:rsidR="00267D8B" w:rsidRDefault="00267D8B">
      <w:pPr>
        <w:spacing w:after="0"/>
        <w:jc w:val="both"/>
        <w:rPr>
          <w:rFonts w:ascii="Arial" w:hAnsi="Arial" w:cs="Arial"/>
          <w:sz w:val="20"/>
          <w:szCs w:val="24"/>
        </w:rPr>
      </w:pPr>
      <w:r w:rsidRPr="004A1532">
        <w:rPr>
          <w:rFonts w:ascii="Arial" w:hAnsi="Arial" w:cs="Arial"/>
          <w:sz w:val="20"/>
          <w:szCs w:val="24"/>
        </w:rPr>
        <w:t>oddíl D – metodické</w:t>
      </w:r>
      <w:r w:rsidRPr="004A1532">
        <w:rPr>
          <w:rFonts w:ascii="Arial" w:hAnsi="Arial" w:cs="Arial"/>
          <w:color w:val="FF0000"/>
          <w:sz w:val="20"/>
          <w:szCs w:val="24"/>
        </w:rPr>
        <w:t xml:space="preserve"> </w:t>
      </w:r>
      <w:r w:rsidRPr="004A1532">
        <w:rPr>
          <w:rFonts w:ascii="Arial" w:hAnsi="Arial" w:cs="Arial"/>
          <w:sz w:val="20"/>
          <w:szCs w:val="24"/>
        </w:rPr>
        <w:t>poznámky</w:t>
      </w:r>
    </w:p>
    <w:p w:rsidR="002A0091" w:rsidRPr="002A0091" w:rsidRDefault="002A0091" w:rsidP="002A0091">
      <w:pPr>
        <w:spacing w:after="0"/>
        <w:jc w:val="both"/>
        <w:rPr>
          <w:rFonts w:ascii="Arial" w:hAnsi="Arial" w:cs="Arial"/>
          <w:b/>
          <w:sz w:val="20"/>
          <w:szCs w:val="24"/>
        </w:rPr>
      </w:pPr>
      <w:r w:rsidRPr="002A0091">
        <w:rPr>
          <w:rFonts w:ascii="Arial" w:hAnsi="Arial" w:cs="Arial"/>
          <w:b/>
          <w:sz w:val="20"/>
          <w:szCs w:val="24"/>
        </w:rPr>
        <w:lastRenderedPageBreak/>
        <w:t xml:space="preserve">oddíl A – odchylky v názvech tabulek </w:t>
      </w:r>
    </w:p>
    <w:p w:rsidR="00EB7BA9" w:rsidRDefault="00F01698" w:rsidP="00DC6B9F">
      <w:pPr>
        <w:spacing w:after="0"/>
        <w:jc w:val="both"/>
        <w:rPr>
          <w:rFonts w:ascii="Arial" w:hAnsi="Arial" w:cs="Arial"/>
          <w:sz w:val="20"/>
          <w:szCs w:val="24"/>
        </w:rPr>
      </w:pPr>
      <w:r w:rsidRPr="00C134CA">
        <w:rPr>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7pt;height:159pt">
            <v:imagedata r:id="rId8" o:title=""/>
          </v:shape>
        </w:pict>
      </w:r>
    </w:p>
    <w:p w:rsidR="007A5217" w:rsidRDefault="007A5217" w:rsidP="00DC6B9F">
      <w:pPr>
        <w:spacing w:after="0"/>
        <w:jc w:val="both"/>
        <w:rPr>
          <w:rFonts w:ascii="Arial" w:hAnsi="Arial" w:cs="Arial"/>
          <w:sz w:val="20"/>
          <w:szCs w:val="24"/>
        </w:rPr>
      </w:pPr>
    </w:p>
    <w:p w:rsidR="00F41F35" w:rsidRDefault="00F41F35" w:rsidP="00DC6B9F">
      <w:pPr>
        <w:spacing w:after="0"/>
        <w:jc w:val="both"/>
        <w:rPr>
          <w:rFonts w:ascii="Arial" w:hAnsi="Arial" w:cs="Arial"/>
          <w:sz w:val="20"/>
          <w:szCs w:val="24"/>
        </w:rPr>
      </w:pPr>
    </w:p>
    <w:p w:rsidR="002A0091" w:rsidRDefault="002A0091" w:rsidP="002A0091">
      <w:pPr>
        <w:spacing w:after="0"/>
        <w:jc w:val="both"/>
        <w:rPr>
          <w:rFonts w:ascii="Arial" w:hAnsi="Arial" w:cs="Arial"/>
          <w:b/>
          <w:sz w:val="20"/>
          <w:szCs w:val="24"/>
        </w:rPr>
      </w:pPr>
      <w:r w:rsidRPr="002A0091">
        <w:rPr>
          <w:rFonts w:ascii="Arial" w:hAnsi="Arial" w:cs="Arial"/>
          <w:b/>
          <w:sz w:val="20"/>
          <w:szCs w:val="24"/>
        </w:rPr>
        <w:t>oddíl B – odchylky a</w:t>
      </w:r>
      <w:r>
        <w:rPr>
          <w:rFonts w:ascii="Arial" w:hAnsi="Arial" w:cs="Arial"/>
          <w:b/>
          <w:sz w:val="20"/>
          <w:szCs w:val="24"/>
        </w:rPr>
        <w:t xml:space="preserve"> opravy v hlavičce nebo legendě</w:t>
      </w:r>
    </w:p>
    <w:p w:rsidR="002A0091" w:rsidRPr="00D7190F" w:rsidRDefault="00F01698" w:rsidP="00DC6B9F">
      <w:pPr>
        <w:spacing w:after="0"/>
        <w:jc w:val="both"/>
        <w:rPr>
          <w:rFonts w:ascii="Arial" w:hAnsi="Arial" w:cs="Arial"/>
          <w:sz w:val="20"/>
          <w:szCs w:val="20"/>
        </w:rPr>
      </w:pPr>
      <w:r w:rsidRPr="00F01698">
        <w:rPr>
          <w:szCs w:val="20"/>
        </w:rPr>
        <w:pict>
          <v:shape id="_x0000_i1026" type="#_x0000_t75" style="width:447pt;height:80.25pt">
            <v:imagedata r:id="rId9" o:title=""/>
          </v:shape>
        </w:pict>
      </w:r>
    </w:p>
    <w:sectPr w:rsidR="002A0091" w:rsidRPr="00D7190F" w:rsidSect="00DA1BE9">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3C32" w:rsidRDefault="00843C32" w:rsidP="004F13C4">
      <w:pPr>
        <w:spacing w:after="0" w:line="240" w:lineRule="auto"/>
      </w:pPr>
      <w:r>
        <w:separator/>
      </w:r>
    </w:p>
  </w:endnote>
  <w:endnote w:type="continuationSeparator" w:id="0">
    <w:p w:rsidR="00843C32" w:rsidRDefault="00843C32" w:rsidP="004F13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3C32" w:rsidRDefault="00843C32" w:rsidP="004F13C4">
      <w:pPr>
        <w:spacing w:after="0" w:line="240" w:lineRule="auto"/>
      </w:pPr>
      <w:r>
        <w:separator/>
      </w:r>
    </w:p>
  </w:footnote>
  <w:footnote w:type="continuationSeparator" w:id="0">
    <w:p w:rsidR="00843C32" w:rsidRDefault="00843C32" w:rsidP="004F13C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F214D"/>
    <w:multiLevelType w:val="hybridMultilevel"/>
    <w:tmpl w:val="CEEEFCA8"/>
    <w:lvl w:ilvl="0" w:tplc="4226155C">
      <w:start w:val="1"/>
      <w:numFmt w:val="upperLetter"/>
      <w:lvlText w:val="%1."/>
      <w:lvlJc w:val="left"/>
      <w:pPr>
        <w:ind w:left="1065" w:hanging="360"/>
      </w:pPr>
      <w:rPr>
        <w:rFonts w:ascii="Times New Roman" w:hAnsi="Times New Roman" w:hint="default"/>
      </w:rPr>
    </w:lvl>
    <w:lvl w:ilvl="1" w:tplc="04050019">
      <w:start w:val="1"/>
      <w:numFmt w:val="lowerLetter"/>
      <w:lvlText w:val="%2."/>
      <w:lvlJc w:val="left"/>
      <w:pPr>
        <w:ind w:left="1785" w:hanging="360"/>
      </w:pPr>
      <w:rPr>
        <w:rFonts w:ascii="Times New Roman" w:hAnsi="Times New Roman"/>
      </w:rPr>
    </w:lvl>
    <w:lvl w:ilvl="2" w:tplc="0405001B">
      <w:start w:val="1"/>
      <w:numFmt w:val="lowerRoman"/>
      <w:lvlText w:val="%3."/>
      <w:lvlJc w:val="right"/>
      <w:pPr>
        <w:ind w:left="2505" w:hanging="180"/>
      </w:pPr>
      <w:rPr>
        <w:rFonts w:ascii="Times New Roman" w:hAnsi="Times New Roman"/>
      </w:rPr>
    </w:lvl>
    <w:lvl w:ilvl="3" w:tplc="0405000F">
      <w:start w:val="1"/>
      <w:numFmt w:val="decimal"/>
      <w:lvlText w:val="%4."/>
      <w:lvlJc w:val="left"/>
      <w:pPr>
        <w:ind w:left="3225" w:hanging="360"/>
      </w:pPr>
      <w:rPr>
        <w:rFonts w:ascii="Times New Roman" w:hAnsi="Times New Roman"/>
      </w:rPr>
    </w:lvl>
    <w:lvl w:ilvl="4" w:tplc="04050019">
      <w:start w:val="1"/>
      <w:numFmt w:val="lowerLetter"/>
      <w:lvlText w:val="%5."/>
      <w:lvlJc w:val="left"/>
      <w:pPr>
        <w:ind w:left="3945" w:hanging="360"/>
      </w:pPr>
      <w:rPr>
        <w:rFonts w:ascii="Times New Roman" w:hAnsi="Times New Roman"/>
      </w:rPr>
    </w:lvl>
    <w:lvl w:ilvl="5" w:tplc="0405001B">
      <w:start w:val="1"/>
      <w:numFmt w:val="lowerRoman"/>
      <w:lvlText w:val="%6."/>
      <w:lvlJc w:val="right"/>
      <w:pPr>
        <w:ind w:left="4665" w:hanging="180"/>
      </w:pPr>
      <w:rPr>
        <w:rFonts w:ascii="Times New Roman" w:hAnsi="Times New Roman"/>
      </w:rPr>
    </w:lvl>
    <w:lvl w:ilvl="6" w:tplc="0405000F">
      <w:start w:val="1"/>
      <w:numFmt w:val="decimal"/>
      <w:lvlText w:val="%7."/>
      <w:lvlJc w:val="left"/>
      <w:pPr>
        <w:ind w:left="5385" w:hanging="360"/>
      </w:pPr>
      <w:rPr>
        <w:rFonts w:ascii="Times New Roman" w:hAnsi="Times New Roman"/>
      </w:rPr>
    </w:lvl>
    <w:lvl w:ilvl="7" w:tplc="04050019">
      <w:start w:val="1"/>
      <w:numFmt w:val="lowerLetter"/>
      <w:lvlText w:val="%8."/>
      <w:lvlJc w:val="left"/>
      <w:pPr>
        <w:ind w:left="6105" w:hanging="360"/>
      </w:pPr>
      <w:rPr>
        <w:rFonts w:ascii="Times New Roman" w:hAnsi="Times New Roman"/>
      </w:rPr>
    </w:lvl>
    <w:lvl w:ilvl="8" w:tplc="0405001B">
      <w:start w:val="1"/>
      <w:numFmt w:val="lowerRoman"/>
      <w:lvlText w:val="%9."/>
      <w:lvlJc w:val="right"/>
      <w:pPr>
        <w:ind w:left="6825" w:hanging="180"/>
      </w:pPr>
      <w:rPr>
        <w:rFonts w:ascii="Times New Roman" w:hAnsi="Times New Roman"/>
      </w:rPr>
    </w:lvl>
  </w:abstractNum>
  <w:abstractNum w:abstractNumId="1">
    <w:nsid w:val="2E942965"/>
    <w:multiLevelType w:val="hybridMultilevel"/>
    <w:tmpl w:val="335804C2"/>
    <w:lvl w:ilvl="0" w:tplc="A52C0B48">
      <w:start w:val="4"/>
      <w:numFmt w:val="upperLetter"/>
      <w:lvlText w:val="%1."/>
      <w:lvlJc w:val="left"/>
      <w:pPr>
        <w:ind w:left="1425" w:hanging="360"/>
      </w:pPr>
      <w:rPr>
        <w:rFonts w:ascii="Times New Roman" w:hAnsi="Times New Roman" w:hint="default"/>
      </w:rPr>
    </w:lvl>
    <w:lvl w:ilvl="1" w:tplc="04050019">
      <w:start w:val="1"/>
      <w:numFmt w:val="lowerLetter"/>
      <w:lvlText w:val="%2."/>
      <w:lvlJc w:val="left"/>
      <w:pPr>
        <w:ind w:left="2145" w:hanging="360"/>
      </w:pPr>
      <w:rPr>
        <w:rFonts w:ascii="Times New Roman" w:hAnsi="Times New Roman"/>
      </w:rPr>
    </w:lvl>
    <w:lvl w:ilvl="2" w:tplc="0405001B">
      <w:start w:val="1"/>
      <w:numFmt w:val="lowerRoman"/>
      <w:lvlText w:val="%3."/>
      <w:lvlJc w:val="right"/>
      <w:pPr>
        <w:ind w:left="2865" w:hanging="180"/>
      </w:pPr>
      <w:rPr>
        <w:rFonts w:ascii="Times New Roman" w:hAnsi="Times New Roman"/>
      </w:rPr>
    </w:lvl>
    <w:lvl w:ilvl="3" w:tplc="0405000F">
      <w:start w:val="1"/>
      <w:numFmt w:val="decimal"/>
      <w:lvlText w:val="%4."/>
      <w:lvlJc w:val="left"/>
      <w:pPr>
        <w:ind w:left="3585" w:hanging="360"/>
      </w:pPr>
      <w:rPr>
        <w:rFonts w:ascii="Times New Roman" w:hAnsi="Times New Roman"/>
      </w:rPr>
    </w:lvl>
    <w:lvl w:ilvl="4" w:tplc="04050019">
      <w:start w:val="1"/>
      <w:numFmt w:val="lowerLetter"/>
      <w:lvlText w:val="%5."/>
      <w:lvlJc w:val="left"/>
      <w:pPr>
        <w:ind w:left="4305" w:hanging="360"/>
      </w:pPr>
      <w:rPr>
        <w:rFonts w:ascii="Times New Roman" w:hAnsi="Times New Roman"/>
      </w:rPr>
    </w:lvl>
    <w:lvl w:ilvl="5" w:tplc="0405001B">
      <w:start w:val="1"/>
      <w:numFmt w:val="lowerRoman"/>
      <w:lvlText w:val="%6."/>
      <w:lvlJc w:val="right"/>
      <w:pPr>
        <w:ind w:left="5025" w:hanging="180"/>
      </w:pPr>
      <w:rPr>
        <w:rFonts w:ascii="Times New Roman" w:hAnsi="Times New Roman"/>
      </w:rPr>
    </w:lvl>
    <w:lvl w:ilvl="6" w:tplc="0405000F">
      <w:start w:val="1"/>
      <w:numFmt w:val="decimal"/>
      <w:lvlText w:val="%7."/>
      <w:lvlJc w:val="left"/>
      <w:pPr>
        <w:ind w:left="5745" w:hanging="360"/>
      </w:pPr>
      <w:rPr>
        <w:rFonts w:ascii="Times New Roman" w:hAnsi="Times New Roman"/>
      </w:rPr>
    </w:lvl>
    <w:lvl w:ilvl="7" w:tplc="04050019">
      <w:start w:val="1"/>
      <w:numFmt w:val="lowerLetter"/>
      <w:lvlText w:val="%8."/>
      <w:lvlJc w:val="left"/>
      <w:pPr>
        <w:ind w:left="6465" w:hanging="360"/>
      </w:pPr>
      <w:rPr>
        <w:rFonts w:ascii="Times New Roman" w:hAnsi="Times New Roman"/>
      </w:rPr>
    </w:lvl>
    <w:lvl w:ilvl="8" w:tplc="0405001B">
      <w:start w:val="1"/>
      <w:numFmt w:val="lowerRoman"/>
      <w:lvlText w:val="%9."/>
      <w:lvlJc w:val="right"/>
      <w:pPr>
        <w:ind w:left="7185" w:hanging="180"/>
      </w:pPr>
      <w:rPr>
        <w:rFonts w:ascii="Times New Roman" w:hAnsi="Times New Roman"/>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oNotHyphenateCaps/>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67D8B"/>
    <w:rsid w:val="000463A3"/>
    <w:rsid w:val="00051E76"/>
    <w:rsid w:val="00066722"/>
    <w:rsid w:val="00083C6C"/>
    <w:rsid w:val="00095E26"/>
    <w:rsid w:val="000A229A"/>
    <w:rsid w:val="000A34B6"/>
    <w:rsid w:val="000C5978"/>
    <w:rsid w:val="000C5A5D"/>
    <w:rsid w:val="000E65B7"/>
    <w:rsid w:val="00101ABA"/>
    <w:rsid w:val="00106654"/>
    <w:rsid w:val="00121F53"/>
    <w:rsid w:val="00132626"/>
    <w:rsid w:val="00141B6F"/>
    <w:rsid w:val="00143149"/>
    <w:rsid w:val="001439C4"/>
    <w:rsid w:val="00144E00"/>
    <w:rsid w:val="00166A38"/>
    <w:rsid w:val="00180394"/>
    <w:rsid w:val="001B1260"/>
    <w:rsid w:val="001E4664"/>
    <w:rsid w:val="001E7D3C"/>
    <w:rsid w:val="001F5B12"/>
    <w:rsid w:val="00203AFF"/>
    <w:rsid w:val="00232978"/>
    <w:rsid w:val="0023638B"/>
    <w:rsid w:val="00255050"/>
    <w:rsid w:val="002662BC"/>
    <w:rsid w:val="00267D8B"/>
    <w:rsid w:val="00267E79"/>
    <w:rsid w:val="002724ED"/>
    <w:rsid w:val="002A0091"/>
    <w:rsid w:val="002A5D41"/>
    <w:rsid w:val="002C083A"/>
    <w:rsid w:val="002D5C25"/>
    <w:rsid w:val="002E0247"/>
    <w:rsid w:val="002E1256"/>
    <w:rsid w:val="002E1BB4"/>
    <w:rsid w:val="002E634C"/>
    <w:rsid w:val="0030067A"/>
    <w:rsid w:val="0031401F"/>
    <w:rsid w:val="00317113"/>
    <w:rsid w:val="003235B9"/>
    <w:rsid w:val="00324C92"/>
    <w:rsid w:val="003316DF"/>
    <w:rsid w:val="00334190"/>
    <w:rsid w:val="00335075"/>
    <w:rsid w:val="00337156"/>
    <w:rsid w:val="00340B6F"/>
    <w:rsid w:val="00360AB2"/>
    <w:rsid w:val="00381269"/>
    <w:rsid w:val="003827F8"/>
    <w:rsid w:val="003A337C"/>
    <w:rsid w:val="003B5FC9"/>
    <w:rsid w:val="003C051F"/>
    <w:rsid w:val="003C469E"/>
    <w:rsid w:val="003D0F9F"/>
    <w:rsid w:val="003D1B1A"/>
    <w:rsid w:val="003D473F"/>
    <w:rsid w:val="003F6FF1"/>
    <w:rsid w:val="004147AF"/>
    <w:rsid w:val="00415107"/>
    <w:rsid w:val="00456688"/>
    <w:rsid w:val="004607C2"/>
    <w:rsid w:val="00481518"/>
    <w:rsid w:val="004A0BAF"/>
    <w:rsid w:val="004A1532"/>
    <w:rsid w:val="004A63A0"/>
    <w:rsid w:val="004B15F0"/>
    <w:rsid w:val="004C21B5"/>
    <w:rsid w:val="004C4184"/>
    <w:rsid w:val="004C65BB"/>
    <w:rsid w:val="004F13C4"/>
    <w:rsid w:val="004F22B4"/>
    <w:rsid w:val="004F78ED"/>
    <w:rsid w:val="00501DDE"/>
    <w:rsid w:val="00503C77"/>
    <w:rsid w:val="005041B7"/>
    <w:rsid w:val="0052304D"/>
    <w:rsid w:val="005426D3"/>
    <w:rsid w:val="0057555D"/>
    <w:rsid w:val="00577234"/>
    <w:rsid w:val="005A7FB9"/>
    <w:rsid w:val="005C246F"/>
    <w:rsid w:val="005C62AB"/>
    <w:rsid w:val="005D5476"/>
    <w:rsid w:val="005D62F3"/>
    <w:rsid w:val="005D7BF4"/>
    <w:rsid w:val="005E7C45"/>
    <w:rsid w:val="005F1309"/>
    <w:rsid w:val="005F65F4"/>
    <w:rsid w:val="005F70F6"/>
    <w:rsid w:val="005F73D4"/>
    <w:rsid w:val="00604970"/>
    <w:rsid w:val="00606B63"/>
    <w:rsid w:val="0061184B"/>
    <w:rsid w:val="0061454A"/>
    <w:rsid w:val="0063005B"/>
    <w:rsid w:val="00631EB6"/>
    <w:rsid w:val="00643C60"/>
    <w:rsid w:val="00647B6C"/>
    <w:rsid w:val="006502DE"/>
    <w:rsid w:val="00653B36"/>
    <w:rsid w:val="006565F3"/>
    <w:rsid w:val="00660320"/>
    <w:rsid w:val="006659C0"/>
    <w:rsid w:val="00670B07"/>
    <w:rsid w:val="00670C24"/>
    <w:rsid w:val="00683AB1"/>
    <w:rsid w:val="00690953"/>
    <w:rsid w:val="006929DF"/>
    <w:rsid w:val="00695DD5"/>
    <w:rsid w:val="0069718F"/>
    <w:rsid w:val="006B035B"/>
    <w:rsid w:val="006C3B0A"/>
    <w:rsid w:val="006E01A7"/>
    <w:rsid w:val="006F6A04"/>
    <w:rsid w:val="0071218B"/>
    <w:rsid w:val="00717754"/>
    <w:rsid w:val="00722C9C"/>
    <w:rsid w:val="00736DF3"/>
    <w:rsid w:val="007661E5"/>
    <w:rsid w:val="00797372"/>
    <w:rsid w:val="007A5217"/>
    <w:rsid w:val="007C53F3"/>
    <w:rsid w:val="007D3EB5"/>
    <w:rsid w:val="007E0806"/>
    <w:rsid w:val="007E0A63"/>
    <w:rsid w:val="007F1352"/>
    <w:rsid w:val="007F36CD"/>
    <w:rsid w:val="008033EC"/>
    <w:rsid w:val="00813EAE"/>
    <w:rsid w:val="008236BB"/>
    <w:rsid w:val="00832BBB"/>
    <w:rsid w:val="00837DF3"/>
    <w:rsid w:val="008419C9"/>
    <w:rsid w:val="00843C32"/>
    <w:rsid w:val="00865E9D"/>
    <w:rsid w:val="00893EB5"/>
    <w:rsid w:val="008B4625"/>
    <w:rsid w:val="008F28A4"/>
    <w:rsid w:val="008F74FE"/>
    <w:rsid w:val="00906093"/>
    <w:rsid w:val="00915F43"/>
    <w:rsid w:val="00934995"/>
    <w:rsid w:val="00935BCF"/>
    <w:rsid w:val="00943D06"/>
    <w:rsid w:val="009449E4"/>
    <w:rsid w:val="00966CA9"/>
    <w:rsid w:val="0097773A"/>
    <w:rsid w:val="009822B4"/>
    <w:rsid w:val="0098303A"/>
    <w:rsid w:val="009A3A48"/>
    <w:rsid w:val="009A3BE8"/>
    <w:rsid w:val="009A6764"/>
    <w:rsid w:val="009B0E54"/>
    <w:rsid w:val="009B278B"/>
    <w:rsid w:val="009F4A70"/>
    <w:rsid w:val="00A10936"/>
    <w:rsid w:val="00A230CA"/>
    <w:rsid w:val="00A2480E"/>
    <w:rsid w:val="00A32E15"/>
    <w:rsid w:val="00A45372"/>
    <w:rsid w:val="00A5022A"/>
    <w:rsid w:val="00A60B94"/>
    <w:rsid w:val="00A745ED"/>
    <w:rsid w:val="00A832DA"/>
    <w:rsid w:val="00A83B7E"/>
    <w:rsid w:val="00A93592"/>
    <w:rsid w:val="00A964CC"/>
    <w:rsid w:val="00AC4BEA"/>
    <w:rsid w:val="00AE02DE"/>
    <w:rsid w:val="00AF2C80"/>
    <w:rsid w:val="00B22E5A"/>
    <w:rsid w:val="00B34B44"/>
    <w:rsid w:val="00B40092"/>
    <w:rsid w:val="00B4009C"/>
    <w:rsid w:val="00B4081E"/>
    <w:rsid w:val="00B556C0"/>
    <w:rsid w:val="00B70C85"/>
    <w:rsid w:val="00BC3E6F"/>
    <w:rsid w:val="00BF08A4"/>
    <w:rsid w:val="00C05104"/>
    <w:rsid w:val="00C134CA"/>
    <w:rsid w:val="00C226A2"/>
    <w:rsid w:val="00C71A82"/>
    <w:rsid w:val="00CE7287"/>
    <w:rsid w:val="00CF0406"/>
    <w:rsid w:val="00D05591"/>
    <w:rsid w:val="00D106EC"/>
    <w:rsid w:val="00D228DE"/>
    <w:rsid w:val="00D46CDB"/>
    <w:rsid w:val="00D62069"/>
    <w:rsid w:val="00D7190F"/>
    <w:rsid w:val="00D8224F"/>
    <w:rsid w:val="00D8469C"/>
    <w:rsid w:val="00D96520"/>
    <w:rsid w:val="00DA1BE9"/>
    <w:rsid w:val="00DA3C1E"/>
    <w:rsid w:val="00DB4A09"/>
    <w:rsid w:val="00DC649E"/>
    <w:rsid w:val="00DC6B9F"/>
    <w:rsid w:val="00DF59EE"/>
    <w:rsid w:val="00E01F06"/>
    <w:rsid w:val="00E0289B"/>
    <w:rsid w:val="00E202D6"/>
    <w:rsid w:val="00E2141B"/>
    <w:rsid w:val="00E275B5"/>
    <w:rsid w:val="00E27E2F"/>
    <w:rsid w:val="00E47443"/>
    <w:rsid w:val="00E6323B"/>
    <w:rsid w:val="00E804FF"/>
    <w:rsid w:val="00EB6DD8"/>
    <w:rsid w:val="00EB7BA9"/>
    <w:rsid w:val="00ED3E46"/>
    <w:rsid w:val="00EE3309"/>
    <w:rsid w:val="00EF2195"/>
    <w:rsid w:val="00EF789B"/>
    <w:rsid w:val="00F01698"/>
    <w:rsid w:val="00F10401"/>
    <w:rsid w:val="00F11B15"/>
    <w:rsid w:val="00F13B3A"/>
    <w:rsid w:val="00F34B03"/>
    <w:rsid w:val="00F41F35"/>
    <w:rsid w:val="00F46BBE"/>
    <w:rsid w:val="00F57E6B"/>
    <w:rsid w:val="00F67BB8"/>
    <w:rsid w:val="00FB29FB"/>
    <w:rsid w:val="00FD40E9"/>
    <w:rsid w:val="00FE6DD6"/>
    <w:rsid w:val="00FF1EF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1BE9"/>
    <w:pPr>
      <w:spacing w:after="200" w:line="276" w:lineRule="auto"/>
    </w:pPr>
    <w:rPr>
      <w:rFonts w:cs="Calibri"/>
      <w:sz w:val="22"/>
      <w:szCs w:val="22"/>
      <w:lang w:eastAsia="en-US"/>
    </w:rPr>
  </w:style>
  <w:style w:type="paragraph" w:styleId="Nadpis1">
    <w:name w:val="heading 1"/>
    <w:basedOn w:val="Normln"/>
    <w:next w:val="Normln"/>
    <w:qFormat/>
    <w:rsid w:val="00DA1BE9"/>
    <w:pPr>
      <w:keepNext/>
      <w:jc w:val="both"/>
      <w:outlineLvl w:val="0"/>
    </w:pPr>
    <w:rPr>
      <w:rFonts w:ascii="Arial" w:hAnsi="Arial" w:cs="Arial"/>
      <w:b/>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A1BE9"/>
    <w:pPr>
      <w:ind w:left="720"/>
    </w:pPr>
  </w:style>
  <w:style w:type="paragraph" w:styleId="Normlnweb">
    <w:name w:val="Normal (Web)"/>
    <w:basedOn w:val="Normln"/>
    <w:semiHidden/>
    <w:rsid w:val="00DA1BE9"/>
    <w:pPr>
      <w:spacing w:before="100" w:beforeAutospacing="1" w:after="100" w:afterAutospacing="1" w:line="240" w:lineRule="auto"/>
    </w:pPr>
    <w:rPr>
      <w:rFonts w:ascii="Arial Unicode MS" w:eastAsia="Arial Unicode MS" w:hAnsi="Arial Unicode MS" w:cs="Arial Unicode MS"/>
      <w:sz w:val="24"/>
      <w:szCs w:val="24"/>
      <w:lang w:eastAsia="cs-CZ"/>
    </w:rPr>
  </w:style>
  <w:style w:type="character" w:styleId="Zvraznn">
    <w:name w:val="Emphasis"/>
    <w:basedOn w:val="Standardnpsmoodstavce"/>
    <w:qFormat/>
    <w:rsid w:val="00DA1BE9"/>
    <w:rPr>
      <w:rFonts w:ascii="Times New Roman" w:hAnsi="Times New Roman" w:cs="Times New Roman"/>
      <w:i/>
      <w:iCs/>
    </w:rPr>
  </w:style>
  <w:style w:type="paragraph" w:styleId="Zkladntext">
    <w:name w:val="Body Text"/>
    <w:basedOn w:val="Normln"/>
    <w:semiHidden/>
    <w:rsid w:val="00DA1BE9"/>
    <w:pPr>
      <w:jc w:val="both"/>
    </w:pPr>
    <w:rPr>
      <w:rFonts w:ascii="Arial" w:hAnsi="Arial" w:cs="Arial"/>
      <w:sz w:val="20"/>
      <w:szCs w:val="24"/>
    </w:rPr>
  </w:style>
  <w:style w:type="character" w:styleId="Hypertextovodkaz">
    <w:name w:val="Hyperlink"/>
    <w:basedOn w:val="Standardnpsmoodstavce"/>
    <w:uiPriority w:val="99"/>
    <w:unhideWhenUsed/>
    <w:rsid w:val="005D7BF4"/>
    <w:rPr>
      <w:color w:val="0000FF"/>
      <w:u w:val="single"/>
    </w:rPr>
  </w:style>
  <w:style w:type="character" w:styleId="Sledovanodkaz">
    <w:name w:val="FollowedHyperlink"/>
    <w:basedOn w:val="Standardnpsmoodstavce"/>
    <w:uiPriority w:val="99"/>
    <w:semiHidden/>
    <w:unhideWhenUsed/>
    <w:rsid w:val="005D7BF4"/>
    <w:rPr>
      <w:color w:val="800080"/>
      <w:u w:val="single"/>
    </w:rPr>
  </w:style>
  <w:style w:type="paragraph" w:styleId="Textbubliny">
    <w:name w:val="Balloon Text"/>
    <w:basedOn w:val="Normln"/>
    <w:link w:val="TextbublinyChar"/>
    <w:uiPriority w:val="99"/>
    <w:semiHidden/>
    <w:unhideWhenUsed/>
    <w:rsid w:val="00CF0406"/>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CF0406"/>
    <w:rPr>
      <w:rFonts w:ascii="Tahoma" w:hAnsi="Tahoma" w:cs="Tahoma"/>
      <w:sz w:val="16"/>
      <w:szCs w:val="16"/>
      <w:lang w:eastAsia="en-US"/>
    </w:rPr>
  </w:style>
  <w:style w:type="paragraph" w:styleId="Zhlav">
    <w:name w:val="header"/>
    <w:basedOn w:val="Normln"/>
    <w:link w:val="ZhlavChar"/>
    <w:uiPriority w:val="99"/>
    <w:semiHidden/>
    <w:unhideWhenUsed/>
    <w:rsid w:val="004F13C4"/>
    <w:pPr>
      <w:tabs>
        <w:tab w:val="center" w:pos="4536"/>
        <w:tab w:val="right" w:pos="9072"/>
      </w:tabs>
    </w:pPr>
  </w:style>
  <w:style w:type="character" w:customStyle="1" w:styleId="ZhlavChar">
    <w:name w:val="Záhlaví Char"/>
    <w:basedOn w:val="Standardnpsmoodstavce"/>
    <w:link w:val="Zhlav"/>
    <w:uiPriority w:val="99"/>
    <w:semiHidden/>
    <w:rsid w:val="004F13C4"/>
    <w:rPr>
      <w:rFonts w:cs="Calibri"/>
      <w:sz w:val="22"/>
      <w:szCs w:val="22"/>
      <w:lang w:eastAsia="en-US"/>
    </w:rPr>
  </w:style>
  <w:style w:type="paragraph" w:styleId="Zpat">
    <w:name w:val="footer"/>
    <w:basedOn w:val="Normln"/>
    <w:link w:val="ZpatChar"/>
    <w:uiPriority w:val="99"/>
    <w:semiHidden/>
    <w:unhideWhenUsed/>
    <w:rsid w:val="004F13C4"/>
    <w:pPr>
      <w:tabs>
        <w:tab w:val="center" w:pos="4536"/>
        <w:tab w:val="right" w:pos="9072"/>
      </w:tabs>
    </w:pPr>
  </w:style>
  <w:style w:type="character" w:customStyle="1" w:styleId="ZpatChar">
    <w:name w:val="Zápatí Char"/>
    <w:basedOn w:val="Standardnpsmoodstavce"/>
    <w:link w:val="Zpat"/>
    <w:uiPriority w:val="99"/>
    <w:semiHidden/>
    <w:rsid w:val="004F13C4"/>
    <w:rPr>
      <w:rFonts w:cs="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113643572">
      <w:bodyDiv w:val="1"/>
      <w:marLeft w:val="0"/>
      <w:marRight w:val="0"/>
      <w:marTop w:val="0"/>
      <w:marBottom w:val="0"/>
      <w:divBdr>
        <w:top w:val="none" w:sz="0" w:space="0" w:color="auto"/>
        <w:left w:val="none" w:sz="0" w:space="0" w:color="auto"/>
        <w:bottom w:val="none" w:sz="0" w:space="0" w:color="auto"/>
        <w:right w:val="none" w:sz="0" w:space="0" w:color="auto"/>
      </w:divBdr>
    </w:div>
    <w:div w:id="470636800">
      <w:bodyDiv w:val="1"/>
      <w:marLeft w:val="0"/>
      <w:marRight w:val="0"/>
      <w:marTop w:val="0"/>
      <w:marBottom w:val="0"/>
      <w:divBdr>
        <w:top w:val="none" w:sz="0" w:space="0" w:color="auto"/>
        <w:left w:val="none" w:sz="0" w:space="0" w:color="auto"/>
        <w:bottom w:val="none" w:sz="0" w:space="0" w:color="auto"/>
        <w:right w:val="none" w:sz="0" w:space="0" w:color="auto"/>
      </w:divBdr>
    </w:div>
    <w:div w:id="648435443">
      <w:bodyDiv w:val="1"/>
      <w:marLeft w:val="0"/>
      <w:marRight w:val="0"/>
      <w:marTop w:val="0"/>
      <w:marBottom w:val="0"/>
      <w:divBdr>
        <w:top w:val="none" w:sz="0" w:space="0" w:color="auto"/>
        <w:left w:val="none" w:sz="0" w:space="0" w:color="auto"/>
        <w:bottom w:val="none" w:sz="0" w:space="0" w:color="auto"/>
        <w:right w:val="none" w:sz="0" w:space="0" w:color="auto"/>
      </w:divBdr>
    </w:div>
    <w:div w:id="1082724508">
      <w:bodyDiv w:val="1"/>
      <w:marLeft w:val="0"/>
      <w:marRight w:val="0"/>
      <w:marTop w:val="0"/>
      <w:marBottom w:val="0"/>
      <w:divBdr>
        <w:top w:val="none" w:sz="0" w:space="0" w:color="auto"/>
        <w:left w:val="none" w:sz="0" w:space="0" w:color="auto"/>
        <w:bottom w:val="none" w:sz="0" w:space="0" w:color="auto"/>
        <w:right w:val="none" w:sz="0" w:space="0" w:color="auto"/>
      </w:divBdr>
    </w:div>
    <w:div w:id="1523742533">
      <w:bodyDiv w:val="1"/>
      <w:marLeft w:val="0"/>
      <w:marRight w:val="0"/>
      <w:marTop w:val="0"/>
      <w:marBottom w:val="0"/>
      <w:divBdr>
        <w:top w:val="none" w:sz="0" w:space="0" w:color="auto"/>
        <w:left w:val="none" w:sz="0" w:space="0" w:color="auto"/>
        <w:bottom w:val="none" w:sz="0" w:space="0" w:color="auto"/>
        <w:right w:val="none" w:sz="0" w:space="0" w:color="auto"/>
      </w:divBdr>
    </w:div>
    <w:div w:id="193485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hyperlink" Target="http://www.czso.cz/csu/2007edicniplan.nsf/p/4017-0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emf"/></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2018</TotalTime>
  <Pages>2</Pages>
  <Words>524</Words>
  <Characters>3079</Characters>
  <Application>Microsoft Office Word</Application>
  <DocSecurity>0</DocSecurity>
  <Lines>25</Lines>
  <Paragraphs>7</Paragraphs>
  <ScaleCrop>false</ScaleCrop>
  <HeadingPairs>
    <vt:vector size="2" baseType="variant">
      <vt:variant>
        <vt:lpstr>Název</vt:lpstr>
      </vt:variant>
      <vt:variant>
        <vt:i4>1</vt:i4>
      </vt:variant>
    </vt:vector>
  </HeadingPairs>
  <TitlesOfParts>
    <vt:vector size="1" baseType="lpstr">
      <vt:lpstr>Metodické poznámky</vt:lpstr>
    </vt:vector>
  </TitlesOfParts>
  <Company>ČSÚ</Company>
  <LinksUpToDate>false</LinksUpToDate>
  <CharactersWithSpaces>3596</CharactersWithSpaces>
  <SharedDoc>false</SharedDoc>
  <HLinks>
    <vt:vector size="6" baseType="variant">
      <vt:variant>
        <vt:i4>6422638</vt:i4>
      </vt:variant>
      <vt:variant>
        <vt:i4>0</vt:i4>
      </vt:variant>
      <vt:variant>
        <vt:i4>0</vt:i4>
      </vt:variant>
      <vt:variant>
        <vt:i4>5</vt:i4>
      </vt:variant>
      <vt:variant>
        <vt:lpwstr>http://www.czso.cz/csu/2007edicniplan.nsf/p/4017-07</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poznámky</dc:title>
  <dc:subject/>
  <dc:creator>Administrator</dc:creator>
  <cp:keywords/>
  <dc:description/>
  <cp:lastModifiedBy>Ing. Jan Bílík</cp:lastModifiedBy>
  <cp:revision>80</cp:revision>
  <cp:lastPrinted>2016-02-08T07:07:00Z</cp:lastPrinted>
  <dcterms:created xsi:type="dcterms:W3CDTF">2014-01-13T11:35:00Z</dcterms:created>
  <dcterms:modified xsi:type="dcterms:W3CDTF">2016-11-10T09:08:00Z</dcterms:modified>
</cp:coreProperties>
</file>